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60960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4"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4000" w:right="3400" w:hanging="3087"/>
        <w:spacing w:after="0" w:line="262" w:lineRule="auto"/>
        <w:tabs>
          <w:tab w:leader="none" w:pos="135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1360" w:hanging="447"/>
        <w:spacing w:after="0"/>
        <w:tabs>
          <w:tab w:leader="none" w:pos="1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 w:lineRule="exact"/>
        <w:rPr>
          <w:sz w:val="24"/>
          <w:szCs w:val="24"/>
          <w:color w:val="auto"/>
        </w:rPr>
      </w:pPr>
    </w:p>
    <w:p>
      <w:pPr>
        <w:ind w:left="360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9525</wp:posOffset>
            </wp:positionV>
            <wp:extent cx="144081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 State of Incorporation; Address and</w:t>
      </w:r>
    </w:p>
    <w:p>
      <w:pPr>
        <w:spacing w:after="0" w:line="4" w:lineRule="exact"/>
        <w:rPr>
          <w:sz w:val="24"/>
          <w:szCs w:val="24"/>
          <w:color w:val="auto"/>
        </w:rPr>
      </w:pPr>
    </w:p>
    <w:p>
      <w:pPr>
        <w:ind w:left="680"/>
        <w:spacing w:after="0"/>
        <w:tabs>
          <w:tab w:leader="none" w:pos="5100" w:val="left"/>
          <w:tab w:leader="none" w:pos="8860" w:val="left"/>
        </w:tabs>
        <w:rPr>
          <w:sz w:val="20"/>
          <w:szCs w:val="20"/>
          <w:color w:val="auto"/>
        </w:rPr>
      </w:pPr>
      <w:r>
        <w:rPr>
          <w:rFonts w:ascii="Arial" w:cs="Arial" w:eastAsia="Arial" w:hAnsi="Arial"/>
          <w:sz w:val="14"/>
          <w:szCs w:val="14"/>
          <w:b w:val="1"/>
          <w:bCs w:val="1"/>
          <w:color w:val="auto"/>
        </w:rPr>
        <w:t>Commission File Number</w:t>
      </w:r>
      <w:r>
        <w:rPr>
          <w:sz w:val="20"/>
          <w:szCs w:val="20"/>
          <w:color w:val="auto"/>
        </w:rPr>
        <w:tab/>
      </w:r>
      <w:r>
        <w:rPr>
          <w:rFonts w:ascii="Arial" w:cs="Arial" w:eastAsia="Arial" w:hAnsi="Arial"/>
          <w:sz w:val="14"/>
          <w:szCs w:val="14"/>
          <w:b w:val="1"/>
          <w:bCs w:val="1"/>
          <w:color w:val="auto"/>
        </w:rPr>
        <w:t>Telephone Number</w:t>
      </w:r>
      <w:r>
        <w:rPr>
          <w:sz w:val="20"/>
          <w:szCs w:val="20"/>
          <w:color w:val="auto"/>
        </w:rPr>
        <w:tab/>
      </w:r>
      <w:r>
        <w:rPr>
          <w:rFonts w:ascii="Arial" w:cs="Arial" w:eastAsia="Arial" w:hAnsi="Arial"/>
          <w:sz w:val="12"/>
          <w:szCs w:val="12"/>
          <w:b w:val="1"/>
          <w:bCs w:val="1"/>
          <w:color w:val="auto"/>
        </w:rPr>
        <w:t>I.R.S. Employer Identification No.</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8"/>
        </w:trPr>
        <w:tc>
          <w:tcPr>
            <w:tcW w:w="3100" w:type="dxa"/>
            <w:vAlign w:val="bottom"/>
            <w:shd w:val="clear" w:color="auto" w:fill="000000"/>
          </w:tcPr>
          <w:p>
            <w:pPr>
              <w:spacing w:after="0" w:line="20" w:lineRule="exact"/>
              <w:rPr>
                <w:sz w:val="1"/>
                <w:szCs w:val="1"/>
                <w:color w:val="auto"/>
              </w:rPr>
            </w:pPr>
          </w:p>
        </w:tc>
        <w:tc>
          <w:tcPr>
            <w:tcW w:w="5240" w:type="dxa"/>
            <w:vAlign w:val="bottom"/>
            <w:shd w:val="clear" w:color="auto" w:fill="000000"/>
          </w:tcPr>
          <w:p>
            <w:pPr>
              <w:jc w:val="center"/>
              <w:spacing w:after="0"/>
              <w:rPr>
                <w:sz w:val="20"/>
                <w:szCs w:val="20"/>
                <w:color w:val="auto"/>
              </w:rPr>
            </w:pPr>
            <w:r>
              <w:rPr>
                <w:rFonts w:ascii="Arial" w:cs="Arial" w:eastAsia="Arial" w:hAnsi="Arial"/>
                <w:sz w:val="1"/>
                <w:szCs w:val="1"/>
                <w:b w:val="1"/>
                <w:bCs w:val="1"/>
                <w:color w:val="auto"/>
              </w:rPr>
              <w:t>COMCAST CORPORATION</w:t>
            </w: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tcPr>
          <w:p>
            <w:pPr>
              <w:jc w:val="right"/>
              <w:ind w:right="1212"/>
              <w:spacing w:after="0"/>
              <w:rPr>
                <w:sz w:val="20"/>
                <w:szCs w:val="20"/>
                <w:color w:val="auto"/>
              </w:rPr>
            </w:pPr>
            <w:r>
              <w:rPr>
                <w:rFonts w:ascii="Arial" w:cs="Arial" w:eastAsia="Arial" w:hAnsi="Arial"/>
                <w:sz w:val="14"/>
                <w:szCs w:val="14"/>
                <w:color w:val="auto"/>
              </w:rPr>
              <w:t>001-32871</w:t>
            </w:r>
          </w:p>
        </w:tc>
        <w:tc>
          <w:tcPr>
            <w:tcW w:w="5240" w:type="dxa"/>
            <w:vAlign w:val="bottom"/>
          </w:tcPr>
          <w:p>
            <w:pPr>
              <w:spacing w:after="0"/>
              <w:rPr>
                <w:sz w:val="14"/>
                <w:szCs w:val="14"/>
                <w:color w:val="auto"/>
              </w:rPr>
            </w:pPr>
          </w:p>
        </w:tc>
        <w:tc>
          <w:tcPr>
            <w:tcW w:w="3080" w:type="dxa"/>
            <w:vAlign w:val="bottom"/>
          </w:tcPr>
          <w:p>
            <w:pPr>
              <w:jc w:val="right"/>
              <w:ind w:right="1052"/>
              <w:spacing w:after="0"/>
              <w:rPr>
                <w:sz w:val="20"/>
                <w:szCs w:val="20"/>
                <w:color w:val="auto"/>
              </w:rPr>
            </w:pPr>
            <w:r>
              <w:rPr>
                <w:rFonts w:ascii="Arial" w:cs="Arial" w:eastAsia="Arial" w:hAnsi="Arial"/>
                <w:sz w:val="14"/>
                <w:szCs w:val="14"/>
                <w:color w:val="auto"/>
              </w:rPr>
              <w:t>27-0000798</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4"/>
                <w:szCs w:val="14"/>
                <w:color w:val="auto"/>
                <w:w w:val="94"/>
              </w:rPr>
              <w:t>PENNSYLVANIA</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Arial" w:cs="Arial" w:eastAsia="Arial" w:hAnsi="Arial"/>
                <w:sz w:val="14"/>
                <w:szCs w:val="14"/>
                <w:color w:val="auto"/>
                <w:w w:val="95"/>
              </w:rPr>
              <w:t>One Comcast Center</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Arial" w:cs="Arial" w:eastAsia="Arial" w:hAnsi="Arial"/>
                <w:sz w:val="14"/>
                <w:szCs w:val="14"/>
                <w:color w:val="auto"/>
                <w:w w:val="95"/>
              </w:rPr>
              <w:t>Philadelphia, PA 19103-2838</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rPr>
                <w:sz w:val="11"/>
                <w:szCs w:val="11"/>
                <w:color w:val="auto"/>
              </w:rPr>
            </w:pPr>
          </w:p>
        </w:tc>
        <w:tc>
          <w:tcPr>
            <w:tcW w:w="5240" w:type="dxa"/>
            <w:vAlign w:val="bottom"/>
          </w:tcPr>
          <w:p>
            <w:pPr>
              <w:jc w:val="center"/>
              <w:spacing w:after="0" w:line="131" w:lineRule="exact"/>
              <w:rPr>
                <w:sz w:val="20"/>
                <w:szCs w:val="20"/>
                <w:color w:val="auto"/>
              </w:rPr>
            </w:pPr>
            <w:r>
              <w:rPr>
                <w:rFonts w:ascii="Arial" w:cs="Arial" w:eastAsia="Arial" w:hAnsi="Arial"/>
                <w:sz w:val="14"/>
                <w:szCs w:val="14"/>
                <w:color w:val="auto"/>
                <w:w w:val="96"/>
              </w:rPr>
              <w:t>(215) 286-1700</w:t>
            </w: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100" w:type="dxa"/>
            <w:vAlign w:val="bottom"/>
            <w:vMerge w:val="restart"/>
          </w:tcPr>
          <w:p>
            <w:pPr>
              <w:jc w:val="right"/>
              <w:ind w:right="1172"/>
              <w:spacing w:after="0"/>
              <w:rPr>
                <w:sz w:val="20"/>
                <w:szCs w:val="20"/>
                <w:color w:val="auto"/>
              </w:rPr>
            </w:pPr>
            <w:r>
              <w:rPr>
                <w:rFonts w:ascii="Arial" w:cs="Arial" w:eastAsia="Arial" w:hAnsi="Arial"/>
                <w:sz w:val="14"/>
                <w:szCs w:val="14"/>
                <w:color w:val="auto"/>
              </w:rPr>
              <w:t>333-174175</w:t>
            </w:r>
          </w:p>
        </w:tc>
        <w:tc>
          <w:tcPr>
            <w:tcW w:w="5240" w:type="dxa"/>
            <w:vAlign w:val="bottom"/>
          </w:tcPr>
          <w:p>
            <w:pPr>
              <w:jc w:val="center"/>
              <w:spacing w:after="0" w:line="154" w:lineRule="exact"/>
              <w:rPr>
                <w:sz w:val="20"/>
                <w:szCs w:val="20"/>
                <w:color w:val="auto"/>
              </w:rPr>
            </w:pPr>
            <w:r>
              <w:rPr>
                <w:rFonts w:ascii="Arial" w:cs="Arial" w:eastAsia="Arial" w:hAnsi="Arial"/>
                <w:sz w:val="17"/>
                <w:szCs w:val="17"/>
                <w:b w:val="1"/>
                <w:bCs w:val="1"/>
                <w:color w:val="auto"/>
              </w:rPr>
              <w:t>NBCUniversal Media, LLC</w:t>
            </w:r>
          </w:p>
        </w:tc>
        <w:tc>
          <w:tcPr>
            <w:tcW w:w="3080" w:type="dxa"/>
            <w:vAlign w:val="bottom"/>
            <w:vMerge w:val="restart"/>
          </w:tcPr>
          <w:p>
            <w:pPr>
              <w:jc w:val="right"/>
              <w:ind w:right="1052"/>
              <w:spacing w:after="0"/>
              <w:rPr>
                <w:sz w:val="20"/>
                <w:szCs w:val="20"/>
                <w:color w:val="auto"/>
              </w:rPr>
            </w:pPr>
            <w:r>
              <w:rPr>
                <w:rFonts w:ascii="Arial" w:cs="Arial" w:eastAsia="Arial" w:hAnsi="Arial"/>
                <w:sz w:val="14"/>
                <w:szCs w:val="14"/>
                <w:color w:val="auto"/>
              </w:rPr>
              <w:t>14-1682529</w:t>
            </w:r>
          </w:p>
        </w:tc>
        <w:tc>
          <w:tcPr>
            <w:tcW w:w="0" w:type="dxa"/>
            <w:vAlign w:val="bottom"/>
          </w:tcPr>
          <w:p>
            <w:pPr>
              <w:spacing w:after="0"/>
              <w:rPr>
                <w:sz w:val="1"/>
                <w:szCs w:val="1"/>
                <w:color w:val="auto"/>
              </w:rPr>
            </w:pPr>
          </w:p>
        </w:tc>
      </w:tr>
      <w:tr>
        <w:trPr>
          <w:trHeight w:val="40"/>
        </w:trPr>
        <w:tc>
          <w:tcPr>
            <w:tcW w:w="3100" w:type="dxa"/>
            <w:vAlign w:val="bottom"/>
            <w:vMerge w:val="continue"/>
          </w:tcPr>
          <w:p>
            <w:pPr>
              <w:spacing w:after="0"/>
              <w:rPr>
                <w:sz w:val="3"/>
                <w:szCs w:val="3"/>
                <w:color w:val="auto"/>
              </w:rPr>
            </w:pPr>
          </w:p>
        </w:tc>
        <w:tc>
          <w:tcPr>
            <w:tcW w:w="5240" w:type="dxa"/>
            <w:vAlign w:val="bottom"/>
          </w:tcPr>
          <w:p>
            <w:pPr>
              <w:spacing w:after="0"/>
              <w:rPr>
                <w:sz w:val="3"/>
                <w:szCs w:val="3"/>
                <w:color w:val="auto"/>
              </w:rPr>
            </w:pPr>
          </w:p>
        </w:tc>
        <w:tc>
          <w:tcPr>
            <w:tcW w:w="3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4"/>
                <w:szCs w:val="14"/>
                <w:color w:val="auto"/>
                <w:w w:val="94"/>
              </w:rPr>
              <w:t>DELAWARE</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Arial" w:cs="Arial" w:eastAsia="Arial" w:hAnsi="Arial"/>
                <w:sz w:val="14"/>
                <w:szCs w:val="14"/>
                <w:color w:val="auto"/>
                <w:w w:val="96"/>
              </w:rPr>
              <w:t>30 Rockefeller Plaza</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5240" w:type="dxa"/>
            <w:vAlign w:val="bottom"/>
          </w:tcPr>
          <w:p>
            <w:pPr>
              <w:jc w:val="center"/>
              <w:spacing w:after="0" w:line="149" w:lineRule="exact"/>
              <w:rPr>
                <w:sz w:val="20"/>
                <w:szCs w:val="20"/>
                <w:color w:val="auto"/>
              </w:rPr>
            </w:pPr>
            <w:r>
              <w:rPr>
                <w:rFonts w:ascii="Arial" w:cs="Arial" w:eastAsia="Arial" w:hAnsi="Arial"/>
                <w:sz w:val="14"/>
                <w:szCs w:val="14"/>
                <w:color w:val="auto"/>
                <w:w w:val="94"/>
              </w:rPr>
              <w:t>New York, NY 10112-0015</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color w:val="auto"/>
                <w:w w:val="96"/>
              </w:rPr>
              <w:t>(212) 664-4444</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69215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Comcast Corporation –</w:t>
            </w:r>
          </w:p>
        </w:tc>
        <w:tc>
          <w:tcPr>
            <w:tcW w:w="5440" w:type="dxa"/>
            <w:vAlign w:val="bottom"/>
          </w:tcPr>
          <w:p>
            <w:pPr>
              <w:spacing w:after="0"/>
              <w:rPr>
                <w:sz w:val="14"/>
                <w:szCs w:val="14"/>
                <w:color w:val="auto"/>
              </w:rPr>
            </w:pPr>
          </w:p>
        </w:tc>
      </w:tr>
      <w:tr>
        <w:trPr>
          <w:trHeight w:val="163"/>
        </w:trPr>
        <w:tc>
          <w:tcPr>
            <w:tcW w:w="5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5"/>
              </w:rPr>
              <w:t>Title of Each Class</w:t>
            </w:r>
          </w:p>
        </w:tc>
        <w:tc>
          <w:tcPr>
            <w:tcW w:w="54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96"/>
              </w:rPr>
              <w:t>Name of Each Exchange on Which Registered</w:t>
            </w:r>
          </w:p>
        </w:tc>
      </w:tr>
      <w:tr>
        <w:trPr>
          <w:trHeight w:val="141"/>
        </w:trPr>
        <w:tc>
          <w:tcPr>
            <w:tcW w:w="5980" w:type="dxa"/>
            <w:vAlign w:val="bottom"/>
          </w:tcPr>
          <w:p>
            <w:pPr>
              <w:jc w:val="center"/>
              <w:ind w:right="72"/>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5440" w:type="dxa"/>
            <w:vAlign w:val="bottom"/>
          </w:tcPr>
          <w:p>
            <w:pPr>
              <w:jc w:val="center"/>
              <w:spacing w:after="0" w:line="141"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5440" w:type="dxa"/>
            <w:vAlign w:val="bottom"/>
          </w:tcPr>
          <w:p>
            <w:pPr>
              <w:jc w:val="center"/>
              <w:spacing w:after="0" w:line="149" w:lineRule="exact"/>
              <w:rPr>
                <w:sz w:val="20"/>
                <w:szCs w:val="20"/>
                <w:color w:val="auto"/>
              </w:rPr>
            </w:pPr>
            <w:r>
              <w:rPr>
                <w:rFonts w:ascii="Arial" w:cs="Arial" w:eastAsia="Arial" w:hAnsi="Arial"/>
                <w:sz w:val="14"/>
                <w:szCs w:val="14"/>
                <w:color w:val="auto"/>
                <w:w w:val="96"/>
              </w:rPr>
              <w:t>NASDAQ Global Select Market</w:t>
            </w:r>
          </w:p>
        </w:tc>
      </w:tr>
      <w:tr>
        <w:trPr>
          <w:trHeight w:val="149"/>
        </w:trPr>
        <w:tc>
          <w:tcPr>
            <w:tcW w:w="59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5.00% Notes due 2061</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49"/>
        </w:trPr>
        <w:tc>
          <w:tcPr>
            <w:tcW w:w="59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5.50% Notes due 2029</w:t>
            </w:r>
          </w:p>
        </w:tc>
        <w:tc>
          <w:tcPr>
            <w:tcW w:w="544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6"/>
              </w:rPr>
              <w:t>New York Stock Exchange</w:t>
            </w:r>
          </w:p>
        </w:tc>
      </w:tr>
      <w:tr>
        <w:trPr>
          <w:trHeight w:val="162"/>
        </w:trPr>
        <w:tc>
          <w:tcPr>
            <w:tcW w:w="5980" w:type="dxa"/>
            <w:vAlign w:val="bottom"/>
          </w:tcPr>
          <w:p>
            <w:pPr>
              <w:jc w:val="center"/>
              <w:ind w:right="72"/>
              <w:spacing w:after="0"/>
              <w:rPr>
                <w:sz w:val="20"/>
                <w:szCs w:val="20"/>
                <w:color w:val="auto"/>
              </w:rPr>
            </w:pPr>
            <w:r>
              <w:rPr>
                <w:rFonts w:ascii="Arial" w:cs="Arial" w:eastAsia="Arial" w:hAnsi="Arial"/>
                <w:sz w:val="14"/>
                <w:szCs w:val="14"/>
                <w:color w:val="auto"/>
                <w:w w:val="96"/>
              </w:rPr>
              <w:t>9.455% Guaranteed Notes due 2022</w:t>
            </w:r>
          </w:p>
        </w:tc>
        <w:tc>
          <w:tcPr>
            <w:tcW w:w="5440" w:type="dxa"/>
            <w:vAlign w:val="bottom"/>
          </w:tcPr>
          <w:p>
            <w:pPr>
              <w:jc w:val="center"/>
              <w:ind w:left="12"/>
              <w:spacing w:after="0"/>
              <w:rPr>
                <w:sz w:val="20"/>
                <w:szCs w:val="20"/>
                <w:color w:val="auto"/>
              </w:rPr>
            </w:pPr>
            <w:r>
              <w:rPr>
                <w:rFonts w:ascii="Arial" w:cs="Arial" w:eastAsia="Arial" w:hAnsi="Arial"/>
                <w:sz w:val="14"/>
                <w:szCs w:val="14"/>
                <w:color w:val="auto"/>
                <w:w w:val="96"/>
              </w:rPr>
              <w:t>New York Stock Exchange</w:t>
            </w:r>
          </w:p>
        </w:tc>
      </w:tr>
      <w:tr>
        <w:trPr>
          <w:trHeight w:val="189"/>
        </w:trPr>
        <w:tc>
          <w:tcPr>
            <w:tcW w:w="5980" w:type="dxa"/>
            <w:vAlign w:val="bottom"/>
          </w:tcPr>
          <w:p>
            <w:pPr>
              <w:spacing w:after="0"/>
              <w:rPr>
                <w:sz w:val="20"/>
                <w:szCs w:val="20"/>
                <w:color w:val="auto"/>
              </w:rPr>
            </w:pPr>
            <w:r>
              <w:rPr>
                <w:rFonts w:ascii="Arial" w:cs="Arial" w:eastAsia="Arial" w:hAnsi="Arial"/>
                <w:sz w:val="14"/>
                <w:szCs w:val="14"/>
                <w:color w:val="auto"/>
              </w:rPr>
              <w:t>NBCUniversal Media, LLC – NONE</w:t>
            </w:r>
          </w:p>
        </w:tc>
        <w:tc>
          <w:tcPr>
            <w:tcW w:w="5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69215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Comcast Corporation – 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43815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1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25" w:lineRule="exact"/>
        <w:rPr>
          <w:sz w:val="24"/>
          <w:szCs w:val="24"/>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2"/>
          <w:szCs w:val="12"/>
          <w:color w:val="auto"/>
        </w:rPr>
        <w:t>Yes</w:t>
      </w:r>
    </w:p>
    <w:p>
      <w:pPr>
        <w:jc w:val="right"/>
        <w:spacing w:after="0"/>
        <w:tabs>
          <w:tab w:leader="none" w:pos="20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ind w:left="421" w:hanging="421"/>
        <w:spacing w:after="0" w:line="161" w:lineRule="exact"/>
        <w:tabs>
          <w:tab w:leader="none" w:pos="42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 w:lineRule="exact"/>
        <w:rPr>
          <w:rFonts w:ascii="MS PGothic" w:cs="MS PGothic" w:eastAsia="MS PGothic" w:hAnsi="MS PGothic"/>
          <w:sz w:val="14"/>
          <w:szCs w:val="14"/>
          <w:color w:val="auto"/>
        </w:rPr>
      </w:pPr>
    </w:p>
    <w:p>
      <w:pPr>
        <w:ind w:left="421" w:hanging="421"/>
        <w:spacing w:after="0" w:line="161" w:lineRule="exact"/>
        <w:tabs>
          <w:tab w:leader="none" w:pos="421"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ectPr>
          <w:pgSz w:w="11900" w:h="16838" w:orient="portrait"/>
          <w:cols w:equalWidth="0" w:num="2">
            <w:col w:w="7240" w:space="119"/>
            <w:col w:w="4061"/>
          </w:cols>
          <w:pgMar w:left="240" w:top="230" w:right="239" w:bottom="1440" w:gutter="0" w:footer="0" w:header="0"/>
          <w:type w:val="continuous"/>
        </w:sect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00"/>
        <w:spacing w:after="0" w:line="160"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ind w:left="3200"/>
        <w:spacing w:after="0" w:line="160"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ind w:left="3200"/>
        <w:spacing w:after="0" w:line="149" w:lineRule="exact"/>
        <w:tabs>
          <w:tab w:leader="none" w:pos="808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MS PGothic" w:cs="MS PGothic" w:eastAsia="MS PGothic" w:hAnsi="MS PGothic"/>
          <w:sz w:val="12"/>
          <w:szCs w:val="12"/>
          <w:color w:val="auto"/>
        </w:rPr>
        <w:t>☐</w:t>
      </w:r>
    </w:p>
    <w:p>
      <w:pPr>
        <w:spacing w:after="0" w:line="14" w:lineRule="exact"/>
        <w:rPr>
          <w:sz w:val="24"/>
          <w:szCs w:val="24"/>
          <w:color w:val="auto"/>
        </w:rPr>
      </w:pPr>
    </w:p>
    <w:p>
      <w:pPr>
        <w:ind w:left="3200"/>
        <w:spacing w:after="0"/>
        <w:tabs>
          <w:tab w:leader="none" w:pos="798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2"/>
          <w:szCs w:val="12"/>
          <w:color w:val="auto"/>
        </w:rPr>
        <w:t>N/A</w:t>
      </w:r>
    </w:p>
    <w:p>
      <w:pPr>
        <w:spacing w:after="0" w:line="15"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36"/>
        </w:trPr>
        <w:tc>
          <w:tcPr>
            <w:tcW w:w="2060" w:type="dxa"/>
            <w:vAlign w:val="bottom"/>
          </w:tcPr>
          <w:p>
            <w:pPr>
              <w:spacing w:after="0" w:line="137" w:lineRule="exact"/>
              <w:rPr>
                <w:sz w:val="20"/>
                <w:szCs w:val="20"/>
                <w:color w:val="auto"/>
              </w:rPr>
            </w:pPr>
            <w:r>
              <w:rPr>
                <w:rFonts w:ascii="Arial" w:cs="Arial" w:eastAsia="Arial" w:hAnsi="Arial"/>
                <w:sz w:val="14"/>
                <w:szCs w:val="14"/>
                <w:color w:val="auto"/>
              </w:rPr>
              <w:t>Comcast Corporation</w:t>
            </w:r>
          </w:p>
        </w:tc>
        <w:tc>
          <w:tcPr>
            <w:tcW w:w="1840" w:type="dxa"/>
            <w:vAlign w:val="bottom"/>
          </w:tcPr>
          <w:p>
            <w:pPr>
              <w:ind w:left="480"/>
              <w:spacing w:after="0" w:line="137" w:lineRule="exact"/>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36"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line="137" w:lineRule="exact"/>
              <w:rPr>
                <w:sz w:val="20"/>
                <w:szCs w:val="20"/>
                <w:color w:val="auto"/>
              </w:rPr>
            </w:pPr>
            <w:r>
              <w:rPr>
                <w:rFonts w:ascii="Arial" w:cs="Arial" w:eastAsia="Arial" w:hAnsi="Arial"/>
                <w:sz w:val="14"/>
                <w:szCs w:val="14"/>
                <w:color w:val="auto"/>
                <w:w w:val="97"/>
              </w:rPr>
              <w:t>Accelerated filer</w:t>
            </w:r>
          </w:p>
        </w:tc>
        <w:tc>
          <w:tcPr>
            <w:tcW w:w="480" w:type="dxa"/>
            <w:vAlign w:val="bottom"/>
          </w:tcPr>
          <w:p>
            <w:pPr>
              <w:jc w:val="right"/>
              <w:ind w:right="252"/>
              <w:spacing w:after="0" w:line="136" w:lineRule="exact"/>
              <w:rPr>
                <w:sz w:val="20"/>
                <w:szCs w:val="20"/>
                <w:color w:val="auto"/>
              </w:rPr>
            </w:pPr>
            <w:r>
              <w:rPr>
                <w:rFonts w:ascii="MS PGothic" w:cs="MS PGothic" w:eastAsia="MS PGothic" w:hAnsi="MS PGothic"/>
                <w:sz w:val="14"/>
                <w:szCs w:val="14"/>
                <w:color w:val="auto"/>
                <w:w w:val="99"/>
              </w:rPr>
              <w:t>☐</w:t>
            </w:r>
          </w:p>
        </w:tc>
        <w:tc>
          <w:tcPr>
            <w:tcW w:w="2180" w:type="dxa"/>
            <w:vAlign w:val="bottom"/>
            <w:gridSpan w:val="4"/>
          </w:tcPr>
          <w:p>
            <w:pPr>
              <w:ind w:left="320"/>
              <w:spacing w:after="0" w:line="137"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line="137" w:lineRule="exact"/>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36"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840" w:type="dxa"/>
            <w:vAlign w:val="bottom"/>
          </w:tcPr>
          <w:p>
            <w:pPr>
              <w:ind w:left="480"/>
              <w:spacing w:after="0"/>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rPr>
                <w:sz w:val="20"/>
                <w:szCs w:val="20"/>
                <w:color w:val="auto"/>
              </w:rPr>
            </w:pPr>
            <w:r>
              <w:rPr>
                <w:rFonts w:ascii="Arial" w:cs="Arial" w:eastAsia="Arial" w:hAnsi="Arial"/>
                <w:sz w:val="14"/>
                <w:szCs w:val="14"/>
                <w:color w:val="auto"/>
                <w:w w:val="97"/>
              </w:rPr>
              <w:t>Accelerated filer</w:t>
            </w:r>
          </w:p>
        </w:tc>
        <w:tc>
          <w:tcPr>
            <w:tcW w:w="480" w:type="dxa"/>
            <w:vAlign w:val="bottom"/>
          </w:tcPr>
          <w:p>
            <w:pPr>
              <w:jc w:val="right"/>
              <w:ind w:right="252"/>
              <w:spacing w:after="0" w:line="141" w:lineRule="exact"/>
              <w:rPr>
                <w:sz w:val="20"/>
                <w:szCs w:val="20"/>
                <w:color w:val="auto"/>
              </w:rPr>
            </w:pPr>
            <w:r>
              <w:rPr>
                <w:rFonts w:ascii="MS PGothic" w:cs="MS PGothic" w:eastAsia="MS PGothic" w:hAnsi="MS PGothic"/>
                <w:sz w:val="14"/>
                <w:szCs w:val="14"/>
                <w:color w:val="auto"/>
                <w:w w:val="99"/>
              </w:rPr>
              <w:t>☐</w:t>
            </w:r>
          </w:p>
        </w:tc>
        <w:tc>
          <w:tcPr>
            <w:tcW w:w="2180" w:type="dxa"/>
            <w:vAlign w:val="bottom"/>
            <w:gridSpan w:val="4"/>
          </w:tcPr>
          <w:p>
            <w:pPr>
              <w:ind w:left="3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2"/>
        </w:trPr>
        <w:tc>
          <w:tcPr>
            <w:tcW w:w="6440" w:type="dxa"/>
            <w:vAlign w:val="bottom"/>
            <w:gridSpan w:val="5"/>
          </w:tcPr>
          <w:p>
            <w:pPr>
              <w:jc w:val="right"/>
              <w:ind w:right="252"/>
              <w:spacing w:after="0"/>
              <w:rPr>
                <w:sz w:val="20"/>
                <w:szCs w:val="20"/>
                <w:color w:val="auto"/>
              </w:rPr>
            </w:pPr>
            <w:r>
              <w:rPr>
                <w:rFonts w:ascii="Arial" w:cs="Arial" w:eastAsia="Arial" w:hAnsi="Arial"/>
                <w:sz w:val="14"/>
                <w:szCs w:val="14"/>
                <w:color w:val="auto"/>
                <w:w w:val="96"/>
              </w:rPr>
              <w:t>Indicate by check mark whether the registrant is a shell company (as defined in Rule 12b-2 of the Act).</w:t>
            </w:r>
          </w:p>
        </w:tc>
        <w:tc>
          <w:tcPr>
            <w:tcW w:w="860" w:type="dxa"/>
            <w:vAlign w:val="bottom"/>
          </w:tcPr>
          <w:p>
            <w:pPr>
              <w:spacing w:after="0"/>
              <w:rPr>
                <w:sz w:val="14"/>
                <w:szCs w:val="14"/>
                <w:color w:val="auto"/>
              </w:rPr>
            </w:pPr>
          </w:p>
        </w:tc>
        <w:tc>
          <w:tcPr>
            <w:tcW w:w="3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spacing w:after="0"/>
              <w:rPr>
                <w:sz w:val="14"/>
                <w:szCs w:val="14"/>
                <w:color w:val="auto"/>
              </w:rPr>
            </w:pPr>
          </w:p>
        </w:tc>
        <w:tc>
          <w:tcPr>
            <w:tcW w:w="6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2800" w:type="dxa"/>
            <w:vAlign w:val="bottom"/>
            <w:gridSpan w:val="2"/>
          </w:tcPr>
          <w:p>
            <w:pPr>
              <w:ind w:left="1140"/>
              <w:spacing w:after="0" w:line="136" w:lineRule="exact"/>
              <w:rPr>
                <w:sz w:val="20"/>
                <w:szCs w:val="20"/>
                <w:color w:val="auto"/>
              </w:rPr>
            </w:pPr>
            <w:r>
              <w:rPr>
                <w:rFonts w:ascii="Arial" w:cs="Arial" w:eastAsia="Arial" w:hAnsi="Arial"/>
                <w:sz w:val="14"/>
                <w:szCs w:val="14"/>
                <w:color w:val="auto"/>
              </w:rPr>
              <w:t>Comcast Corporation</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ind w:left="580"/>
              <w:spacing w:after="0" w:line="136" w:lineRule="exact"/>
              <w:rPr>
                <w:sz w:val="20"/>
                <w:szCs w:val="20"/>
                <w:color w:val="auto"/>
              </w:rPr>
            </w:pPr>
            <w:r>
              <w:rPr>
                <w:rFonts w:ascii="Arial" w:cs="Arial" w:eastAsia="Arial" w:hAnsi="Arial"/>
                <w:sz w:val="14"/>
                <w:szCs w:val="14"/>
                <w:color w:val="auto"/>
              </w:rPr>
              <w:t>Yes</w:t>
            </w:r>
          </w:p>
        </w:tc>
        <w:tc>
          <w:tcPr>
            <w:tcW w:w="340" w:type="dxa"/>
            <w:vAlign w:val="bottom"/>
            <w:vMerge w:val="continue"/>
          </w:tcPr>
          <w:p>
            <w:pPr>
              <w:spacing w:after="0"/>
              <w:rPr>
                <w:sz w:val="11"/>
                <w:szCs w:val="11"/>
                <w:color w:val="auto"/>
              </w:rPr>
            </w:pPr>
          </w:p>
        </w:tc>
        <w:tc>
          <w:tcPr>
            <w:tcW w:w="360" w:type="dxa"/>
            <w:vAlign w:val="bottom"/>
          </w:tcPr>
          <w:p>
            <w:pPr>
              <w:ind w:left="140"/>
              <w:spacing w:after="0" w:line="136" w:lineRule="exact"/>
              <w:rPr>
                <w:sz w:val="20"/>
                <w:szCs w:val="20"/>
                <w:color w:val="auto"/>
              </w:rPr>
            </w:pPr>
            <w:r>
              <w:rPr>
                <w:rFonts w:ascii="Arial" w:cs="Arial" w:eastAsia="Arial" w:hAnsi="Arial"/>
                <w:sz w:val="14"/>
                <w:szCs w:val="14"/>
                <w:color w:val="auto"/>
              </w:rPr>
              <w:t>No</w:t>
            </w:r>
          </w:p>
        </w:tc>
        <w:tc>
          <w:tcPr>
            <w:tcW w:w="62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2800" w:type="dxa"/>
            <w:vAlign w:val="bottom"/>
            <w:gridSpan w:val="2"/>
          </w:tcPr>
          <w:p>
            <w:pPr>
              <w:jc w:val="center"/>
              <w:ind w:left="992"/>
              <w:spacing w:after="0"/>
              <w:rPr>
                <w:sz w:val="20"/>
                <w:szCs w:val="20"/>
                <w:color w:val="auto"/>
              </w:rPr>
            </w:pPr>
            <w:r>
              <w:rPr>
                <w:rFonts w:ascii="Arial" w:cs="Arial" w:eastAsia="Arial" w:hAnsi="Arial"/>
                <w:sz w:val="14"/>
                <w:szCs w:val="14"/>
                <w:color w:val="auto"/>
                <w:w w:val="96"/>
              </w:rPr>
              <w:t>NBCUniversal Media, LLC</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ind w:left="580"/>
              <w:spacing w:after="0"/>
              <w:rPr>
                <w:sz w:val="20"/>
                <w:szCs w:val="20"/>
                <w:color w:val="auto"/>
              </w:rPr>
            </w:pPr>
            <w:r>
              <w:rPr>
                <w:rFonts w:ascii="Arial" w:cs="Arial" w:eastAsia="Arial" w:hAnsi="Arial"/>
                <w:sz w:val="14"/>
                <w:szCs w:val="14"/>
                <w:color w:val="auto"/>
              </w:rPr>
              <w:t>Yes</w:t>
            </w:r>
          </w:p>
        </w:tc>
        <w:tc>
          <w:tcPr>
            <w:tcW w:w="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No</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Arial" w:cs="Arial" w:eastAsia="Arial" w:hAnsi="Arial"/>
          <w:sz w:val="14"/>
          <w:szCs w:val="14"/>
          <w:color w:val="auto"/>
        </w:rPr>
        <w:t>As of June 30, 2014, the aggregate market value of the Comcast Corporation Class A common stock and Class A Special common stock held by non-affiliates of the registrant was $115.221 billion and $22.369 billion, respectively.</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15"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As of December 31, 2014, there were 2,131,137,862 shares of Comcast Corporation Class A common stock, 400,484,837 shares of Class A Special common stock and 9,444,375 shares of Class B common stock outstanding.</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1" w:lineRule="exact"/>
        <w:rPr>
          <w:sz w:val="24"/>
          <w:szCs w:val="24"/>
          <w:color w:val="auto"/>
        </w:rPr>
      </w:pPr>
    </w:p>
    <w:p>
      <w:pPr>
        <w:spacing w:after="0" w:line="243" w:lineRule="auto"/>
        <w:rPr>
          <w:sz w:val="20"/>
          <w:szCs w:val="20"/>
          <w:color w:val="auto"/>
        </w:rPr>
      </w:pPr>
      <w:r>
        <w:rPr>
          <w:rFonts w:ascii="Arial" w:cs="Arial" w:eastAsia="Arial" w:hAnsi="Arial"/>
          <w:sz w:val="14"/>
          <w:szCs w:val="14"/>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59055</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1" w:lineRule="exact"/>
        <w:rPr>
          <w:sz w:val="24"/>
          <w:szCs w:val="24"/>
          <w:color w:val="auto"/>
        </w:rPr>
      </w:pPr>
    </w:p>
    <w:p>
      <w:pPr>
        <w:ind w:right="1920"/>
        <w:spacing w:after="0" w:line="263"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May 2015. NBCUniversal Media, LLC –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2014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0C6DFF"/>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gridSpan w:val="2"/>
          </w:tcPr>
          <w:p>
            <w:pPr>
              <w:spacing w:after="0" w:line="17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Business</w:t>
              </w:r>
            </w:hyperlink>
          </w:p>
        </w:tc>
        <w:tc>
          <w:tcPr>
            <w:tcW w:w="7100" w:type="dxa"/>
            <w:vAlign w:val="bottom"/>
            <w:gridSpan w:val="20"/>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7820" w:type="dxa"/>
            <w:vAlign w:val="bottom"/>
            <w:gridSpan w:val="22"/>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Unresolved Staff Comments</w:t>
              </w:r>
            </w:hyperlink>
          </w:p>
        </w:tc>
        <w:tc>
          <w:tcPr>
            <w:tcW w:w="5620" w:type="dxa"/>
            <w:vAlign w:val="bottom"/>
            <w:gridSpan w:val="1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7820" w:type="dxa"/>
            <w:vAlign w:val="bottom"/>
            <w:gridSpan w:val="22"/>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Properties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Legal Proceedings</w:t>
              </w:r>
            </w:hyperlink>
          </w:p>
        </w:tc>
        <w:tc>
          <w:tcPr>
            <w:tcW w:w="6360" w:type="dxa"/>
            <w:vAlign w:val="bottom"/>
            <w:gridSpan w:val="16"/>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7820" w:type="dxa"/>
            <w:vAlign w:val="bottom"/>
            <w:gridSpan w:val="22"/>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6240" w:type="dxa"/>
            <w:vAlign w:val="bottom"/>
            <w:tcBorders>
              <w:bottom w:val="single" w:sz="8" w:color="0000EE"/>
            </w:tcBorders>
            <w:gridSpan w:val="19"/>
          </w:tcPr>
          <w:p>
            <w:pPr>
              <w:spacing w:after="0" w:line="17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Market for Registrant’s Common Equity, Related Stockholder Matters and Issuer</w:t>
              </w:r>
            </w:hyperlink>
          </w:p>
        </w:tc>
        <w:tc>
          <w:tcPr>
            <w:tcW w:w="1580" w:type="dxa"/>
            <w:vAlign w:val="bottom"/>
            <w:gridSpan w:val="3"/>
          </w:tcPr>
          <w:p>
            <w:pPr>
              <w:spacing w:after="0"/>
              <w:rPr>
                <w:sz w:val="14"/>
                <w:szCs w:val="14"/>
                <w:color w:val="auto"/>
              </w:rPr>
            </w:pPr>
          </w:p>
        </w:tc>
        <w:tc>
          <w:tcPr>
            <w:tcW w:w="2500" w:type="dxa"/>
            <w:vAlign w:val="bottom"/>
          </w:tcPr>
          <w:p>
            <w:pPr>
              <w:spacing w:after="0"/>
              <w:rPr>
                <w:sz w:val="14"/>
                <w:szCs w:val="14"/>
                <w:color w:val="auto"/>
              </w:rPr>
            </w:pPr>
          </w:p>
        </w:tc>
      </w:tr>
      <w:tr>
        <w:trPr>
          <w:trHeight w:val="18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gridSpan w:val="21"/>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Purchases of Equity Securities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Selected Financial Data</w:t>
              </w:r>
            </w:hyperlink>
          </w:p>
        </w:tc>
        <w:tc>
          <w:tcPr>
            <w:tcW w:w="5960" w:type="dxa"/>
            <w:vAlign w:val="bottom"/>
            <w:gridSpan w:val="15"/>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Management’s Discussion and Analysis of Financial Condition and Results of Operations</w:t>
              </w:r>
            </w:hyperlink>
          </w:p>
        </w:tc>
        <w:tc>
          <w:tcPr>
            <w:tcW w:w="900" w:type="dxa"/>
            <w:vAlign w:val="bottom"/>
            <w:gridSpan w:val="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7820" w:type="dxa"/>
            <w:vAlign w:val="bottom"/>
            <w:gridSpan w:val="22"/>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7820" w:type="dxa"/>
            <w:vAlign w:val="bottom"/>
            <w:gridSpan w:val="22"/>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Comcast Corporation Financial Statements and Supplementary Data</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7820" w:type="dxa"/>
            <w:vAlign w:val="bottom"/>
            <w:gridSpan w:val="22"/>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Changes in and Disagreements with Accountants on Accounting and Financial Disclosure</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69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Controls and Procedures</w:t>
              </w:r>
            </w:hyperlink>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35">
              <w:r>
                <w:rPr>
                  <w:rFonts w:ascii="Arial" w:cs="Arial" w:eastAsia="Arial" w:hAnsi="Arial"/>
                  <w:sz w:val="18"/>
                  <w:szCs w:val="18"/>
                  <w:color w:val="0000EE"/>
                </w:rPr>
                <w:t>Other Information</w:t>
              </w:r>
            </w:hyperlink>
          </w:p>
        </w:tc>
        <w:tc>
          <w:tcPr>
            <w:tcW w:w="5880" w:type="dxa"/>
            <w:vAlign w:val="bottom"/>
            <w:gridSpan w:val="13"/>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132</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4"/>
          </w:tcPr>
          <w:p>
            <w:pPr>
              <w:spacing w:after="0" w:line="172"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Directors, Executive Officers and Corporate Governance</w:t>
              </w:r>
            </w:hyperlink>
          </w:p>
        </w:tc>
        <w:tc>
          <w:tcPr>
            <w:tcW w:w="3420" w:type="dxa"/>
            <w:vAlign w:val="bottom"/>
            <w:gridSpan w:val="8"/>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133</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7820" w:type="dxa"/>
            <w:vAlign w:val="bottom"/>
            <w:gridSpan w:val="22"/>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Executive Compensation</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134</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37">
              <w:r>
                <w:rPr>
                  <w:rFonts w:ascii="Arial" w:cs="Arial" w:eastAsia="Arial" w:hAnsi="Arial"/>
                  <w:sz w:val="18"/>
                  <w:szCs w:val="18"/>
                  <w:color w:val="0000EE"/>
                  <w:w w:val="97"/>
                </w:rPr>
                <w:t>Security Ownership of Certain Beneficial Owners and Management and Related Stockholder Matters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37">
              <w:r>
                <w:rPr>
                  <w:rFonts w:ascii="Arial" w:cs="Arial" w:eastAsia="Arial" w:hAnsi="Arial"/>
                  <w:sz w:val="18"/>
                  <w:szCs w:val="18"/>
                  <w:color w:val="0000EE"/>
                  <w:w w:val="97"/>
                </w:rPr>
                <w:t>Certain Relationships and Related Transactions, and Director Independence</w:t>
              </w:r>
            </w:hyperlink>
          </w:p>
        </w:tc>
        <w:tc>
          <w:tcPr>
            <w:tcW w:w="1880" w:type="dxa"/>
            <w:vAlign w:val="bottom"/>
            <w:gridSpan w:val="4"/>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134</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7820" w:type="dxa"/>
            <w:vAlign w:val="bottom"/>
            <w:gridSpan w:val="22"/>
          </w:tcPr>
          <w:p>
            <w:pPr>
              <w:spacing w:after="0" w:line="182" w:lineRule="exact"/>
              <w:rPr>
                <w:rFonts w:ascii="Arial" w:cs="Arial" w:eastAsia="Arial" w:hAnsi="Arial"/>
                <w:sz w:val="18"/>
                <w:szCs w:val="18"/>
                <w:color w:val="0000EE"/>
              </w:rPr>
            </w:pPr>
            <w:hyperlink w:anchor="page138">
              <w:r>
                <w:rPr>
                  <w:rFonts w:ascii="Arial" w:cs="Arial" w:eastAsia="Arial" w:hAnsi="Arial"/>
                  <w:sz w:val="18"/>
                  <w:szCs w:val="18"/>
                  <w:color w:val="0000EE"/>
                </w:rPr>
                <w:t>Principal Accountant Fees and Services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7820" w:type="dxa"/>
            <w:vAlign w:val="bottom"/>
            <w:gridSpan w:val="22"/>
          </w:tcPr>
          <w:p>
            <w:pPr>
              <w:spacing w:after="0" w:line="172" w:lineRule="exact"/>
              <w:rPr>
                <w:rFonts w:ascii="Arial" w:cs="Arial" w:eastAsia="Arial" w:hAnsi="Arial"/>
                <w:sz w:val="18"/>
                <w:szCs w:val="18"/>
                <w:color w:val="0000EE"/>
              </w:rPr>
            </w:pPr>
            <w:hyperlink w:anchor="page139">
              <w:r>
                <w:rPr>
                  <w:rFonts w:ascii="Arial" w:cs="Arial" w:eastAsia="Arial" w:hAnsi="Arial"/>
                  <w:sz w:val="18"/>
                  <w:szCs w:val="18"/>
                  <w:color w:val="0000EE"/>
                </w:rPr>
                <w:t>Exhibits and Financial Statement Schedules</w:t>
              </w:r>
            </w:hyperlink>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136</w:t>
            </w:r>
          </w:p>
        </w:tc>
      </w:tr>
      <w:tr>
        <w:trPr>
          <w:trHeight w:val="183"/>
        </w:trPr>
        <w:tc>
          <w:tcPr>
            <w:tcW w:w="880" w:type="dxa"/>
            <w:vAlign w:val="bottom"/>
            <w:gridSpan w:val="2"/>
          </w:tcPr>
          <w:p>
            <w:pPr>
              <w:spacing w:after="0" w:line="182" w:lineRule="exact"/>
              <w:rPr>
                <w:rFonts w:ascii="Arial" w:cs="Arial" w:eastAsia="Arial" w:hAnsi="Arial"/>
                <w:sz w:val="18"/>
                <w:szCs w:val="18"/>
                <w:color w:val="0000EE"/>
                <w:w w:val="99"/>
              </w:rPr>
            </w:pPr>
            <w:hyperlink w:anchor="page149">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146</w:t>
            </w:r>
          </w:p>
        </w:tc>
      </w:tr>
      <w:tr>
        <w:trPr>
          <w:trHeight w:val="20"/>
        </w:trPr>
        <w:tc>
          <w:tcPr>
            <w:tcW w:w="840" w:type="dxa"/>
            <w:vAlign w:val="bottom"/>
            <w:shd w:val="clear" w:color="auto" w:fill="0000EE"/>
          </w:tcPr>
          <w:p>
            <w:pPr>
              <w:spacing w:after="0" w:line="20" w:lineRule="exact"/>
              <w:rPr>
                <w:sz w:val="1"/>
                <w:szCs w:val="1"/>
                <w:color w:val="auto"/>
              </w:rPr>
            </w:pPr>
          </w:p>
        </w:tc>
        <w:tc>
          <w:tcPr>
            <w:tcW w:w="4900" w:type="dxa"/>
            <w:vAlign w:val="bottom"/>
            <w:gridSpan w:val="17"/>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57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NBCUniversal Media, LLC Financial Statements and Supplementary Data</w:t>
              </w:r>
            </w:hyperlink>
          </w:p>
        </w:tc>
        <w:tc>
          <w:tcPr>
            <w:tcW w:w="2960" w:type="dxa"/>
            <w:vAlign w:val="bottom"/>
            <w:gridSpan w:val="6"/>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148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 Unless indicated otherwise, throughout this Annual Report on Form 10-K, we refer to Comcast and its consolidated subsidiaries, including NBCUniversal and its consolidated subsidiaries, as “we,” “us” and “our;” Comcast Cable Communications, LLC and its subsidiaries as “Comcast Cable;” Comcast Holdings Corporation as “Comcast Holdings;” and NBCUniversal, LLC as “NBCUniversal Holdings.”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is for the year ended December 31, 2014. This Annual Report on Form 10-K modifies and supersedes documents filed before it.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 Business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In 2011, we acquired control of the businesses of NBCUniversal from General Electric Company (the “NBCUniversal transaction”), and in 2013, we acquired the remaining 49% common equity interest in NBCUniversal, LLC (“NBCUniversal Holdings”) that we did not already own.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92" w:lineRule="exact"/>
        <w:rPr>
          <w:sz w:val="20"/>
          <w:szCs w:val="20"/>
          <w:color w:val="auto"/>
        </w:rPr>
      </w:pPr>
    </w:p>
    <w:p>
      <w:pPr>
        <w:jc w:val="both"/>
        <w:ind w:left="1020" w:right="1240" w:hanging="215"/>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high-speed Internet and voice services (“cable services”) to residential customers under the XFINITY brand; we also provide similar and other services to small and medium-sized businesses and sell advertising.</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and our cable television production operations.</w:t>
      </w:r>
    </w:p>
    <w:p>
      <w:pPr>
        <w:spacing w:after="0" w:line="71" w:lineRule="exact"/>
        <w:rPr>
          <w:rFonts w:ascii="Arial" w:cs="Arial" w:eastAsia="Arial" w:hAnsi="Arial"/>
          <w:sz w:val="18"/>
          <w:szCs w:val="18"/>
          <w:color w:val="auto"/>
        </w:rPr>
      </w:pPr>
    </w:p>
    <w:p>
      <w:pPr>
        <w:ind w:left="1020" w:right="124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w:t>
      </w:r>
      <w:r>
        <w:rPr>
          <w:rFonts w:ascii="Arial" w:cs="Arial" w:eastAsia="Arial" w:hAnsi="Arial"/>
          <w:sz w:val="18"/>
          <w:szCs w:val="18"/>
          <w:b w:val="1"/>
          <w:bCs w:val="1"/>
          <w:color w:val="auto"/>
        </w:rPr>
        <w:t xml:space="preserve"> </w:t>
      </w:r>
      <w:r>
        <w:rPr>
          <w:rFonts w:ascii="Arial" w:cs="Arial" w:eastAsia="Arial" w:hAnsi="Arial"/>
          <w:sz w:val="18"/>
          <w:szCs w:val="18"/>
          <w:color w:val="auto"/>
        </w:rPr>
        <w:t>Telemundo owned local broadcast television stations, and our broadcast television production operations.</w:t>
      </w:r>
    </w:p>
    <w:p>
      <w:pPr>
        <w:spacing w:after="0" w:line="71" w:lineRule="exact"/>
        <w:rPr>
          <w:rFonts w:ascii="Arial" w:cs="Arial" w:eastAsia="Arial" w:hAnsi="Arial"/>
          <w:sz w:val="18"/>
          <w:szCs w:val="18"/>
          <w:color w:val="auto"/>
        </w:rPr>
      </w:pPr>
    </w:p>
    <w:p>
      <w:pPr>
        <w:ind w:left="1020" w:right="1240" w:hanging="215"/>
        <w:spacing w:after="0" w:line="26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distributes filmed entertainment worldwide.</w:t>
      </w:r>
    </w:p>
    <w:p>
      <w:pPr>
        <w:spacing w:after="0" w:line="71"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other business interests consist primarily of Comcast-Spectacor, which owns the Philadelphia Flyers and the Wells Fargo Center arena in Philadelphia, Pennsylvania and operates arena management-related businesses.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2014, our Cable Communications segment generated 64% of our consolidated revenue and 79% of our operating income before depreciation and amortization.</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financial and other information about our reportable business segments, refer to Note 18 to Comcast’s consolidated financial statements and Note 17 to NBCUniversal’s consolidated financial statements included in this Annual Report on Form 10-K.</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additional information on general developments of our business, see Item 7, Management’s Discussion and Analysis of Financial Condition and Results of Operations.</w:t>
      </w:r>
    </w:p>
    <w:p>
      <w:pPr>
        <w:spacing w:after="0" w:line="324"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Proposed Merger and Divestiture Transactions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February 12, 2014, we entered into an agreement and plan of merger (the “merger agreement”) with Time Warner Cable Inc. (“Time Warner Cable”) whereby Time Warner Cable will become our wholly owned subsidiary (the “Time Warner Cable merger”). Time Warner Cable is among the largest providers of video, high-speed Internet and voice services in the United States, located mainly in five geographic areas: New York State (including New York City), the Carolinas, the Midwest (including Ohio, Kentucky and Wisconsin), Southern California (including Los Angeles) and Texas. We expect the Time Warner Cable merger to close in early 2015. As of December 31, 2014, Time Warner Cable had 11.0 million video customers, 12.3 million high-speed Internet customers and 5.6 million voice customers. On April 25, 2014, in connection with the merger agreement, we entered into an agreement with Charter Communications, Inc. (“Charter”) that, among other things, would result in a net disposition of approximately 3.7 million video subscribers with an expected closing 30 to 60 days following the close of the Time Warner Cable merger. Both transactions are subject to regulatory approval and other customary conditions. For additional information about these transactions, see Item 7, Management’s Discussion and Analysis of Financial Condition and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The public may read and copy any materials filed with the SEC at the SEC’s Public Reference Room at 100 F Street, NE, Washington, DC 20549. The public may obtain information on the operation of the Public Reference Room by calling the SEC at 1-800-SEC-0330. Comcast and NBCUniversal’s Annual Reports on Form 10-K, Quarterly Reports on Form 10-Q, Current Reports on Form 8-K and any amendments to such reports filed with or furnished to the SEC under Sections 13(a) or 15(d) of the Securities Exchange Act of 1934, as amended (the “Exchange Act”), are available free of charge on the SEC’s website at www.sec.gov and on Comcast’s website at www.comcastcorporation.com as soon as reasonably practicable after such reports are electronically filed with the SEC. The information posted on our websites is not incorporated into our SEC filings.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system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77"/>
        </w:trPr>
        <w:tc>
          <w:tcPr>
            <w:tcW w:w="5420" w:type="dxa"/>
            <w:vAlign w:val="bottom"/>
          </w:tcPr>
          <w:p>
            <w:pPr>
              <w:spacing w:after="0" w:line="177" w:lineRule="exact"/>
              <w:rPr>
                <w:sz w:val="20"/>
                <w:szCs w:val="20"/>
                <w:color w:val="auto"/>
              </w:rPr>
            </w:pPr>
            <w:r>
              <w:rPr>
                <w:rFonts w:ascii="Arial" w:cs="Arial" w:eastAsia="Arial" w:hAnsi="Arial"/>
                <w:sz w:val="16"/>
                <w:szCs w:val="16"/>
                <w:color w:val="auto"/>
              </w:rPr>
              <w:t>Homes and businesses passed</w:t>
            </w:r>
            <w:r>
              <w:rPr>
                <w:rFonts w:ascii="Arial" w:cs="Arial" w:eastAsia="Arial" w:hAnsi="Arial"/>
                <w:sz w:val="20"/>
                <w:szCs w:val="20"/>
                <w:color w:val="auto"/>
                <w:vertAlign w:val="superscript"/>
              </w:rPr>
              <w:t>(a)</w:t>
            </w:r>
          </w:p>
        </w:tc>
        <w:tc>
          <w:tcPr>
            <w:tcW w:w="3180" w:type="dxa"/>
            <w:vAlign w:val="bottom"/>
          </w:tcPr>
          <w:p>
            <w:pPr>
              <w:jc w:val="right"/>
              <w:ind w:right="174"/>
              <w:spacing w:after="0" w:line="177" w:lineRule="exact"/>
              <w:rPr>
                <w:sz w:val="20"/>
                <w:szCs w:val="20"/>
                <w:color w:val="auto"/>
              </w:rPr>
            </w:pPr>
            <w:r>
              <w:rPr>
                <w:rFonts w:ascii="Arial" w:cs="Arial" w:eastAsia="Arial" w:hAnsi="Arial"/>
                <w:sz w:val="18"/>
                <w:szCs w:val="18"/>
                <w:b w:val="1"/>
                <w:bCs w:val="1"/>
                <w:color w:val="auto"/>
              </w:rPr>
              <w:t>54.7</w:t>
            </w:r>
          </w:p>
        </w:tc>
        <w:tc>
          <w:tcPr>
            <w:tcW w:w="72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53.8</w:t>
            </w:r>
          </w:p>
        </w:tc>
        <w:tc>
          <w:tcPr>
            <w:tcW w:w="720" w:type="dxa"/>
            <w:vAlign w:val="bottom"/>
          </w:tcPr>
          <w:p>
            <w:pPr>
              <w:jc w:val="right"/>
              <w:ind w:right="174"/>
              <w:spacing w:after="0" w:line="177" w:lineRule="exact"/>
              <w:rPr>
                <w:sz w:val="20"/>
                <w:szCs w:val="20"/>
                <w:color w:val="auto"/>
              </w:rPr>
            </w:pPr>
            <w:r>
              <w:rPr>
                <w:rFonts w:ascii="Arial" w:cs="Arial" w:eastAsia="Arial" w:hAnsi="Arial"/>
                <w:sz w:val="18"/>
                <w:szCs w:val="18"/>
                <w:color w:val="auto"/>
              </w:rPr>
              <w:t>53.2</w:t>
            </w:r>
          </w:p>
        </w:tc>
        <w:tc>
          <w:tcPr>
            <w:tcW w:w="720" w:type="dxa"/>
            <w:vAlign w:val="bottom"/>
          </w:tcPr>
          <w:p>
            <w:pPr>
              <w:jc w:val="right"/>
              <w:ind w:right="194"/>
              <w:spacing w:after="0" w:line="177" w:lineRule="exact"/>
              <w:rPr>
                <w:sz w:val="20"/>
                <w:szCs w:val="20"/>
                <w:color w:val="auto"/>
              </w:rPr>
            </w:pPr>
            <w:r>
              <w:rPr>
                <w:rFonts w:ascii="Arial" w:cs="Arial" w:eastAsia="Arial" w:hAnsi="Arial"/>
                <w:sz w:val="18"/>
                <w:szCs w:val="18"/>
                <w:color w:val="auto"/>
              </w:rPr>
              <w:t>52.5</w:t>
            </w:r>
          </w:p>
        </w:tc>
        <w:tc>
          <w:tcPr>
            <w:tcW w:w="660" w:type="dxa"/>
            <w:vAlign w:val="bottom"/>
          </w:tcPr>
          <w:p>
            <w:pPr>
              <w:jc w:val="right"/>
              <w:ind w:right="134"/>
              <w:spacing w:after="0" w:line="177" w:lineRule="exact"/>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3"/>
        </w:trPr>
        <w:tc>
          <w:tcPr>
            <w:tcW w:w="5420" w:type="dxa"/>
            <w:vAlign w:val="bottom"/>
          </w:tcPr>
          <w:p>
            <w:pPr>
              <w:spacing w:after="0" w:line="203" w:lineRule="exact"/>
              <w:rPr>
                <w:sz w:val="20"/>
                <w:szCs w:val="20"/>
                <w:color w:val="auto"/>
              </w:rPr>
            </w:pPr>
            <w:r>
              <w:rPr>
                <w:rFonts w:ascii="Arial" w:cs="Arial" w:eastAsia="Arial" w:hAnsi="Arial"/>
                <w:sz w:val="18"/>
                <w:szCs w:val="18"/>
                <w:color w:val="auto"/>
              </w:rPr>
              <w:t>Total customer relationships</w:t>
            </w:r>
            <w:r>
              <w:rPr>
                <w:rFonts w:ascii="Arial" w:cs="Arial" w:eastAsia="Arial" w:hAnsi="Arial"/>
                <w:sz w:val="22"/>
                <w:szCs w:val="22"/>
                <w:color w:val="auto"/>
                <w:vertAlign w:val="superscript"/>
              </w:rPr>
              <w:t>(b)</w:t>
            </w:r>
          </w:p>
        </w:tc>
        <w:tc>
          <w:tcPr>
            <w:tcW w:w="318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27.0</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26.7</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26.5</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Single product customers</w:t>
            </w:r>
            <w:r>
              <w:rPr>
                <w:rFonts w:ascii="Arial" w:cs="Arial" w:eastAsia="Arial" w:hAnsi="Arial"/>
                <w:sz w:val="22"/>
                <w:szCs w:val="22"/>
                <w:color w:val="auto"/>
                <w:vertAlign w:val="superscript"/>
              </w:rPr>
              <w:t>(b)</w:t>
            </w:r>
          </w:p>
        </w:tc>
        <w:tc>
          <w:tcPr>
            <w:tcW w:w="318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8.4</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8.8</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9.3</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Double product customers</w:t>
            </w:r>
            <w:r>
              <w:rPr>
                <w:rFonts w:ascii="Arial" w:cs="Arial" w:eastAsia="Arial" w:hAnsi="Arial"/>
                <w:sz w:val="22"/>
                <w:szCs w:val="22"/>
                <w:color w:val="auto"/>
                <w:vertAlign w:val="superscript"/>
              </w:rPr>
              <w:t>(b)</w:t>
            </w:r>
          </w:p>
        </w:tc>
        <w:tc>
          <w:tcPr>
            <w:tcW w:w="318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8.8</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8.5</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8.5</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Triple product customers</w:t>
            </w:r>
            <w:r>
              <w:rPr>
                <w:rFonts w:ascii="Arial" w:cs="Arial" w:eastAsia="Arial" w:hAnsi="Arial"/>
                <w:sz w:val="22"/>
                <w:szCs w:val="22"/>
                <w:color w:val="auto"/>
                <w:vertAlign w:val="superscript"/>
              </w:rPr>
              <w:t>(b)</w:t>
            </w:r>
          </w:p>
        </w:tc>
        <w:tc>
          <w:tcPr>
            <w:tcW w:w="3180" w:type="dxa"/>
            <w:vAlign w:val="bottom"/>
          </w:tcPr>
          <w:p>
            <w:pPr>
              <w:jc w:val="right"/>
              <w:ind w:right="174"/>
              <w:spacing w:after="0"/>
              <w:rPr>
                <w:sz w:val="20"/>
                <w:szCs w:val="20"/>
                <w:color w:val="auto"/>
              </w:rPr>
            </w:pPr>
            <w:r>
              <w:rPr>
                <w:rFonts w:ascii="Arial" w:cs="Arial" w:eastAsia="Arial" w:hAnsi="Arial"/>
                <w:sz w:val="18"/>
                <w:szCs w:val="18"/>
                <w:b w:val="1"/>
                <w:bCs w:val="1"/>
                <w:color w:val="auto"/>
              </w:rPr>
              <w:t>9.9</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9.4</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8.6</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Video customers</w:t>
            </w:r>
            <w:r>
              <w:rPr>
                <w:rFonts w:ascii="Arial" w:cs="Arial" w:eastAsia="Arial" w:hAnsi="Arial"/>
                <w:sz w:val="22"/>
                <w:szCs w:val="22"/>
                <w:color w:val="auto"/>
                <w:vertAlign w:val="superscript"/>
              </w:rPr>
              <w:t>(c)</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22.4</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Billable customers method</w:t>
            </w:r>
          </w:p>
        </w:tc>
        <w:tc>
          <w:tcPr>
            <w:tcW w:w="3180" w:type="dxa"/>
            <w:vAlign w:val="bottom"/>
            <w:vMerge w:val="continue"/>
          </w:tcPr>
          <w:p>
            <w:pPr>
              <w:spacing w:after="0"/>
              <w:rPr>
                <w:sz w:val="17"/>
                <w:szCs w:val="17"/>
                <w:color w:val="auto"/>
              </w:rPr>
            </w:pP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22.6</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22.8</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440"/>
              <w:spacing w:after="0" w:line="202" w:lineRule="exact"/>
              <w:rPr>
                <w:sz w:val="20"/>
                <w:szCs w:val="20"/>
                <w:color w:val="auto"/>
              </w:rPr>
            </w:pPr>
            <w:r>
              <w:rPr>
                <w:rFonts w:ascii="Arial" w:cs="Arial" w:eastAsia="Arial" w:hAnsi="Arial"/>
                <w:sz w:val="18"/>
                <w:szCs w:val="18"/>
                <w:color w:val="auto"/>
              </w:rPr>
              <w:t>EBU method</w:t>
            </w:r>
          </w:p>
        </w:tc>
        <w:tc>
          <w:tcPr>
            <w:tcW w:w="31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40.9%</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21.7</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22.0</w:t>
            </w:r>
          </w:p>
        </w:tc>
        <w:tc>
          <w:tcPr>
            <w:tcW w:w="7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22.3</w:t>
            </w: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6"/>
                <w:szCs w:val="16"/>
                <w:color w:val="auto"/>
              </w:rPr>
              <w:t>Video penetration</w:t>
            </w:r>
            <w:r>
              <w:rPr>
                <w:rFonts w:ascii="Arial" w:cs="Arial" w:eastAsia="Arial" w:hAnsi="Arial"/>
                <w:sz w:val="20"/>
                <w:szCs w:val="20"/>
                <w:color w:val="auto"/>
                <w:vertAlign w:val="superscript"/>
              </w:rPr>
              <w:t>(d)</w:t>
            </w:r>
          </w:p>
        </w:tc>
        <w:tc>
          <w:tcPr>
            <w:tcW w:w="3180" w:type="dxa"/>
            <w:vAlign w:val="bottom"/>
            <w:vMerge w:val="continue"/>
          </w:tcPr>
          <w:p>
            <w:pPr>
              <w:spacing w:after="0"/>
              <w:rPr>
                <w:sz w:val="15"/>
                <w:szCs w:val="15"/>
                <w:color w:val="auto"/>
              </w:rPr>
            </w:pPr>
          </w:p>
        </w:tc>
        <w:tc>
          <w:tcPr>
            <w:tcW w:w="7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41.9%</w:t>
            </w:r>
          </w:p>
        </w:tc>
        <w:tc>
          <w:tcPr>
            <w:tcW w:w="7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43.0%</w:t>
            </w:r>
          </w:p>
        </w:tc>
        <w:tc>
          <w:tcPr>
            <w:tcW w:w="720" w:type="dxa"/>
            <w:vAlign w:val="bottom"/>
          </w:tcPr>
          <w:p>
            <w:pPr>
              <w:jc w:val="right"/>
              <w:ind w:right="34"/>
              <w:spacing w:after="0" w:line="181" w:lineRule="exact"/>
              <w:rPr>
                <w:sz w:val="20"/>
                <w:szCs w:val="20"/>
                <w:color w:val="auto"/>
              </w:rPr>
            </w:pPr>
            <w:r>
              <w:rPr>
                <w:rFonts w:ascii="Arial" w:cs="Arial" w:eastAsia="Arial" w:hAnsi="Arial"/>
                <w:sz w:val="18"/>
                <w:szCs w:val="18"/>
                <w:color w:val="auto"/>
              </w:rPr>
              <w:t>42.5%</w:t>
            </w: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(e)</w:t>
            </w:r>
          </w:p>
        </w:tc>
        <w:tc>
          <w:tcPr>
            <w:tcW w:w="318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22.2</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22.4</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22.2</w:t>
            </w:r>
          </w:p>
        </w:tc>
        <w:tc>
          <w:tcPr>
            <w:tcW w:w="7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20.6</w:t>
            </w: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(e)</w:t>
            </w:r>
          </w:p>
        </w:tc>
        <w:tc>
          <w:tcPr>
            <w:tcW w:w="3180" w:type="dxa"/>
            <w:vAlign w:val="bottom"/>
          </w:tcPr>
          <w:p>
            <w:pPr>
              <w:jc w:val="right"/>
              <w:ind w:right="14"/>
              <w:spacing w:after="0"/>
              <w:rPr>
                <w:sz w:val="20"/>
                <w:szCs w:val="20"/>
                <w:color w:val="auto"/>
              </w:rPr>
            </w:pPr>
            <w:r>
              <w:rPr>
                <w:rFonts w:ascii="Arial" w:cs="Arial" w:eastAsia="Arial" w:hAnsi="Arial"/>
                <w:sz w:val="18"/>
                <w:szCs w:val="18"/>
                <w:b w:val="1"/>
                <w:bCs w:val="1"/>
                <w:color w:val="auto"/>
              </w:rPr>
              <w:t>99.4%</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99.1%</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97.1%</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92.0%</w:t>
            </w:r>
          </w:p>
        </w:tc>
        <w:tc>
          <w:tcPr>
            <w:tcW w:w="6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22.0</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6"/>
                <w:szCs w:val="16"/>
                <w:color w:val="auto"/>
              </w:rPr>
              <w:t>High-speed Internet customers</w:t>
            </w:r>
            <w:r>
              <w:rPr>
                <w:rFonts w:ascii="Arial" w:cs="Arial" w:eastAsia="Arial" w:hAnsi="Arial"/>
                <w:sz w:val="20"/>
                <w:szCs w:val="20"/>
                <w:color w:val="auto"/>
                <w:vertAlign w:val="superscript"/>
              </w:rPr>
              <w:t>(c)</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20.7</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19.4</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18.1</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High-speed Internet penetration</w:t>
            </w:r>
            <w:r>
              <w:rPr>
                <w:rFonts w:ascii="Arial" w:cs="Arial" w:eastAsia="Arial" w:hAnsi="Arial"/>
                <w:sz w:val="22"/>
                <w:szCs w:val="22"/>
                <w:color w:val="auto"/>
                <w:vertAlign w:val="superscript"/>
              </w:rPr>
              <w:t>(d)</w:t>
            </w:r>
          </w:p>
        </w:tc>
        <w:tc>
          <w:tcPr>
            <w:tcW w:w="3180" w:type="dxa"/>
            <w:vAlign w:val="bottom"/>
          </w:tcPr>
          <w:p>
            <w:pPr>
              <w:jc w:val="right"/>
              <w:ind w:right="14"/>
              <w:spacing w:after="0"/>
              <w:rPr>
                <w:sz w:val="20"/>
                <w:szCs w:val="20"/>
                <w:color w:val="auto"/>
              </w:rPr>
            </w:pPr>
            <w:r>
              <w:rPr>
                <w:rFonts w:ascii="Arial" w:cs="Arial" w:eastAsia="Arial" w:hAnsi="Arial"/>
                <w:sz w:val="18"/>
                <w:szCs w:val="18"/>
                <w:b w:val="1"/>
                <w:bCs w:val="1"/>
                <w:color w:val="auto"/>
              </w:rPr>
              <w:t>40.2%</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38.4%</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36.4%</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34.6%</w:t>
            </w: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Voice</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11.2</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Voice customers</w:t>
            </w:r>
            <w:r>
              <w:rPr>
                <w:rFonts w:ascii="Arial" w:cs="Arial" w:eastAsia="Arial" w:hAnsi="Arial"/>
                <w:sz w:val="22"/>
                <w:szCs w:val="22"/>
                <w:color w:val="auto"/>
                <w:vertAlign w:val="superscript"/>
              </w:rPr>
              <w:t>(c)</w:t>
            </w:r>
          </w:p>
        </w:tc>
        <w:tc>
          <w:tcPr>
            <w:tcW w:w="3180" w:type="dxa"/>
            <w:vAlign w:val="bottom"/>
            <w:vMerge w:val="continue"/>
          </w:tcPr>
          <w:p>
            <w:pPr>
              <w:spacing w:after="0"/>
              <w:rPr>
                <w:sz w:val="17"/>
                <w:szCs w:val="17"/>
                <w:color w:val="auto"/>
              </w:rPr>
            </w:pP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10.7</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10.0</w:t>
            </w:r>
          </w:p>
        </w:tc>
        <w:tc>
          <w:tcPr>
            <w:tcW w:w="7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9.3</w:t>
            </w: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Voice penetration</w:t>
            </w:r>
            <w:r>
              <w:rPr>
                <w:rFonts w:ascii="Arial" w:cs="Arial" w:eastAsia="Arial" w:hAnsi="Arial"/>
                <w:sz w:val="22"/>
                <w:szCs w:val="22"/>
                <w:color w:val="auto"/>
                <w:vertAlign w:val="superscript"/>
              </w:rPr>
              <w:t>(d)</w:t>
            </w:r>
          </w:p>
        </w:tc>
        <w:tc>
          <w:tcPr>
            <w:tcW w:w="31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20.5%</w:t>
            </w: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19.9%</w:t>
            </w: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18.7%</w:t>
            </w: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17.8%</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Customer metrics include our residential and business customers.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55" w:lineRule="exact"/>
        <w:rPr>
          <w:sz w:val="20"/>
          <w:szCs w:val="20"/>
          <w:color w:val="auto"/>
        </w:rPr>
      </w:pPr>
    </w:p>
    <w:p>
      <w:pPr>
        <w:ind w:left="300" w:hanging="292"/>
        <w:spacing w:after="0" w:line="23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Homes and businesses are considered passed if we can connect them to our distribution system without further extending the transmission lines. Homes and businesses passed is an estimate based on the best available information.</w:t>
      </w:r>
    </w:p>
    <w:p>
      <w:pPr>
        <w:spacing w:after="0" w:line="54" w:lineRule="exact"/>
        <w:rPr>
          <w:rFonts w:ascii="Arial" w:cs="Arial" w:eastAsia="Arial" w:hAnsi="Arial"/>
          <w:sz w:val="14"/>
          <w:szCs w:val="14"/>
          <w:color w:val="auto"/>
        </w:rPr>
      </w:pPr>
    </w:p>
    <w:p>
      <w:pPr>
        <w:ind w:left="300" w:right="20" w:hanging="292"/>
        <w:spacing w:after="0" w:line="300" w:lineRule="auto"/>
        <w:tabs>
          <w:tab w:leader="none" w:pos="300" w:val="left"/>
        </w:tabs>
        <w:numPr>
          <w:ilvl w:val="0"/>
          <w:numId w:val="5"/>
        </w:numPr>
        <w:rPr>
          <w:rFonts w:ascii="Arial" w:cs="Arial" w:eastAsia="Arial" w:hAnsi="Arial"/>
          <w:sz w:val="12"/>
          <w:szCs w:val="12"/>
          <w:color w:val="auto"/>
        </w:rPr>
      </w:pPr>
      <w:r>
        <w:rPr>
          <w:rFonts w:ascii="Arial" w:cs="Arial" w:eastAsia="Arial" w:hAnsi="Arial"/>
          <w:sz w:val="12"/>
          <w:szCs w:val="12"/>
          <w:color w:val="auto"/>
        </w:rPr>
        <w:t>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 Customer relationship metrics are not available prior to December 31, 2012.</w:t>
      </w:r>
    </w:p>
    <w:p>
      <w:pPr>
        <w:spacing w:after="0" w:line="19" w:lineRule="exact"/>
        <w:rPr>
          <w:rFonts w:ascii="Arial" w:cs="Arial" w:eastAsia="Arial" w:hAnsi="Arial"/>
          <w:sz w:val="12"/>
          <w:szCs w:val="12"/>
          <w:color w:val="auto"/>
        </w:rPr>
      </w:pPr>
    </w:p>
    <w:p>
      <w:pPr>
        <w:jc w:val="both"/>
        <w:ind w:left="280" w:hanging="272"/>
        <w:spacing w:after="0" w:line="266" w:lineRule="auto"/>
        <w:tabs>
          <w:tab w:leader="none" w:pos="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Beginning in 2014, our Cable Communications segment revised the methodology it uses for counting and reporting customers who reside in multiple dwelling units (“MDUs”) and are billed under bulk contracts (the “billable customers method”). For MDUs whose residents have the ability to receive additional cable services, such as additional programming choices or our high-definition video (“HD”) or digital video recorder (“DVR”) advanced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We believe the billable customers method is consistent with the methodology used by other companies in our industry to count and report customers.</w:t>
      </w:r>
    </w:p>
    <w:p>
      <w:pPr>
        <w:spacing w:after="0" w:line="28" w:lineRule="exact"/>
        <w:rPr>
          <w:sz w:val="20"/>
          <w:szCs w:val="20"/>
          <w:color w:val="auto"/>
        </w:rPr>
      </w:pPr>
    </w:p>
    <w:p>
      <w:pPr>
        <w:jc w:val="both"/>
        <w:ind w:left="240"/>
        <w:spacing w:after="0" w:line="225" w:lineRule="auto"/>
        <w:rPr>
          <w:sz w:val="20"/>
          <w:szCs w:val="20"/>
          <w:color w:val="auto"/>
        </w:rPr>
      </w:pPr>
      <w:r>
        <w:rPr>
          <w:rFonts w:ascii="Arial" w:cs="Arial" w:eastAsia="Arial" w:hAnsi="Arial"/>
          <w:sz w:val="14"/>
          <w:szCs w:val="14"/>
          <w:color w:val="auto"/>
        </w:rPr>
        <w:t>The table above presents the total number of video customers and digital video customers as of December 31, 2014, 2013 and 2012 and high-speed Internet and voice customers as of December 31, 2014 and 2013 using the billable customers method. The total number of video customers as of December 31, 2013 and 2012 are also presented using the EBU method to show an appropriate comparison. Because the difference in the total number of customers using the billable customers method and the EBU method for high-speed Internet and voice customers was not material, the December 31, 2012 metrics for high-speed Internet and voice customers are presented using the EBU method. The customer and penetration data as of December 31, 2011 and 2010 has not been adjusted for video, digital video, high-speed Internet or voice.</w:t>
      </w:r>
    </w:p>
    <w:p>
      <w:pPr>
        <w:spacing w:after="0" w:line="6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and businesses passed.</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Digital video customers include customers receiving digital signals through any means, including CableCARDs and digital transport adapters. Digital video penetration is calculated by dividing the number of digital video customers by total video customers.</w:t>
      </w:r>
    </w:p>
    <w:p>
      <w:pPr>
        <w:spacing w:after="0" w:line="322"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a variety of cable services over our cable distribution system to residential and business customers. Subscription rates and related charges vary according to the services and features customers receive and the type of equipment they use, and customers are typically billed in advance on a monthly basis. Residential cable services customers may generally discontinue service at any time, while business customers may only discontinue service in accordance with the terms of their contracts, which typically have 2 to 5 year terms.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 Areas We Serve</w:t>
      </w:r>
    </w:p>
    <w:p>
      <w:pPr>
        <w:jc w:val="both"/>
        <w:spacing w:after="0" w:line="237" w:lineRule="auto"/>
        <w:rPr>
          <w:sz w:val="20"/>
          <w:szCs w:val="20"/>
          <w:color w:val="auto"/>
        </w:rPr>
      </w:pPr>
      <w:r>
        <w:rPr>
          <w:rFonts w:ascii="Arial" w:cs="Arial" w:eastAsia="Arial" w:hAnsi="Arial"/>
          <w:sz w:val="18"/>
          <w:szCs w:val="18"/>
          <w:color w:val="auto"/>
        </w:rPr>
        <w:t>The map below highlights our footprint as of December 31, 2014 and the designated market areas (“DMAs”) in which we offer cable services that have 125,000 or more video customers. The number of high-speed Internet customers in these DMAs is substantially similar to the number of our video customers. The locations that are bolded represent the markets we operate in that are also included in the top 25 U.S. TV markets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145405" cy="2521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jc w:val="both"/>
        <w:spacing w:after="0" w:line="270" w:lineRule="auto"/>
        <w:rPr>
          <w:sz w:val="20"/>
          <w:szCs w:val="20"/>
          <w:color w:val="auto"/>
        </w:rPr>
      </w:pPr>
      <w:r>
        <w:rPr>
          <w:rFonts w:ascii="Arial" w:cs="Arial" w:eastAsia="Arial" w:hAnsi="Arial"/>
          <w:sz w:val="16"/>
          <w:szCs w:val="16"/>
          <w:color w:val="auto"/>
        </w:rPr>
        <w:t>We offer a broad variety of video services under the XFINITY brand, with access to hundreds of channels depending on the customer’s level of service. Our levels of service typically range from a limited basic service with access to between 20 and 40 channels to a full digital service with access to over 300 channels. Our video services generally include programming provided by national broadcast networks, local broadcast stations, and national and regional cable networks, as well as governmental and public access programming. Our digital video services generally include access to our On Demand service and an interactive, on-screen program guide. We also offer packages that include extensive amounts of foreign-language programming, and we offer other specialty tiers of programming with sports, family and international themes. We tailor our video services for a particular geographic area according to applicable local and federal regulatory requirements, programming preferences and demographics.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video customers may also subscribe to premium network programming. Premium networks include cable networks such as HBO, Showtime, Starz and Cinemax that generally offer, without commercial interruption, movies, original programming, live and taped sporting events and concerts, and other features.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On Demand service provides our digital video customers with almost 55,000 programming choices, including 20,000 in high definition. A substantial portion of our On Demand content is available to our digital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video customers at no additional charge. Digital video customers who subscribe to a premium network have access to the premium network’s On Demand content without additional fees. Our On Demand service also allows our video customers to view, in most cases for a specified fee, individual new release movies and special-event programs, such as sporting events and concerts. We plan to continue increasing the number of On Demand choices available, including the number of movies and television shows that can be purchased to own electronically.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HD service provides customers with high-resolution picture quality, improved audio quality and a wide-screen format through an HD set-top box. Our HD service includes a broad selection of HD programming choices, including major broadcast networks, national cable networks, premium networks and regional sports networks. Our DVR service allows digital video customers to record and store programs on their set-top box and play them at whatever time is convenient. Our DVR service also provides the ability to pause and rewind live television.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customers may view certain live programming and On Demand content, browse program listings, and schedule and manage DVR recordings through our XFINITY online portal. We also have invested in our IP and cloud-enabled video platform, referred to as our X1 platform, which is now available in all of the markets in which we operate. The X1 platform provides integrated search functionality, personalized recommendations and apps accessible through televisions. In 2014, we began to offer Cloud DVR technology, which is now available in over 50% of our markets. Cloud DVR technology allows our video customers to record television shows and movies from their home using cloud-based servers and then view those recordings on mobile devices via our mobile apps.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Video customers may also subscribe to our Streampix service that, depending on the customer’s level of service, may include a monthly fee.</w:t>
      </w:r>
    </w:p>
    <w:p>
      <w:pPr>
        <w:spacing w:after="0"/>
        <w:rPr>
          <w:sz w:val="20"/>
          <w:szCs w:val="20"/>
          <w:color w:val="auto"/>
        </w:rPr>
      </w:pPr>
      <w:r>
        <w:rPr>
          <w:rFonts w:ascii="Arial" w:cs="Arial" w:eastAsia="Arial" w:hAnsi="Arial"/>
          <w:sz w:val="18"/>
          <w:szCs w:val="18"/>
          <w:color w:val="auto"/>
        </w:rPr>
        <w:t>Streampix provides customers with access to certain programming via On Demand, online and through our mobile apps.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jc w:val="both"/>
        <w:spacing w:after="0" w:line="236" w:lineRule="auto"/>
        <w:rPr>
          <w:sz w:val="20"/>
          <w:szCs w:val="20"/>
          <w:color w:val="auto"/>
        </w:rPr>
      </w:pPr>
      <w:r>
        <w:rPr>
          <w:rFonts w:ascii="Arial" w:cs="Arial" w:eastAsia="Arial" w:hAnsi="Arial"/>
          <w:sz w:val="18"/>
          <w:szCs w:val="18"/>
          <w:color w:val="auto"/>
        </w:rPr>
        <w:t>We offer a variety of high-speed Internet services with downstream speeds of up to 105 Mbps, and we also have introduced downstream speeds of up to 505 Mbps in limited markets. These services also include our XFINITY online portal and mobile apps, which provide access to email, contacts and calendars, as well as online security features. In addition, we are actively deploying wireless gateways, which combine a customer’s wireless router, cable modem and voice adapter, to improve the performance of multiple Internet-enabled devices used at the same time within the home, provide faster Internet speeds and create an in-home Wi-Fi network. We are continuing to expand our network of outdoor, business and in-home Wi-Fi hotspots for most of our high-speed Internet customers to access our high-speed Internet services inside and outside the home, and there are currently 8.3 million hotspots accessible to most of our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37" w:lineRule="auto"/>
        <w:rPr>
          <w:sz w:val="20"/>
          <w:szCs w:val="20"/>
          <w:color w:val="auto"/>
        </w:rPr>
      </w:pPr>
      <w:r>
        <w:rPr>
          <w:rFonts w:ascii="Arial" w:cs="Arial" w:eastAsia="Arial" w:hAnsi="Arial"/>
          <w:sz w:val="18"/>
          <w:szCs w:val="18"/>
          <w:color w:val="auto"/>
        </w:rPr>
        <w:t>We offer voice service plans using an interconnected Voice over Internet Protocol (“VoIP”) technology. Our plans provide either usage-based or unlimited local and domestic long-distance calling and include options for international calling plans, voicemail, voicemail transcriptions, text messaging, caller ID and call waiting. For customers with our high-speed Internet services, our voice services also include the ability to access and manage voicemail, text messaging and other account features through our XFINITY online portal or our mobile apps.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We offer our cable services to small (up to 20 employees) and medium-sized (up to 500 employees) businesses (“business services”). In addition to the features we provide to our residential cable services customers, our services for business customers include an interactive tool that allows customers to share,</w:t>
      </w:r>
    </w:p>
    <w:p>
      <w:pPr>
        <w:spacing w:after="0" w:line="323"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coordinate and store documents online, hosted voice services that use cloud network servers, a business directory listing, and the added capacity for multiple phone lines.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offer our medium-sized business customers advanced voice services and Ethernet network services that connect multiple locations and provide higher downstream speed options, and we offer cellular backhaul services to mobile network operators to help those customers manage network bandwidth.</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our Spotlight business sells to local, regional and national advertisers.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In addition, we generate revenue from the sale of advertising online and on our On Demand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receive revenue related to cable franchise and other regulatory fees and our home security and automation services. Cable franchise and other regulatory fees represent the fees we are required to pay to federal, state and local authorities that we pass through to our customers. Under the terms of our cable franchise agreements, we are generally required to pay to the cable franchising authority an amount based on our gross video revenue. Our home security and automation services provide our customers with home monitoring services and the ability to manage other functions within the home, such as lighting and climate control, through our XFINITY online portal or our mobile apps. We also receive revenue related to our digital media center and commissions from electronic retailing networks.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distribution system uses a hybrid fiber-optic and coaxial cable network that we believe is sufficiently flexible and scalable to support our future technology requirements. This network provides the two-way transmissions that are essential to providing interactive video services, such as On Demand, and high-speed Internet and voice services. We are also leveraging our network to develop and deliver innovative services to our customers efficiently and in an accelerated fashion.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technology initiatives, such as:</w:t>
      </w:r>
    </w:p>
    <w:p>
      <w:pPr>
        <w:spacing w:after="0" w:line="117" w:lineRule="exact"/>
        <w:rPr>
          <w:sz w:val="20"/>
          <w:szCs w:val="20"/>
          <w:color w:val="auto"/>
        </w:rPr>
      </w:pPr>
    </w:p>
    <w:p>
      <w:pPr>
        <w:jc w:val="both"/>
        <w:ind w:left="1020" w:right="1240" w:hanging="215"/>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launching next-generation media and content delivery platforms, such as our X1 platform and Cloud DVR technology that use IP technology and our own cloud network servers to deliver video and advanced search capabilities, allow access to certain third-party apps via the Internet and allows for integration with our home security and automation services</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launching wireless options such as Wi-Fi to extend our services inside and outside the home; and deploying wireless gateways that improve the performance of multiple Internet-enabled devices used at the same time within the home, allow for more activity on these devices and provide faster Internet speeds</w:t>
      </w:r>
    </w:p>
    <w:p>
      <w:pPr>
        <w:spacing w:after="0" w:line="113"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multiple tools to recapture bandwidth and optimize our network to allow for faster Internet speeds and capacity, including using advanced video encoding and digital compression technologies and DOCSIS innovations, such as DOCSIS 3.1</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deploying technology and software that allow us to:</w:t>
      </w:r>
    </w:p>
    <w:p>
      <w:pPr>
        <w:spacing w:after="0" w:line="117" w:lineRule="exact"/>
        <w:rPr>
          <w:rFonts w:ascii="Arial" w:cs="Arial" w:eastAsia="Arial" w:hAnsi="Arial"/>
          <w:sz w:val="18"/>
          <w:szCs w:val="18"/>
          <w:color w:val="auto"/>
        </w:rPr>
      </w:pPr>
    </w:p>
    <w:p>
      <w:pPr>
        <w:ind w:left="1580" w:right="1260" w:hanging="208"/>
        <w:spacing w:after="0" w:line="239" w:lineRule="auto"/>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better identify and resolve problems with our cable services and better integrate our software with third-party software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580" w:right="1260" w:hanging="208"/>
        <w:spacing w:after="0" w:line="239" w:lineRule="auto"/>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customers with the ability to subscribe to our cable services via the Internet, to perform self-diagnostics and to resolve problems with our cable services</w:t>
      </w:r>
    </w:p>
    <w:p>
      <w:pPr>
        <w:spacing w:after="0" w:line="114" w:lineRule="exact"/>
        <w:rPr>
          <w:rFonts w:ascii="Arial" w:cs="Arial" w:eastAsia="Arial" w:hAnsi="Arial"/>
          <w:sz w:val="18"/>
          <w:szCs w:val="18"/>
          <w:color w:val="auto"/>
        </w:rPr>
      </w:pPr>
    </w:p>
    <w:p>
      <w:pPr>
        <w:ind w:left="1580" w:hanging="208"/>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better serve our customers and our in-home technicians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offer our video services, we license a substantial portion of our programming from cable networks and broadcast networks, as well as from local broadcast television stations. We attempt to secure long-term programming distribution agreements with our content providers. We also license individual programs or packages of programs from programming suppliers for our On Demand and streaming services. We seek to include in our distribution agreements the right to offer such programming to our subscribers through multiple delivery platforms that may be used in a variety of locations, such as through On Demand, our XFINITY online portal and our mobile apps.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video programming expenses are affected by the programming license fees charged by cable networks, the fees we pay for retransmission of the signals from local broadcast television stations, the number of video customers we serve and the amount of content we provide. We anticipate that our programming expenses will continue to increase as we provide additional content to our customers; as we deliver this content through an increasing number of platforms, including On Demand, online and our mobile apps; and as the fees we pay increase, primarily from retransmission consent fees and sports programming costs. We believe that adding more content and delivering it on various platforms will help us attract and retain video customers.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purchase from a limited number of suppliers a significant number of set-top boxes and certain other customer premise equipment, network equipment and services that we use to provide our cable services.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our high-speed Internet services, we license software products, such as email and security software, and content, such as news feeds for our XFINITY online portal, from a variety of suppliers. Under our contracts with these suppliers, we generally pay on a fixed-fee basis, on a per subscriber basis in the case of software product licenses or on a video advertising revenue share basis in the case of content licenses.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our voice services, we license software products such as voicemail and text messaging from a variety of suppliers under multiyear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fees we pay are generally based on the consumption of the related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use two primary vendors to provide customer billing for our cable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our services directly to residential and business customers through our customer service call centers, customer service centers, door-to-door selling, direct mail advertising, television advertising, Internet advertising, local media advertising, telemarketing and retail outlets. We market our cable services both individually and as bundled services.</w:t>
      </w:r>
    </w:p>
    <w:p>
      <w:pPr>
        <w:spacing w:after="0" w:line="323"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of a diversified portfolio of national cable networks that provide a variety of entertainment, news and information, and sports content, our regional sports and news networks, various international cable networks, and our cable television production operations. We also own various digital media properties, which primarily include brand-aligned websites.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our national cable networks.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380" w:type="dxa"/>
            <w:vAlign w:val="bottom"/>
          </w:tcPr>
          <w:p>
            <w:pPr>
              <w:jc w:val="right"/>
              <w:ind w:right="377"/>
              <w:spacing w:after="0"/>
              <w:rPr>
                <w:sz w:val="20"/>
                <w:szCs w:val="20"/>
                <w:color w:val="auto"/>
              </w:rPr>
            </w:pPr>
            <w:r>
              <w:rPr>
                <w:rFonts w:ascii="Arial" w:cs="Arial" w:eastAsia="Arial" w:hAnsi="Arial"/>
                <w:sz w:val="14"/>
                <w:szCs w:val="14"/>
                <w:color w:val="auto"/>
              </w:rPr>
              <w:t>Approximate U.S.</w:t>
            </w:r>
          </w:p>
        </w:tc>
        <w:tc>
          <w:tcPr>
            <w:tcW w:w="4680" w:type="dxa"/>
            <w:vAlign w:val="bottom"/>
          </w:tcPr>
          <w:p>
            <w:pPr>
              <w:spacing w:after="0"/>
              <w:rPr>
                <w:sz w:val="14"/>
                <w:szCs w:val="14"/>
                <w:color w:val="auto"/>
              </w:rPr>
            </w:pPr>
          </w:p>
        </w:tc>
      </w:tr>
      <w:tr>
        <w:trPr>
          <w:trHeight w:val="149"/>
        </w:trPr>
        <w:tc>
          <w:tcPr>
            <w:tcW w:w="3360" w:type="dxa"/>
            <w:vAlign w:val="bottom"/>
          </w:tcPr>
          <w:p>
            <w:pPr>
              <w:spacing w:after="0"/>
              <w:rPr>
                <w:sz w:val="12"/>
                <w:szCs w:val="12"/>
                <w:color w:val="auto"/>
              </w:rPr>
            </w:pPr>
          </w:p>
        </w:tc>
        <w:tc>
          <w:tcPr>
            <w:tcW w:w="3380" w:type="dxa"/>
            <w:vAlign w:val="bottom"/>
          </w:tcPr>
          <w:p>
            <w:pPr>
              <w:jc w:val="right"/>
              <w:ind w:right="377"/>
              <w:spacing w:after="0" w:line="149" w:lineRule="exact"/>
              <w:rPr>
                <w:sz w:val="20"/>
                <w:szCs w:val="20"/>
                <w:color w:val="auto"/>
              </w:rPr>
            </w:pPr>
            <w:r>
              <w:rPr>
                <w:rFonts w:ascii="Arial" w:cs="Arial" w:eastAsia="Arial" w:hAnsi="Arial"/>
                <w:sz w:val="14"/>
                <w:szCs w:val="14"/>
                <w:color w:val="auto"/>
              </w:rPr>
              <w:t>Subscribers at</w:t>
            </w:r>
          </w:p>
        </w:tc>
        <w:tc>
          <w:tcPr>
            <w:tcW w:w="4680" w:type="dxa"/>
            <w:vAlign w:val="bottom"/>
          </w:tcPr>
          <w:p>
            <w:pPr>
              <w:spacing w:after="0"/>
              <w:rPr>
                <w:sz w:val="12"/>
                <w:szCs w:val="12"/>
                <w:color w:val="auto"/>
              </w:rPr>
            </w:pPr>
          </w:p>
        </w:tc>
      </w:tr>
      <w:tr>
        <w:trPr>
          <w:trHeight w:val="122"/>
        </w:trPr>
        <w:tc>
          <w:tcPr>
            <w:tcW w:w="3360" w:type="dxa"/>
            <w:vAlign w:val="bottom"/>
          </w:tcPr>
          <w:p>
            <w:pPr>
              <w:spacing w:after="0"/>
              <w:rPr>
                <w:sz w:val="10"/>
                <w:szCs w:val="10"/>
                <w:color w:val="auto"/>
              </w:rPr>
            </w:pPr>
          </w:p>
        </w:tc>
        <w:tc>
          <w:tcPr>
            <w:tcW w:w="3380" w:type="dxa"/>
            <w:vAlign w:val="bottom"/>
          </w:tcPr>
          <w:p>
            <w:pPr>
              <w:jc w:val="right"/>
              <w:ind w:right="377"/>
              <w:spacing w:after="0" w:line="123" w:lineRule="exact"/>
              <w:rPr>
                <w:sz w:val="20"/>
                <w:szCs w:val="20"/>
                <w:color w:val="auto"/>
              </w:rPr>
            </w:pPr>
            <w:r>
              <w:rPr>
                <w:rFonts w:ascii="Arial" w:cs="Arial" w:eastAsia="Arial" w:hAnsi="Arial"/>
                <w:sz w:val="14"/>
                <w:szCs w:val="14"/>
                <w:color w:val="auto"/>
              </w:rPr>
              <w:t>December 31, 2014</w:t>
            </w:r>
          </w:p>
        </w:tc>
        <w:tc>
          <w:tcPr>
            <w:tcW w:w="4680" w:type="dxa"/>
            <w:vAlign w:val="bottom"/>
          </w:tcPr>
          <w:p>
            <w:pPr>
              <w:spacing w:after="0"/>
              <w:rPr>
                <w:sz w:val="10"/>
                <w:szCs w:val="10"/>
                <w:color w:val="auto"/>
              </w:rPr>
            </w:pPr>
          </w:p>
        </w:tc>
      </w:tr>
      <w:tr>
        <w:trPr>
          <w:trHeight w:val="189"/>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w:t>
            </w:r>
          </w:p>
        </w:tc>
        <w:tc>
          <w:tcPr>
            <w:tcW w:w="3380" w:type="dxa"/>
            <w:vAlign w:val="bottom"/>
            <w:tcBorders>
              <w:bottom w:val="single" w:sz="8" w:color="auto"/>
            </w:tcBorders>
          </w:tcPr>
          <w:p>
            <w:pPr>
              <w:jc w:val="right"/>
              <w:ind w:right="377"/>
              <w:spacing w:after="0" w:line="189"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46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360" w:type="dxa"/>
            <w:vAlign w:val="bottom"/>
          </w:tcPr>
          <w:p>
            <w:pPr>
              <w:spacing w:after="0" w:line="200" w:lineRule="exact"/>
              <w:rPr>
                <w:sz w:val="20"/>
                <w:szCs w:val="20"/>
                <w:color w:val="auto"/>
              </w:rPr>
            </w:pPr>
            <w:r>
              <w:rPr>
                <w:rFonts w:ascii="Arial" w:cs="Arial" w:eastAsia="Arial" w:hAnsi="Arial"/>
                <w:sz w:val="18"/>
                <w:szCs w:val="18"/>
                <w:color w:val="auto"/>
              </w:rPr>
              <w:t>USA Network</w:t>
            </w:r>
          </w:p>
        </w:tc>
        <w:tc>
          <w:tcPr>
            <w:tcW w:w="3380" w:type="dxa"/>
            <w:vAlign w:val="bottom"/>
          </w:tcPr>
          <w:p>
            <w:pPr>
              <w:jc w:val="right"/>
              <w:ind w:right="377"/>
              <w:spacing w:after="0" w:line="200" w:lineRule="exact"/>
              <w:rPr>
                <w:sz w:val="20"/>
                <w:szCs w:val="20"/>
                <w:color w:val="auto"/>
              </w:rPr>
            </w:pPr>
            <w:r>
              <w:rPr>
                <w:rFonts w:ascii="Arial" w:cs="Arial" w:eastAsia="Arial" w:hAnsi="Arial"/>
                <w:sz w:val="18"/>
                <w:szCs w:val="18"/>
                <w:color w:val="auto"/>
              </w:rPr>
              <w:t>96</w:t>
            </w:r>
          </w:p>
        </w:tc>
        <w:tc>
          <w:tcPr>
            <w:tcW w:w="4680" w:type="dxa"/>
            <w:vAlign w:val="bottom"/>
          </w:tcPr>
          <w:p>
            <w:pPr>
              <w:ind w:left="460"/>
              <w:spacing w:after="0" w:line="200" w:lineRule="exact"/>
              <w:rPr>
                <w:sz w:val="20"/>
                <w:szCs w:val="20"/>
                <w:color w:val="auto"/>
              </w:rPr>
            </w:pPr>
            <w:r>
              <w:rPr>
                <w:rFonts w:ascii="Arial" w:cs="Arial" w:eastAsia="Arial" w:hAnsi="Arial"/>
                <w:sz w:val="18"/>
                <w:szCs w:val="18"/>
                <w:color w:val="auto"/>
              </w:rPr>
              <w:t>General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95</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95</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News and information</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94</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94</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92</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NBC Sports Network</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81</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79</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78</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Esquire Network</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70</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Men’s lifestyle and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Sprout</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58</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Children’s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39</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38</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Universal HD</w:t>
            </w:r>
          </w:p>
        </w:tc>
        <w:tc>
          <w:tcPr>
            <w:tcW w:w="3380" w:type="dxa"/>
            <w:vAlign w:val="bottom"/>
          </w:tcPr>
          <w:p>
            <w:pPr>
              <w:jc w:val="right"/>
              <w:ind w:right="377"/>
              <w:spacing w:after="0" w:line="202" w:lineRule="exact"/>
              <w:rPr>
                <w:sz w:val="20"/>
                <w:szCs w:val="20"/>
                <w:color w:val="auto"/>
              </w:rPr>
            </w:pPr>
            <w:r>
              <w:rPr>
                <w:rFonts w:ascii="Arial" w:cs="Arial" w:eastAsia="Arial" w:hAnsi="Arial"/>
                <w:sz w:val="18"/>
                <w:szCs w:val="18"/>
                <w:color w:val="auto"/>
              </w:rPr>
              <w:t>31</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General entertainment HD programming</w:t>
            </w:r>
          </w:p>
        </w:tc>
      </w:tr>
      <w:tr>
        <w:trPr>
          <w:trHeight w:val="199"/>
        </w:trPr>
        <w:tc>
          <w:tcPr>
            <w:tcW w:w="3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Cloo</w:t>
            </w:r>
          </w:p>
        </w:tc>
        <w:tc>
          <w:tcPr>
            <w:tcW w:w="3380" w:type="dxa"/>
            <w:vAlign w:val="bottom"/>
            <w:tcBorders>
              <w:bottom w:val="single" w:sz="8" w:color="auto"/>
            </w:tcBorders>
          </w:tcPr>
          <w:p>
            <w:pPr>
              <w:jc w:val="right"/>
              <w:ind w:right="377"/>
              <w:spacing w:after="0" w:line="200" w:lineRule="exact"/>
              <w:rPr>
                <w:sz w:val="20"/>
                <w:szCs w:val="20"/>
                <w:color w:val="auto"/>
              </w:rPr>
            </w:pPr>
            <w:r>
              <w:rPr>
                <w:rFonts w:ascii="Arial" w:cs="Arial" w:eastAsia="Arial" w:hAnsi="Arial"/>
                <w:sz w:val="18"/>
                <w:szCs w:val="18"/>
                <w:color w:val="auto"/>
              </w:rPr>
              <w:t>26</w:t>
            </w:r>
          </w:p>
        </w:tc>
        <w:tc>
          <w:tcPr>
            <w:tcW w:w="4680" w:type="dxa"/>
            <w:vAlign w:val="bottom"/>
            <w:tcBorders>
              <w:bottom w:val="single" w:sz="8" w:color="auto"/>
            </w:tcBorders>
          </w:tcPr>
          <w:p>
            <w:pPr>
              <w:ind w:left="460"/>
              <w:spacing w:after="0" w:line="200" w:lineRule="exact"/>
              <w:rPr>
                <w:sz w:val="20"/>
                <w:szCs w:val="20"/>
                <w:color w:val="auto"/>
              </w:rPr>
            </w:pPr>
            <w:r>
              <w:rPr>
                <w:rFonts w:ascii="Arial" w:cs="Arial" w:eastAsia="Arial" w:hAnsi="Arial"/>
                <w:sz w:val="18"/>
                <w:szCs w:val="18"/>
                <w:color w:val="auto"/>
              </w:rPr>
              <w:t>Crime, mystery and suspense</w:t>
            </w:r>
          </w:p>
        </w:tc>
      </w:tr>
    </w:tbl>
    <w:p>
      <w:pPr>
        <w:spacing w:after="0" w:line="67" w:lineRule="exact"/>
        <w:rPr>
          <w:sz w:val="20"/>
          <w:szCs w:val="20"/>
          <w:color w:val="auto"/>
        </w:rPr>
      </w:pPr>
    </w:p>
    <w:p>
      <w:pPr>
        <w:ind w:left="300" w:hanging="292"/>
        <w:spacing w:after="0" w:line="231"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Subscriber data is based on The Nielsen Company’s January 2015 report, which is derived from information available during the period December 22, 2014 through December 28, 2014, except for Universal HD, which is derived from information provided by multichannel video providers.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regional sports and news networks in our Cable Networks segment together serve more than 29 million subscribers across the United States, including key markets such as Baltimore/Washington, Boston, Chicago, Philadelphia, Portland, Sacramento and San Francisco.</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as well as to subscription video on demand services such as Netflix, Amazon and Hulu. These distributors may exhibit our content on television, including via video on demand and pay-per-view, online and through mobile apps.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produce their own programs or acquire programming rights from third parties. Our cable television production operations identify, develop and produce original content for cable television and other distribution platforms for our cable networks and third parties. We license this content to cable networks, broadcast networks and subscription video on demand services.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Cable Networks segment generates revenue primarily from the distribution of our cable network programming and from the sale of advertising. Distribution revenue is generated from distribution agreements with multichannel video providers. Advertising revenue is generated from the sale of advertising units on our cable networks and related digital media properties. We also generate content licensing and other revenue primarily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from the licensing of our owned programming through distribution to subscription video on demand services and various other distribution platforms in the United States and internationally, and from the sale of our owned programming electronically through digital distributors such as iTunes.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segment operates the NBC and Telemundo broadcast television networks, which together serve audiences and advertisers in all 50 states. Our Broadcast Television segment also includes our owned NBC and Telemundo local broadcast television stations and our broadcast television production operations.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Broadcast Television segment generates revenue primarily from the sale of advertising, from content licensing and from fees received under retransmission consent agreements. Advertising revenue is generated from the sale of advertising units on our broadcast networks, owned local broadcast television stations and related digital media properties. Content licensing revenue is generated from the licensing of our owned programming in the United States and internationally, including to cable and broadcast networks and to subscription video on demand services. Our owned local television stations receive fees from multichannel video providers in exchange for retransmission consent that allows carriage of the stations’ signals. We also receive a portion of the retransmission fees received by our NBC affiliated broadcast television stations. We expect these fees to continue to increase in the future as we, as well as our NBC affiliated broadcast television stations, renegotiate distribution agreements with multichannel video providers. We also generate revenue from the sale of our owned programming on standard-definition DVDs and Blu-ray discs (together, “DVDs”) and electronically through digital distributors such as iTunes.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NBC Network</w:t>
      </w:r>
    </w:p>
    <w:p>
      <w:pPr>
        <w:jc w:val="both"/>
        <w:spacing w:after="0" w:line="236" w:lineRule="auto"/>
        <w:rPr>
          <w:sz w:val="20"/>
          <w:szCs w:val="20"/>
          <w:color w:val="auto"/>
        </w:rPr>
      </w:pPr>
      <w:r>
        <w:rPr>
          <w:rFonts w:ascii="Arial" w:cs="Arial" w:eastAsia="Arial" w:hAnsi="Arial"/>
          <w:sz w:val="18"/>
          <w:szCs w:val="18"/>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owned local broadcast television stations. The NBC network develops a broad range of entertainment, news and sports content and also airs a variety of special-events programming. The NBC network’s programming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owns various digital media properties, which primarily include brand-aligned websites.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NBC network produces its own programs or acquires the rights to programming from third parties. NBCUniversal has various contractual commitments for the licensing of rights to multiyear programming, primarily sports programming. Our most significant sports programming commitments include an agreement with the NFL to produce and broadcast a specified number of regular season and playoff games, including </w:t>
      </w:r>
      <w:r>
        <w:rPr>
          <w:rFonts w:ascii="Arial" w:cs="Arial" w:eastAsia="Arial" w:hAnsi="Arial"/>
          <w:sz w:val="18"/>
          <w:szCs w:val="18"/>
          <w:i w:val="1"/>
          <w:iCs w:val="1"/>
          <w:color w:val="auto"/>
        </w:rPr>
        <w:t xml:space="preserve">Sunday Night Football </w:t>
      </w:r>
      <w:r>
        <w:rPr>
          <w:rFonts w:ascii="Arial" w:cs="Arial" w:eastAsia="Arial" w:hAnsi="Arial"/>
          <w:sz w:val="18"/>
          <w:szCs w:val="18"/>
          <w:color w:val="auto"/>
        </w:rPr>
        <w:t>on NBC through the 2022-23 season and the 2015, 2018 and 2021 Super Bowl games. In addition, the NBC network owns</w:t>
      </w:r>
      <w:r>
        <w:rPr>
          <w:rFonts w:ascii="Arial" w:cs="Arial" w:eastAsia="Arial" w:hAnsi="Arial"/>
          <w:sz w:val="18"/>
          <w:szCs w:val="18"/>
          <w:i w:val="1"/>
          <w:iCs w:val="1"/>
          <w:color w:val="auto"/>
        </w:rPr>
        <w:t xml:space="preserve"> </w:t>
      </w:r>
      <w:r>
        <w:rPr>
          <w:rFonts w:ascii="Arial" w:cs="Arial" w:eastAsia="Arial" w:hAnsi="Arial"/>
          <w:sz w:val="18"/>
          <w:szCs w:val="18"/>
          <w:color w:val="auto"/>
        </w:rPr>
        <w:t>the U.S. broadcast rights for the summer and winter Olympic Games through 2032. We also have broadcast rights to a specified number of NHL games through the 2020-21 season, U.S. television rights to English Premier League soccer through the 2015-16 season, certain PGA TOUR golf events through 2021 and certain NASCAR events through 2024. NBCUniversal’s sports programming agreements also include rights to distribute content on our national cable networks, including NBC Sports Network and Golf Channel, on our regional sports networks where applicable, and also online, including through our mobile apps.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broadcast television production operations develop and produce original content, including scripted and unscripted series and talk shows. This original content is licensed to broadcast networks, cable networks and local broadcast television stations owned by us and third parties, as well as to subscription video on demand</w:t>
      </w:r>
    </w:p>
    <w:p>
      <w:pPr>
        <w:spacing w:after="0" w:line="323"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services, and it is sold in DVD format, both in the United States and internationally, and electronically through digital distributors. We also produce first-run syndicated shows, which are programs for initial exhibition on local broadcast television stations in the United States, on a market-by-market basis, without prior exhibition on a network. We currently distribute some of our television programs after their initial exhibition, as well as older television programs from our library, to local broadcast television stations and cable networks in the off-network syndication market.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NBC Local Broadcast Television Stations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own and operate 10 NBC affiliated local broadcast television stations that as of December 31, 2014 collectively reached 32 million U.S. television households, which represents approximately 27% of all U.S. television households. In addition to airing the NBC network’s national programming, our local broadcast television stations produce news, sports, public affairs and other programming that addresses local needs and acquire syndicated programming from other sources. The table below presents a summary of the NBC affiliated local broadcast television stations that we own and operate.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69"/>
        </w:trPr>
        <w:tc>
          <w:tcPr>
            <w:tcW w:w="512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780" w:type="dxa"/>
            <w:vAlign w:val="bottom"/>
            <w:tcBorders>
              <w:bottom w:val="single" w:sz="8" w:color="auto"/>
            </w:tcBorders>
          </w:tcPr>
          <w:p>
            <w:pPr>
              <w:jc w:val="center"/>
              <w:ind w:left="1954"/>
              <w:spacing w:after="0"/>
              <w:rPr>
                <w:sz w:val="20"/>
                <w:szCs w:val="20"/>
                <w:color w:val="auto"/>
              </w:rPr>
            </w:pPr>
            <w:r>
              <w:rPr>
                <w:rFonts w:ascii="Arial" w:cs="Arial" w:eastAsia="Arial" w:hAnsi="Arial"/>
                <w:sz w:val="14"/>
                <w:szCs w:val="14"/>
                <w:color w:val="auto"/>
                <w:w w:val="96"/>
              </w:rPr>
              <w:t>Station</w:t>
            </w:r>
          </w:p>
        </w:tc>
        <w:tc>
          <w:tcPr>
            <w:tcW w:w="168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General Market Rank</w:t>
            </w:r>
            <w:r>
              <w:rPr>
                <w:rFonts w:ascii="Arial" w:cs="Arial" w:eastAsia="Arial" w:hAnsi="Arial"/>
                <w:sz w:val="19"/>
                <w:szCs w:val="19"/>
                <w:color w:val="auto"/>
                <w:vertAlign w:val="superscript"/>
              </w:rPr>
              <w:t>(b)</w:t>
            </w:r>
          </w:p>
        </w:tc>
        <w:tc>
          <w:tcPr>
            <w:tcW w:w="184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Television Households</w:t>
            </w:r>
            <w:r>
              <w:rPr>
                <w:rFonts w:ascii="Arial" w:cs="Arial" w:eastAsia="Arial" w:hAnsi="Arial"/>
                <w:sz w:val="19"/>
                <w:szCs w:val="19"/>
                <w:color w:val="auto"/>
                <w:vertAlign w:val="superscript"/>
              </w:rPr>
              <w:t>(c)</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2780" w:type="dxa"/>
            <w:vAlign w:val="bottom"/>
          </w:tcPr>
          <w:p>
            <w:pPr>
              <w:jc w:val="center"/>
              <w:ind w:left="1954"/>
              <w:spacing w:after="0" w:line="200" w:lineRule="exact"/>
              <w:rPr>
                <w:sz w:val="20"/>
                <w:szCs w:val="20"/>
                <w:color w:val="auto"/>
              </w:rPr>
            </w:pPr>
            <w:r>
              <w:rPr>
                <w:rFonts w:ascii="Arial" w:cs="Arial" w:eastAsia="Arial" w:hAnsi="Arial"/>
                <w:sz w:val="18"/>
                <w:szCs w:val="18"/>
                <w:color w:val="auto"/>
                <w:w w:val="98"/>
              </w:rPr>
              <w:t>WNBC</w:t>
            </w:r>
          </w:p>
        </w:tc>
        <w:tc>
          <w:tcPr>
            <w:tcW w:w="1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KNBC</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WMAQ</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8"/>
              </w:rPr>
              <w:t>WCAU</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5"/>
              </w:rPr>
              <w:t>KXAS</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5"/>
              </w:rPr>
              <w:t>KNTV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7"/>
              </w:rPr>
              <w:t>WRC</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3"/>
              </w:rPr>
              <w:t>WTVJ</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KNSD</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2780" w:type="dxa"/>
            <w:vAlign w:val="bottom"/>
            <w:tcBorders>
              <w:bottom w:val="single" w:sz="8" w:color="auto"/>
            </w:tcBorders>
          </w:tcPr>
          <w:p>
            <w:pPr>
              <w:jc w:val="center"/>
              <w:ind w:left="1974"/>
              <w:spacing w:after="0" w:line="200" w:lineRule="exact"/>
              <w:rPr>
                <w:sz w:val="20"/>
                <w:szCs w:val="20"/>
                <w:color w:val="auto"/>
              </w:rPr>
            </w:pPr>
            <w:r>
              <w:rPr>
                <w:rFonts w:ascii="Arial" w:cs="Arial" w:eastAsia="Arial" w:hAnsi="Arial"/>
                <w:sz w:val="18"/>
                <w:szCs w:val="18"/>
                <w:color w:val="auto"/>
                <w:w w:val="97"/>
              </w:rPr>
              <w:t>WVIT</w:t>
            </w:r>
          </w:p>
        </w:tc>
        <w:tc>
          <w:tcPr>
            <w:tcW w:w="1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6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2014-15 season.</w:t>
      </w:r>
    </w:p>
    <w:p>
      <w:pPr>
        <w:spacing w:after="0" w:line="55" w:lineRule="exact"/>
        <w:rPr>
          <w:rFonts w:ascii="Arial" w:cs="Arial" w:eastAsia="Arial" w:hAnsi="Arial"/>
          <w:sz w:val="14"/>
          <w:szCs w:val="14"/>
          <w:color w:val="auto"/>
        </w:rPr>
      </w:pPr>
    </w:p>
    <w:p>
      <w:pPr>
        <w:jc w:val="both"/>
        <w:ind w:left="280" w:hanging="272"/>
        <w:spacing w:after="0" w:line="228" w:lineRule="auto"/>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Nielsen estimates for the 2014-15 season. The percentage of U.S. television households does not reflect the calculation of national audience reach under the Federal Communications Commission’s (“FCC”) national television ownership cap limits. See “Legislation and Regulation — Broadcast Television — Ownership Limits — National Television Ownership.”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C6DFF"/>
        </w:rPr>
        <w:t>Telemundo</w:t>
      </w:r>
    </w:p>
    <w:p>
      <w:pPr>
        <w:jc w:val="both"/>
        <w:spacing w:after="0" w:line="238"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17 owned local broadcast television stations and the NBC Universo (formerly mun2) national cable network.</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Telemundo network is a leading Spanish-language broadcast television network featuring original telenovelas, theatrical films, news, specials and sporting events. Telemundo develops original programming primarily through its production studio and also acquires the rights to content from third parties. We currently hold the Spanish-language U.S. broadcast rights to FIFA World Cup soccer from 2015 through 2022 and the Spanish-language U.S. broadcast rights for the NFL games that the NBC network will broadcast through the 2022-23 season as part of our agreement with the NFL.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Telemundo Local Broadcast Television Stations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Telemundo owned 17 local broadcast television stations, including 16 local broadcast television stations affiliated with the Telemundo network and an independent television station in Puerto Rico. The table below presents a summary of these local broadcast television stations, which collectively reached approximately 59% of U.S. Hispanic television households as of December 31, 2014.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28"/>
        </w:trPr>
        <w:tc>
          <w:tcPr>
            <w:tcW w:w="52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20" w:type="dxa"/>
            <w:vAlign w:val="bottom"/>
          </w:tcPr>
          <w:p>
            <w:pPr>
              <w:jc w:val="right"/>
              <w:ind w:right="136"/>
              <w:spacing w:after="0" w:line="129" w:lineRule="exact"/>
              <w:rPr>
                <w:sz w:val="20"/>
                <w:szCs w:val="20"/>
                <w:color w:val="auto"/>
              </w:rPr>
            </w:pPr>
            <w:r>
              <w:rPr>
                <w:rFonts w:ascii="Arial" w:cs="Arial" w:eastAsia="Arial" w:hAnsi="Arial"/>
                <w:sz w:val="14"/>
                <w:szCs w:val="14"/>
                <w:color w:val="auto"/>
              </w:rPr>
              <w:t>Hispanic Television</w:t>
            </w:r>
          </w:p>
        </w:tc>
      </w:tr>
      <w:tr>
        <w:trPr>
          <w:trHeight w:val="169"/>
        </w:trPr>
        <w:tc>
          <w:tcPr>
            <w:tcW w:w="520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980" w:type="dxa"/>
            <w:vAlign w:val="bottom"/>
            <w:tcBorders>
              <w:bottom w:val="single" w:sz="8" w:color="auto"/>
            </w:tcBorders>
          </w:tcPr>
          <w:p>
            <w:pPr>
              <w:jc w:val="center"/>
              <w:ind w:left="2033"/>
              <w:spacing w:after="0"/>
              <w:rPr>
                <w:sz w:val="20"/>
                <w:szCs w:val="20"/>
                <w:color w:val="auto"/>
              </w:rPr>
            </w:pPr>
            <w:r>
              <w:rPr>
                <w:rFonts w:ascii="Arial" w:cs="Arial" w:eastAsia="Arial" w:hAnsi="Arial"/>
                <w:sz w:val="14"/>
                <w:szCs w:val="14"/>
                <w:color w:val="auto"/>
                <w:w w:val="96"/>
              </w:rPr>
              <w:t>Station</w:t>
            </w:r>
          </w:p>
        </w:tc>
        <w:tc>
          <w:tcPr>
            <w:tcW w:w="1720" w:type="dxa"/>
            <w:vAlign w:val="bottom"/>
            <w:tcBorders>
              <w:bottom w:val="single" w:sz="8" w:color="auto"/>
            </w:tcBorders>
          </w:tcPr>
          <w:p>
            <w:pPr>
              <w:jc w:val="right"/>
              <w:ind w:right="54"/>
              <w:spacing w:after="0" w:line="170" w:lineRule="exact"/>
              <w:rPr>
                <w:sz w:val="20"/>
                <w:szCs w:val="20"/>
                <w:color w:val="auto"/>
              </w:rPr>
            </w:pPr>
            <w:r>
              <w:rPr>
                <w:rFonts w:ascii="Arial" w:cs="Arial" w:eastAsia="Arial" w:hAnsi="Arial"/>
                <w:sz w:val="12"/>
                <w:szCs w:val="12"/>
                <w:color w:val="auto"/>
              </w:rPr>
              <w:t>Hispanic Market Rank</w:t>
            </w:r>
            <w:r>
              <w:rPr>
                <w:rFonts w:ascii="Arial" w:cs="Arial" w:eastAsia="Arial" w:hAnsi="Arial"/>
                <w:sz w:val="19"/>
                <w:szCs w:val="19"/>
                <w:color w:val="auto"/>
                <w:vertAlign w:val="superscript"/>
              </w:rPr>
              <w:t>(b)</w:t>
            </w:r>
          </w:p>
        </w:tc>
        <w:tc>
          <w:tcPr>
            <w:tcW w:w="152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Households</w:t>
            </w:r>
            <w:r>
              <w:rPr>
                <w:rFonts w:ascii="Arial" w:cs="Arial" w:eastAsia="Arial" w:hAnsi="Arial"/>
                <w:sz w:val="19"/>
                <w:szCs w:val="19"/>
                <w:color w:val="auto"/>
                <w:vertAlign w:val="superscript"/>
              </w:rPr>
              <w:t>(c)</w:t>
            </w:r>
          </w:p>
        </w:tc>
      </w:tr>
      <w:tr>
        <w:trPr>
          <w:trHeight w:val="199"/>
        </w:trPr>
        <w:tc>
          <w:tcPr>
            <w:tcW w:w="520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2980" w:type="dxa"/>
            <w:vAlign w:val="bottom"/>
          </w:tcPr>
          <w:p>
            <w:pPr>
              <w:jc w:val="center"/>
              <w:ind w:left="2033"/>
              <w:spacing w:after="0" w:line="200" w:lineRule="exact"/>
              <w:rPr>
                <w:sz w:val="20"/>
                <w:szCs w:val="20"/>
                <w:color w:val="auto"/>
              </w:rPr>
            </w:pPr>
            <w:r>
              <w:rPr>
                <w:rFonts w:ascii="Arial" w:cs="Arial" w:eastAsia="Arial" w:hAnsi="Arial"/>
                <w:sz w:val="18"/>
                <w:szCs w:val="18"/>
                <w:color w:val="auto"/>
                <w:w w:val="95"/>
              </w:rPr>
              <w:t>KVEA</w:t>
            </w:r>
          </w:p>
        </w:tc>
        <w:tc>
          <w:tcPr>
            <w:tcW w:w="1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152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6"/>
              </w:rPr>
              <w:t>WNJU</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6"/>
              </w:rPr>
              <w:t>WSCV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KTMD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6"/>
              </w:rPr>
              <w:t>WSNS</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KXTX</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9"/>
              </w:rPr>
              <w:t>KVDA</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KSTS</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5"/>
              </w:rPr>
              <w:t>KTAZ</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Harlingen-Brownsville-McAllen,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5"/>
              </w:rPr>
              <w:t>KTLM</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9"/>
              </w:rPr>
              <w:t>KNSO</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WWSI</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9"/>
              </w:rPr>
              <w:t>KDEN</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9"/>
              </w:rPr>
              <w:t>WNEU</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KBLR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KHRR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2980" w:type="dxa"/>
            <w:vAlign w:val="bottom"/>
            <w:tcBorders>
              <w:bottom w:val="single" w:sz="8" w:color="auto"/>
            </w:tcBorders>
          </w:tcPr>
          <w:p>
            <w:pPr>
              <w:jc w:val="center"/>
              <w:ind w:left="2033"/>
              <w:spacing w:after="0" w:line="200" w:lineRule="exact"/>
              <w:rPr>
                <w:sz w:val="20"/>
                <w:szCs w:val="20"/>
                <w:color w:val="auto"/>
              </w:rPr>
            </w:pPr>
            <w:r>
              <w:rPr>
                <w:rFonts w:ascii="Arial" w:cs="Arial" w:eastAsia="Arial" w:hAnsi="Arial"/>
                <w:sz w:val="18"/>
                <w:szCs w:val="18"/>
                <w:color w:val="auto"/>
                <w:w w:val="98"/>
              </w:rPr>
              <w:t>WKAQ</w:t>
            </w:r>
          </w:p>
        </w:tc>
        <w:tc>
          <w:tcPr>
            <w:tcW w:w="1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14.5 million U.S. Hispanic households as of December 31, 2014.</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Nielsen estimates for the 2014-15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produces, acquires, markets and distributes both live-action and animated filmed entertainment worldwide, and it also develops, produces and licenses live stage plays.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primarily under the Universal Pictures, Focus Features and Illumination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 Our content consists of theatrical films, direct-to-video titles and our film library, which is comprised of more than 5,000 titles in a variety of genres.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 globally by selling them in DVD format to retail stores, rental kiosks and subscription by mail services and by selling electronic copies through digital distributors and the video on demand services provided by multichannel video providers, including our Cable Communications segment. We also license our films, including selections from our film library, to cable, broadcast and premium networks, to subscription video on demand services, and to video on demand and pay-per-view services. The volume of our content that is made available through subscription video on demand services is increasing as consumers continue to seek alternative ways to view our content.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in home entertainment formats, such as DVDs, and electronically through digital distributors. Our Filmed Entertainment segment also generates revenue from producing and licensing live stage plays, from the distribution of filmed entertainment produced by third parties, and from a movie ticketing and entertainment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Theme Parks segment consists primarily of our Universal theme parks in Orlando, Florida and Hollywood, California. Universal Orlando includes two theme parks, Universal Studios Florida and Universal’s Islands of Adventure, as well as CityWalk, a dining, retail and entertainment complex. Universal Orlando also features on-site themed hotels in which we own a noncontrolling interest. Our Universal theme park in Hollywood, California consists primarily of Universal Studios Hollywood. In addition, we license the right to use the Universal Studios brand name and other intellectual property, and also provide other services, to third parties that own and operate the Universal Studios Japan theme park in Osaka, Japan and the Universal Studios Singapore theme park on Sentosa Island, Singapore. We also own a water park, Wet ‘n Wild, in Orlando, Florida.</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retail outlets and merchandising.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Orlando and Hollywood theme parks. Per capita spending includes ticket price and in-park spending on food, beverages and merchandise. Our Theme Parks segment also receives fees from the third parties that own and operate Universal Studios Japan and Universal Studios Singapore for intellectual property licenses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for all of our businesses by challenging existing business models and affecting consumer behavior.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Competition for our video services consists primarily of direct broadcast satellite (“DBS”) providers, which have a national footprint and compete in all of our service areas, and phone companies with fiber-based networks, which overlap approximately 55% of our service areas and are continuing to expand their fiber-based networks. Our high-speed Internet services primarily compete with phone companies with fiber-based networks, which overlap approximately 60% of our service areas and also are continuing to expand their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fiber-based networks. Many of these competitors offer features, pricing and packaging for these services, individually and in bundles, comparable to the pricing and services we offer. There also continue to be new companies, some with significant financial resources, that potentially may compete on a larger scale with some or all of our cable services. For example, companies continue to emerge that provide Internet streaming and downloading of video programming, some of which charge a nominal or no fee, and Google is providing high-speed Internet and video services in a limited number of areas in which we operate and recently announced plans to expand into additional geographical areas. Moreover, wireless technology, such as 3G and 4G wireless broadband services and Wi-Fi networks, may compete with our video and high-speed Internet services, and our voice services are facing increased competition as customers replace landline phones with mobile phones and Internet-based phone services such as Skype.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spacing w:after="0"/>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17" w:lineRule="exact"/>
        <w:rPr>
          <w:sz w:val="20"/>
          <w:szCs w:val="20"/>
          <w:color w:val="auto"/>
        </w:rPr>
      </w:pPr>
    </w:p>
    <w:p>
      <w:pPr>
        <w:ind w:left="1020" w:right="126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and other information to receiving dishes located on the customer’s premises</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phone companies that have built and continue to build fiber-based networks that provide cable services similar to ours, which now overlap a substantial portion of our service areas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satellite master antenna television (“SMATV”) systems that generally serve MDUs, office complexes and residential developments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may compete with digital distributors that offer online services and devices that enable Internet video streaming and downloading of movies, television shows and other video programming.</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 with our video services. The FCC also has launched a rulemaking to classify certain online video distributors as multichannel video distributors under the FCC’s rules and thereby provide them with certain regulatory benefits under the rules. See “Legislation and Regulation” below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Direct Broadcast Satellite Providers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 to recent government and industry reports, conventional medium-power and high-power satellites provide video programming to 34 million subscribers in the United States. DBS providers with high-power satellites typically offer video services substantially similar to our video services. Two companies, DIRECTV and DISH Network, provide video service to substantially all of these DBS subscribers. DBS providers also have marketing arrangements with certain phone companies in which the DBS provider’s video services are sold together with the phone company’s high-speed Internet and phone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Phone Companies</w:t>
      </w:r>
    </w:p>
    <w:p>
      <w:pPr>
        <w:spacing w:after="0" w:line="1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Certain phone companies, in particular AT&amp;T and Verizon, have built and are continuing to build wireline fiber-based networks that provide video, high-speed Internet and voice services in substantial portions of our service areas. These and other phone companies with fiber-based networks or digital subscriber line technology (“DSL”), such as CenturyLink, also may market video services provided by DBS providers in certain areas</w:t>
      </w:r>
    </w:p>
    <w:p>
      <w:pPr>
        <w:spacing w:after="0" w:line="29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where they provide only high-speed Internet and phone services. In May 2014, AT&amp;T, our largest phone company competitor, announced its intention to acquire DirecTV, the nation’s largest DBS provider. If completed, this transaction will create an even larger competitor for our cable services that will have the ability to expand its cable service offerings to include bundled wireless offerings.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Other Wireline Providers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Federal law prohibits franchising authorities from unreasonably denying requests for additional franchises, and it permits franchising authorities to operate cable systems. In addition to phone companies, various other companies, including those that traditionally have not provided video services and have significant financial resources, have obtained cable franchises and provide competing cable services. These and other cable systems offer cable services in some areas where we hold franchises. We anticipate that facilities-based competitors may emerge in other franchise areas that we serve.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Satellite Master Antenna Television Systems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video services also compete for customers with SMATV systems. SMATV system operators typically are not subject to regulation in the same manner as local, franchised cable system operators. SMATV systems offer their subscribers both improved reception of local broadcast television stations and much of the programming offered by our cable systems. In addition, some SMATV system operators offer packages of video, Internet and phone services to residential and business subscribers.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Online Video Services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also compete with online services from digital distributors that offer Internet video streaming and downloading of movies, television shows and other video programming and in some cases charge a nominal or no fee. A number of companies also have announced plans to launch online video services that will reportedly include both linear and on-demand programming and one traditional provider of cable services has begun to offer smaller packages of programming networks directly to customers over the Internet at prices lower than our traditional video service package offerings. Some content providers also are beginning to offer programming directly to customers over the Internet for a nominal fee. Additionally, we may compete with consumer electronic companies that sell Internet-connected TVs or gaming consoles that provide a user interface for searching television and other programming and offer links to various third-party apps. The success of these newer services could negatively impact demand for our video services, including for our DVR, premium network and On Demand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Other</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services also may compete for customers with other companies, such as local broadcast television stations that provide multiple channels of free over-the-air programming, as well as video rental services and home entertainment and gaming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spacing w:after="0"/>
        <w:rPr>
          <w:sz w:val="20"/>
          <w:szCs w:val="20"/>
          <w:color w:val="auto"/>
        </w:rPr>
      </w:pPr>
      <w:r>
        <w:rPr>
          <w:rFonts w:ascii="Arial" w:cs="Arial" w:eastAsia="Arial" w:hAnsi="Arial"/>
          <w:sz w:val="18"/>
          <w:szCs w:val="18"/>
          <w:color w:val="auto"/>
        </w:rPr>
        <w:t>We compete with a number of companies offering Internet services, many of which have substantial resources, including:</w:t>
      </w:r>
    </w:p>
    <w:p>
      <w:pPr>
        <w:spacing w:after="0" w:line="117" w:lineRule="exact"/>
        <w:rPr>
          <w:sz w:val="20"/>
          <w:szCs w:val="20"/>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wireline phone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Internet service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satellite broadband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municipal broadband networks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DSL technology allows Internet access to be provided to customers over phone lines at data transmission speeds substantially greater than those of dial-up modems. Phone companies and certain other companies offer DSL service, and several of these companies have increased data transmission speeds, lowered prices or created bundled service packages. In addition, some phone companies, such as AT&amp;T, CenturyLink and Frontier, have built and are continuing to build out fiber deeper in their networks, which allows them to provide data transmission speeds that exceed those that can be provided with traditional DSL technology and are now offering these higher-speed services in many of our service areas. Verizon, on the other hand, has built out and continues to build out a fiber-to-the-home network in many of our services areas, while Google has launched a similar fiber-to-the-home network and is providing high-speed Internet services in a limited number of areas in which we operate and recently announced plans to expand in additional geographical areas. Certain municipalities in our service areas are also building fiber-based networks.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Various wireless companies are offering Internet services using a variety of network types, including 3G and 4G wireless high-speed Internet networks and Wi-Fi networks. Some of these services are similar to ours. These networks work with devices such as smartphones, laptops, tablets and mobile wireless routers, as well as wireless data cards. In addition, a number of commercial venues, such as retail malls, restaurants and airports, offer Wi-Fi 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73" w:lineRule="auto"/>
        <w:rPr>
          <w:sz w:val="20"/>
          <w:szCs w:val="20"/>
          <w:color w:val="auto"/>
        </w:rPr>
      </w:pPr>
      <w:r>
        <w:rPr>
          <w:rFonts w:ascii="Arial" w:cs="Arial" w:eastAsia="Arial" w:hAnsi="Arial"/>
          <w:sz w:val="16"/>
          <w:szCs w:val="16"/>
          <w:color w:val="auto"/>
        </w:rPr>
        <w:t>Our voice services compete with wireline phone companies, including incumbent local exchange carriers (“ILECs”), competitive local exchange carriers (“CLECs”), wireless phone service providers and other Internet-based and VoIP service providers. Certain phone companies, such as the ILECs AT&amp;T and Verizon, have substantial capital and other resources, longstanding customer relationships, and extensive existing facilities and network rights-of-way. A few CLECs also have existing local networks and significant financial resources. In addition, we are increasingly competing with wireless phone service providers as customers replace landline phones with mobile phones and Internet-based phone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Our business services primarily compete for business services customers with a variety of phone companies, including ILECs and CLECs. These companies either operate their own network infrastructure or rely on reselling all or part of another carrier’s network. We also compete with satellite operators who provide video offerings for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w:t>
      </w:r>
    </w:p>
    <w:p>
      <w:pPr>
        <w:jc w:val="both"/>
        <w:spacing w:after="0" w:line="236"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viewers’ attention and audience share with all forms of programming provided to viewers, including cable, broadcast and premium networks, local broadcast television stations, home entertainment, pay-per-view and video on demand services, online activities, such as social networking and viewing user-generated content, video games, and other forms of entertainment, news and information. Our cable networks, broadcast television networks and owned local broadcast television stations may compete for viewers’ attention with subscription video on demand services, some of which have their own high-quality original content.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the acquisition of programming and for on-air and creative talent with other cable and broadcast networks, local television stations and subscription video on demand services. The market for programming is very competitive, particularly for sports programming, where the cost for such programming is significant.</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compete with other cable networks and programming providers for carriage of their programming by multichannel video providers and subscription video on demand services. Our broadcast television networks compete with the other broadcast networks in markets across the United States to secure affiliations with independently owned television stations, which are necessary to ensure the effective distribution of network programming to a nationwide audience.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production operations compete with other production companies and creators of content for the acquisition of story properties, creative, performing and technical personnel, and with distributors for their content and for consumer interest in their content.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71" w:lineRule="auto"/>
        <w:rPr>
          <w:sz w:val="20"/>
          <w:szCs w:val="20"/>
          <w:color w:val="auto"/>
        </w:rPr>
      </w:pPr>
      <w:r>
        <w:rPr>
          <w:rFonts w:ascii="Arial" w:cs="Arial" w:eastAsia="Arial" w:hAnsi="Arial"/>
          <w:sz w:val="16"/>
          <w:szCs w:val="16"/>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 as scripts for films. Our filmed entertainment business also competes with the other major studios and other producers of entertainment content for sources of financing for the production of its films, for the exhibition of its films in theaters, for shelf space in retail stores for its DVDs and for digital distribution of its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81" w:lineRule="auto"/>
        <w:rPr>
          <w:sz w:val="20"/>
          <w:szCs w:val="20"/>
          <w:color w:val="auto"/>
        </w:rPr>
      </w:pPr>
      <w:r>
        <w:rPr>
          <w:rFonts w:ascii="Arial" w:cs="Arial" w:eastAsia="Arial" w:hAnsi="Arial"/>
          <w:sz w:val="16"/>
          <w:szCs w:val="16"/>
          <w:color w:val="auto"/>
        </w:rPr>
        <w:t>Our theme parks business competes with other multi-park entertainment companies. We also compete with other forms of entertainment, lodging, tourism and recreational activities. In order to maintain the competitiveness of our theme parks, we have invested and continue to invest in existing and new theme park attractions and infrastructure. The investment required to introduce new attractions in our theme parks can be significant.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Our cable communications business, cable networks, broadcast television networks, and owned local broadcast television stations compete for the sale of advertising time with other television networks and stations, as well as with all other advertising platforms, such as online, radio and print media. Additionally, the willingness of advertisers to purchase advertising from us may be adversely affected by lower audience ratings at our cable networks, broadcast television networks and owned local broadcast television stations. Declines in advertising revenue also can be caused by increased competition for the leisure time of audiences and audience fragmentation and from the growing use of technologies such as DVRs and video on demand services, which give consumers greater flexibility to watch programming on a time-delayed or on-demand basis or to fast-forward or skip advertisements within programming, and from subscription video on demand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Item 7, Management’s Discussion and Analysis of Financial Condition and Results of Operations and refer to the “Seasonality and Cyclicality” discussion for additional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Communications Act of 1934, as amended (the “Communications Act”), and FCC regulations and policies affect significant aspects of our businesses, which are also subject to other regulation by federal, state, local and foreign authorities under applicable laws and regulations, as well as under agreements we enter into</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franchising authorities. In addition, our businesses are subject to compliance with the terms of the FCC Order approving the NBCUniversal transaction (the “NBCUniversal Order”) and a consent decree entered into between us, the Department of Justice (“DOJ”) and five states (the “NBCUniversal Consent Decree”), which contain conditions and commitments of varying duration, ranging from three to seven years after September 2011.</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Legislators and regulators at all levels of government frequently consider changing, and sometimes do change, existing statutes, rules or regulations, or interpretations of existing statutes, rules or regulations, or prescribe new ones, which may significantly affect our businesses. For example, in February 2015, the FCC adopted new open Internet regulations that reclassify broadband Internet service as a “telecommunications service,” making it subject to common carriage regulations under Title II of the Communications Act. In addition, in February 2015, the FCC adopted an order that preempted certain state laws that had restricted municipalities from operating municipally owned broadband networks. See “Cable Communications Segment – High Speed Internet Services” below. Congress also is expected to consider a number of legislative proposals addressing communications issues, including whether it should rewrite the entire Communications Act to account for changes in the communications marketplace, how it should address the FCC’s authority to implement open Internet regulations, and whether it should modify rules relating to cable distribution of local broadcast television stations. We are unable to predict whether any such proposals will be enacted into law, or how any such changes would ultimately affect our businesses. We are also seeking regulatory approvals from federal, state and local authorities relating to our acquisition of cable systems from Time Warner Cable and Charter and cannot predict what conditions might be applied to any such approvals or how such conditions might affect our businesses.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paragraphs summarize material existing and potential future legal and regulatory requirements affecting our businesses, although reference should be made to the Communications Act, FCC regulations, the NBCUniversal Order, the NBCUniversal Consent Decree, and other legislation and regulations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Carriage</w:t>
      </w:r>
    </w:p>
    <w:p>
      <w:pPr>
        <w:jc w:val="both"/>
        <w:spacing w:after="0" w:line="235" w:lineRule="auto"/>
        <w:rPr>
          <w:sz w:val="20"/>
          <w:szCs w:val="20"/>
          <w:color w:val="auto"/>
        </w:rPr>
      </w:pPr>
      <w:r>
        <w:rPr>
          <w:rFonts w:ascii="Arial" w:cs="Arial" w:eastAsia="Arial" w:hAnsi="Arial"/>
          <w:sz w:val="18"/>
          <w:szCs w:val="18"/>
          <w:color w:val="auto"/>
        </w:rPr>
        <w:t>The Communications Act and FCC regulations prohibit cable operators and other multichannel video providers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is considering proposals to further expand program carriage regulations that may be disadvantageous to us. In addition, the NBCUniversal Order prohibits discriminating against a network on the basis of its non-affiliation in the selection, terms or conditions for carriage, and requires that, if we place news and/or business news channels in a channel lineup “neighborhood,” we must place all independent news and business news channels in that neighborhood. In early 2014, we settled a complaint filed by Bloomberg Television at the FCC involving this condition. We have been involved in other program carriage disputes at the FCC and may continue to be subject to program carriage complaints in the future. Adverse decisions in disputes under the program carriage regulations or NBCUniversal Order conditions could negatively affect our business.</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35" w:lineRule="auto"/>
        <w:rPr>
          <w:sz w:val="20"/>
          <w:szCs w:val="20"/>
          <w:color w:val="auto"/>
        </w:rPr>
      </w:pPr>
      <w:r>
        <w:rPr>
          <w:rFonts w:ascii="Arial" w:cs="Arial" w:eastAsia="Arial" w:hAnsi="Arial"/>
          <w:sz w:val="18"/>
          <w:szCs w:val="18"/>
          <w:color w:val="auto"/>
        </w:rPr>
        <w:t xml:space="preserve">Cable operators are currently required to carry, without compensation, the programming transmitted by most local commercial and noncommercial broadcast television stations. As an alternative to must carry, local broadcast television stations may choose to negotiate with a cable operator for retransmission consent, under which the station gives up its must-carry rights and instead seeks to negotiate a carriage agreement with the cable operator. Such agreements frequently involve payments to the station. We currently pay certain local broadcast television stations in exchange for their required consent for the retransmission of the stations’ broadcast programming to our video services customers and expect to continue to be subject to demands for increased payment and other concessions from local broadcast television stations. Congress passed legislation in 2014, which, among other things, directs the FCC to initiate a rulemaking to review aspects of its retransmission consent rules. We cannot predict the outcome of the rulemaking or how it might affect our future retransmission consent negotiations. For information on must-carry and retransmission consent issues relating to our broadcast television business, see “NBCUniversal Segments </w:t>
      </w:r>
      <w:r>
        <w:rPr>
          <w:rFonts w:ascii="Arial" w:cs="Arial" w:eastAsia="Arial" w:hAnsi="Arial"/>
          <w:sz w:val="18"/>
          <w:szCs w:val="18"/>
          <w:i w:val="1"/>
          <w:iCs w:val="1"/>
          <w:color w:val="auto"/>
        </w:rPr>
        <w:t>—</w:t>
      </w:r>
      <w:r>
        <w:rPr>
          <w:rFonts w:ascii="Arial" w:cs="Arial" w:eastAsia="Arial" w:hAnsi="Arial"/>
          <w:sz w:val="18"/>
          <w:szCs w:val="18"/>
          <w:color w:val="auto"/>
        </w:rPr>
        <w:t xml:space="preserve"> Broadcast Television” below and refer to the “Must-Carry/Retransmission Consent” discussion within that section.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Pricing and Packaging</w:t>
      </w:r>
    </w:p>
    <w:p>
      <w:pPr>
        <w:jc w:val="both"/>
        <w:spacing w:after="0" w:line="237" w:lineRule="auto"/>
        <w:rPr>
          <w:sz w:val="20"/>
          <w:szCs w:val="20"/>
          <w:color w:val="auto"/>
        </w:rPr>
      </w:pPr>
      <w:r>
        <w:rPr>
          <w:rFonts w:ascii="Arial" w:cs="Arial" w:eastAsia="Arial" w:hAnsi="Arial"/>
          <w:sz w:val="18"/>
          <w:szCs w:val="18"/>
          <w:color w:val="auto"/>
        </w:rPr>
        <w:t>The Communications Act and FCC regulations limit the prices that cable operators may charge for basic video service, equipment and installation. These rules do not apply to cable systems that the FCC determines are subject to effective competition, or where franchising authorities have chosen not to regulate rates. Approximately 80% of our video services customers are not subject to rate regulation. From time to time, Congress and the FCC consider imposing new pricing or packaging regulations.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Equipment</w:t>
      </w:r>
    </w:p>
    <w:p>
      <w:pPr>
        <w:jc w:val="both"/>
        <w:spacing w:after="0" w:line="236" w:lineRule="auto"/>
        <w:rPr>
          <w:sz w:val="20"/>
          <w:szCs w:val="20"/>
          <w:color w:val="auto"/>
        </w:rPr>
      </w:pPr>
      <w:r>
        <w:rPr>
          <w:rFonts w:ascii="Arial" w:cs="Arial" w:eastAsia="Arial" w:hAnsi="Arial"/>
          <w:sz w:val="18"/>
          <w:szCs w:val="18"/>
          <w:color w:val="auto"/>
        </w:rPr>
        <w:t>The Communications Act includes provisions aimed at promoting the retail sale of set-top boxes and other equipment that can be used to receive digital video services, and the FCC has adopted regulations implementing this policy. With the exception of certain one-way devices, like digital transport adapters, these regulations prohibit cable operators from deploying new set-top boxes that perform both channel navigation and security functions. As a result, most set-top boxes that we purchase must rely on a separate security device known as a CableCARD. Congress passed legislation in 2014 that repeals this prohibition in December 2015. The legislation also directs the FCC to establish a working group to report by September 2015 on software-based security aimed at promoting the retail availability of video devices. It is uncertain what, if any, steps the FCC will take in response to that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Pole Attachments</w:t>
      </w:r>
    </w:p>
    <w:p>
      <w:pPr>
        <w:jc w:val="both"/>
        <w:spacing w:after="0" w:line="236" w:lineRule="auto"/>
        <w:rPr>
          <w:sz w:val="20"/>
          <w:szCs w:val="20"/>
          <w:color w:val="auto"/>
        </w:rPr>
      </w:pPr>
      <w:r>
        <w:rPr>
          <w:rFonts w:ascii="Arial" w:cs="Arial" w:eastAsia="Arial" w:hAnsi="Arial"/>
          <w:sz w:val="18"/>
          <w:szCs w:val="18"/>
          <w:color w:val="auto"/>
        </w:rPr>
        <w:t>The Communications Act permits the FCC to regulate the rates, terms and conditions that pole-owning utility companies (with the exception of municipal utilities and rural cooperatives) charge cable systems and telecommunications carriers for allowing attachments to their poles. States are permitted to preempt FCC jurisdiction and regulate the rates, terms and conditions of attachments themselves, and many states in which we operate have done so. Most of these states have generally followed the FCC’s pole attachment rate standards. Until recently, the pole attachment rates applicable to telecommunications services were significantly higher than the rates we have paid for cable and other services. In 2013, a federal court upheld changes to the FCC’s pole rate formula that reduce the rates for telecommunications service pole attachments to levels that are at or near the rates for cable attachments. However, utility companies are able to rebut certain presumptions in the new FCC formula so as to justify higher rates, and it is expected that most will attempt to do so.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Franchising</w:t>
      </w:r>
    </w:p>
    <w:p>
      <w:pPr>
        <w:jc w:val="both"/>
        <w:spacing w:after="0" w:line="239"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(“PEG”) programming, and some of our franchises require substantial channel capacity and financial support for this programming. The Communications Act also contains provisions governing the franchising process, including, among other things, renewal procedures designed to protect incumbent franchisees against arbitrary denials of renewal. We believe that our franchise renewal prospects are generally favorable, but cannot guarantee the future renewal of any individual franchise.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Approximately half of the states in which we operate have enacted legislation to provide statewide franchising or to simplify local franchising requirements for new entrants. Some of these statutes also allow new entrants to operate on more favorable terms than our current operations, for instance by not requiring that the new entrant provide service to all parts of the franchise area or permitting the new entrant to designate only those portions it wishes to serve. Certain of these statutes allow incumbent cable operators to opt into the new state franchise immediately or later when a competing state franchise has been issued for the incumbent cable operator’s franchise area. However, even in those states, the incumbent cable operators sometimes are required to retain certain franchise obligations that are more burdensome than the new entrant’s state franchise.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high-speed Internet services over our cable distribution system. Our high-speed Internet services are subject to a number of regulatory obligations, including compliance with the Communications Assistance for Law Enforcement Act (“CALEA”) requirement that high-speed Internet service providers (“ISPs”) implement certain network capabilities to assist law enforcement in conducting surveillance of persons suspected of criminal activity, and the FCC is considering new requirements for ISPs.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Open Internet Regulations</w:t>
      </w:r>
    </w:p>
    <w:p>
      <w:pPr>
        <w:jc w:val="both"/>
        <w:spacing w:after="0" w:line="235" w:lineRule="auto"/>
        <w:rPr>
          <w:sz w:val="20"/>
          <w:szCs w:val="20"/>
          <w:color w:val="auto"/>
        </w:rPr>
      </w:pPr>
      <w:r>
        <w:rPr>
          <w:rFonts w:ascii="Arial" w:cs="Arial" w:eastAsia="Arial" w:hAnsi="Arial"/>
          <w:sz w:val="18"/>
          <w:szCs w:val="18"/>
          <w:color w:val="auto"/>
        </w:rPr>
        <w:t>In February 2015, the FCC adopted new open Internet regulations but the text of the order has not been released yet. The FCC announced that the order reclassifies broadband Internet access service as a “telecommunications service,” making it subject to common carrier regulation under Title II of the Communications Act. The FCC, however, has indicated that the order will forbear from a number of utility-style regulations, such as rate regulation, tariffs, and unbundling requirements. The FCC also announced that the order adopts rules that bar ISPs from blocking access to lawful content, applications, services or non-harmful devices; prohibits ISPs from impairing or degrading lawful Internet traffic on the basis of content, applications, services, or impairing or degrading the use of non-harmful devices; prohibits ISPs from favoring some lawful Internet traffic over other lawful traffic in exchange for consideration (i.e., no paid prioritization); prohibits ISPs from prioritizing Internet content and services of their affiliates; establishes a new general conduct standard that prohibits ISPs from unreasonably interfering with or unreasonably disadvantaging the ability of consumers to select, access, and use the lawful content, applications, services, or devices of their choosing or of edge providers to make lawful content, applications, services, or devices available to consumers; and expands the FCC’s current Internet transparency rules. In addition, the FCC explained that the agency has now asserted jurisdiction, for the first time, over Internet traffic exchange, so interconnection arrangements will now be subject to a statutory requirement that all charges, practices, classifications, and regulations for and in connection with interconnection must be just and reasonable. All of these requirements will be subject to FCC enforcement and potential third-party claims for damages or equitable relief.</w:t>
      </w:r>
    </w:p>
    <w:p>
      <w:pPr>
        <w:spacing w:after="0" w:line="16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Until the order is released, we are unable to determine what specific requirements will apply to our business or how they will apply to our business, nor can we predict what the impact of such requirements would be on our business.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States also may attempt to use the FCC’s decision to classify ISPs as Title II “telecommunications carriers” and the court’s decision to impose regulations on ISPs or otherwise affect the development of the broadband Internet marketplace in ways that could affect our business.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Separate and apart from the new rules, Comcast is currently bound by the FCC’s original “open Internet” regulations adopted in 2010 as a condition of the NBCUniversal Order and the NBCUniversal Consent Decree for the remainder of the term of those orders. These regulations require that we disclose information regarding network management, performance and commercial terms of the service (the “transparency rule”); bar us from blocking access to lawful content, applications, services or non-harmful devices; and bar us from unreasonably discriminating in transmitting lawful network traffic. The no-blocking and non-discrimination requirements allow for reasonable network management. The FCC did not prohibit use of speed tiers or usage-based pricing, but specifically noted that “paid prioritization” (i.e., charging content, application and service providers for prioritizing their traffic over our last-mile facilities) or an ISP’s prioritizing of its own Internet content likely would violate these regulations. These requirements apply to any broadband Internet access service that we provide to consumers, regardless of whether it is accessed through a set-top box, gaming console, computer or other device. The FCC’s original 2010 rules, except for the transparency rule, were vacated by the U.S. Court of Appeals for the D.C. Circuit in January 2014.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Municipally Owned Broadband Networks</w:t>
      </w:r>
    </w:p>
    <w:p>
      <w:pPr>
        <w:jc w:val="both"/>
        <w:spacing w:after="0" w:line="236" w:lineRule="auto"/>
        <w:rPr>
          <w:sz w:val="20"/>
          <w:szCs w:val="20"/>
          <w:color w:val="auto"/>
        </w:rPr>
      </w:pPr>
      <w:r>
        <w:rPr>
          <w:rFonts w:ascii="Arial" w:cs="Arial" w:eastAsia="Arial" w:hAnsi="Arial"/>
          <w:sz w:val="18"/>
          <w:szCs w:val="18"/>
          <w:color w:val="auto"/>
        </w:rPr>
        <w:t>A number of states have enacted laws that restrict or prohibit local municipalities from operating municipally owned broadband networks. A municipal broadband provider in Tennessee and a municipality in North Carolina filed petitions with the FCC requesting that the FCC preempt state laws that restricted their ability to provide broadband service. The FCC adopted an order in February 2015 that preempts the Tennessee and North Carolina laws in most respects and expresses a willingness to entertain similar preemption requests. Until the order is released, we cannot predict what effects the order will have on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Definition of Advanced Telecommunications Capability</w:t>
      </w:r>
    </w:p>
    <w:p>
      <w:pPr>
        <w:jc w:val="both"/>
        <w:spacing w:after="0" w:line="236" w:lineRule="auto"/>
        <w:rPr>
          <w:sz w:val="20"/>
          <w:szCs w:val="20"/>
          <w:color w:val="auto"/>
        </w:rPr>
      </w:pPr>
      <w:r>
        <w:rPr>
          <w:rFonts w:ascii="Arial" w:cs="Arial" w:eastAsia="Arial" w:hAnsi="Arial"/>
          <w:sz w:val="18"/>
          <w:szCs w:val="18"/>
          <w:color w:val="auto"/>
        </w:rPr>
        <w:t>In January 2015, the FCC redefined what connection speeds and other service characteristics constitute “advanced telecommunications capability,” increasing the downstream speed from 4 Mbps to 25 Mbps. The definition of “advanced telecommunications capability” has been used by the FCC in the past to determine whether broadband Internet services are being deployed to all Americans in a reasonable and timely way. Under the relevant statute, because the FCC has determined that “advanced telecommunications capability” is not being deployed in a reasonable and timely manner, it has regulatory authority to adopt new regulations that might conceivably accelerate deployment of such services. The FCC reportedly is considering relying in part on this authority to adopt new open Internet regulations. The FCC also could use this authority to adopt other measures affecting our broadband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Order Conditions</w:t>
      </w:r>
    </w:p>
    <w:p>
      <w:pPr>
        <w:jc w:val="both"/>
        <w:spacing w:after="0" w:line="236" w:lineRule="auto"/>
        <w:rPr>
          <w:sz w:val="20"/>
          <w:szCs w:val="20"/>
          <w:color w:val="auto"/>
        </w:rPr>
      </w:pPr>
      <w:r>
        <w:rPr>
          <w:rFonts w:ascii="Arial" w:cs="Arial" w:eastAsia="Arial" w:hAnsi="Arial"/>
          <w:sz w:val="18"/>
          <w:szCs w:val="18"/>
          <w:color w:val="auto"/>
        </w:rPr>
        <w:t>The NBCUniversal Order and NBCUniversal Consent Decree include various conditions and commitments requiring us to expand our broadband service areas, to continue to offer all of our high-speed Internet service speed tiers on a stand-alone basis at reasonable market-based prices, to maintain a high-speed Internet service of at least 12 Mbps downstream across most of our footprint, and to not discriminate in how we treat “specialized services” (defined as services we provide over the same last-mile facilities as our high-speed Internet service, but not including our high-speed Internet service, video services or voice services). We have taken a number of steps to comply with these conditions. In 2012, after an FCC inquiry into whether we failed to comply with the stand-alone broadband condition, we entered into a consent decree with the FCC to extend our offering of the performance starter tier for one additional year until February 2015 and to reinforce the promotion of our stand-alone broadband offerings, including training our sales representatives with respect to these offerings.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Other Regulatory Activities</w:t>
      </w:r>
    </w:p>
    <w:p>
      <w:pPr>
        <w:jc w:val="both"/>
        <w:spacing w:after="0" w:line="236" w:lineRule="auto"/>
        <w:rPr>
          <w:sz w:val="20"/>
          <w:szCs w:val="20"/>
          <w:color w:val="auto"/>
        </w:rPr>
      </w:pPr>
      <w:r>
        <w:rPr>
          <w:rFonts w:ascii="Arial" w:cs="Arial" w:eastAsia="Arial" w:hAnsi="Arial"/>
          <w:sz w:val="18"/>
          <w:szCs w:val="18"/>
          <w:color w:val="auto"/>
        </w:rPr>
        <w:t>Congress and federal regulators have adopted a wide range of measures affecting Internet use, including, for example, consumer privacy, consumer protection, copyright protection, defamation liability, taxation, obscenity and unsolicited commercial email. For example, in 1998, the Internet Tax Freedom Act was enacted in an effort to promote use of the Internet, and it has been extended several times, but is scheduled to expire in September 2015, unless it is extended again. State and local governments also have adopted Internet-related regulations. Furthermore, Congress, the FCC, and certain state and local governments are considering proposals to impose customer service, quality of service, expanded copyright protection requirements, taxation, child safety, privacy and standard pricing regulations on high-speed ISPs. It is uncertain whether any of these proposals will be adopted. The adoption of new laws or the application of existing laws to the Internet could have a material adverse effect on our high-speed Internet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provide voice services by using interconnected VoIP technology. The FCC has adopted a number of regulations for providers of nontraditional voice services such as ours, including regulations relating to customer proprietary network information, local number portability duties and benefits, disability access, E911, law enforcement assistance (CALEA), outage reporting, rural call completion reporting, Universal Service Fund contribution obligations, domestic discontinuance requirements and certain regulatory filing requirements. The FCC has not yet ruled on whether interconnected VoIP service should be classified as an “information service” or a “telecommunications service” under the Communications Act. The classification determination is important because telecommunications services are still regulated more pervasively than information services. The regulatory environment for our voice services therefore remains uncertain at both the federal and the state levels. Until the FCC definitively classifies interconnected VoIP service, state regulatory commissions and legislatures may continue to investigate imposing regulatory requirements on our voice services. A number of states have enacted laws that preclude state public utility regulation of VoIP-based services notwithstanding how they are classified under federal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Interconnection</w:t>
      </w:r>
    </w:p>
    <w:p>
      <w:pPr>
        <w:jc w:val="both"/>
        <w:spacing w:after="0" w:line="235" w:lineRule="auto"/>
        <w:rPr>
          <w:sz w:val="20"/>
          <w:szCs w:val="20"/>
          <w:color w:val="auto"/>
        </w:rPr>
      </w:pPr>
      <w:r>
        <w:rPr>
          <w:rFonts w:ascii="Arial" w:cs="Arial" w:eastAsia="Arial" w:hAnsi="Arial"/>
          <w:sz w:val="18"/>
          <w:szCs w:val="18"/>
          <w:color w:val="auto"/>
        </w:rPr>
        <w:t>Because the FCC has not determined the appropriate classification of our voice services, the precise scope of interconnection regulations applicable to us as a provider of nontraditional voice services is not clear. In light of this uncertainty, providers of VoIP services typically either secure CLEC authorization or obtain interconnection to traditional wireline phone company networks by contracting with an existing CLEC, whose right, as a telecommunications carrier, to request and obtain interconnection with the traditional wireline phone companies is set forth in the Communications Act. We have arranged for such interconnection rights through our affiliated CLECs. While some traditional wireline phone companies have challenged our right to interconnect directly with them, we have prevailed in all of these challenges, and no such challenges are currently pending. However, if a regulatory or judicial authority were to deny our ability to interconnect through one of our CLECs, our ability to provide voice services and compete in the area in question would be negatively impacted. In 2012, the FCC sought comment on two petitions that raise issues concerning the interconnection obligations for IP voice providers, and it also formed a task force to coordinate the FCC’s efforts on issues related to the transition of networks from circuit-switched to packet-switched technology, including the issue of IP interconnection. We cannot predict what, if any, further actions the FCC might take in this area or what effect any such actions might have on our business. Further, a Massachusetts state commission is reviewing whether IP interconnection agreements should be subject to regulation and other states could follow. In 2011, the FCC issued an order clarifying the entire intercarrier compensation system, which governs the arrangements by which telecommunications carriers compensate one another for exchanged traffic, whether it be for local, intrastate or interstate traffic over the traditional phone network or from VoIP providers to the traditional phone network. The FCC order affirmed the right of CLECs to collect intercarrier compensation when providing interconnection for VoIP providers. The FCC order was upheld on appeal by a federal court, but that decision has now been appealed to the Supreme Court of the United States.</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Universal Service</w:t>
      </w:r>
    </w:p>
    <w:p>
      <w:pPr>
        <w:jc w:val="both"/>
        <w:spacing w:after="0" w:line="237" w:lineRule="auto"/>
        <w:rPr>
          <w:sz w:val="20"/>
          <w:szCs w:val="20"/>
          <w:color w:val="auto"/>
        </w:rPr>
      </w:pPr>
      <w:r>
        <w:rPr>
          <w:rFonts w:ascii="Arial" w:cs="Arial" w:eastAsia="Arial" w:hAnsi="Arial"/>
          <w:sz w:val="18"/>
          <w:szCs w:val="18"/>
          <w:color w:val="auto"/>
        </w:rPr>
        <w:t>A federal program known as the Universal Service program generally requires telecommunications service providers to pay a fee based on revenue from their services into a fund used to subsidize the provision of telecommunications services in high-cost areas and to low-income consumers and the provision of Internet and telecommunications services to schools, libraries and certain health care providers. Some states also have analogous programs that support service in high-cost areas or to low-income consumers.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issued an order in 2011 that changed the way that a majority of Universal Service funds are allocated and began implementing that order in 2012. By focusing on broadband and wireless deployment, and moving away from supporting traditional telephone service, the changes could assist some of our competitors in more effectively competing with our service offerings, while others could receive less funding. The actual impact of the changes is not yet known. The FCC’s ruling has been upheld by a federal court, but that decision has now been appealed to the Supreme Court of the United States.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2014, the FCC released an order substantially revising the program to support services to schools and libraries. Under the new rules, support will be shifted from voice services and other legacy services to broadband service and to the deployment of Wi-Fi networks. In December 2014, the FCC adopted an order increasing the budget for, and making additional changes to, the schools and libraries program. We cannot predict how these changes will affect our businesses.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has a long-pending proceeding to reform the mechanism used to collect the fees used to fund federal universal service programs. Proposals in that proceeding have included changing the basis on which the fee is calculated from revenue to a per-user fee or per-connection fee; adopting a fee based on bandwidth; or expanding the services subject to the fee to include broadband Internet access. In August 2014, the FCC referred the question of how to reform universal service fees to the Federal-State Joint Board on Universal Service, which is expected to make a recommendation in April 2015. In announcing certain aspects of his proposed open Internet order, the FCC Chairman stated that his proposed order would not impose universal service fees on broadband Internet access services. We are unable to predict the outcome of these proceedings and whether they will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State and Local Taxes</w:t>
      </w:r>
    </w:p>
    <w:p>
      <w:pPr>
        <w:jc w:val="both"/>
        <w:spacing w:after="0" w:line="235" w:lineRule="auto"/>
        <w:rPr>
          <w:sz w:val="20"/>
          <w:szCs w:val="20"/>
          <w:color w:val="auto"/>
        </w:rPr>
      </w:pPr>
      <w:r>
        <w:rPr>
          <w:rFonts w:ascii="Arial" w:cs="Arial" w:eastAsia="Arial" w:hAnsi="Arial"/>
          <w:sz w:val="18"/>
          <w:szCs w:val="18"/>
          <w:color w:val="auto"/>
        </w:rPr>
        <w:t>Some states and localities have imposed or are considering imposing new or additional taxes or fees on the cable services we offer, or imposing adverse methodologies by which taxes or fees are computed. These include combined reporting or other changes to general business taxes, central assessments for property tax, and taxes and fees on video, high-speed Internet and voice services. Cable industry members are challenging certain of these taxes through administrative and court proceedings. In addition, in some situations our DBS competitors and other competitors that deliver their services over a high-speed Internet connection do not face similar state tax and fee burdens. Congress has also considered, and may consider again, proposals to bar states from imposing taxes on DBS providers that are equivalent to the taxes or fees that we pay. Congress may not extend the Internet Tax Freedom Act, which prohibits most states and localities from imposing taxes on Internet access charges. Additionally, the FCC may impose Title II regulation on Internet access service, which may cause, directly or indirectly, some states and localities to impose additional taxes and fees on our high-speed Internet business.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Access</w:t>
      </w:r>
    </w:p>
    <w:p>
      <w:pPr>
        <w:jc w:val="both"/>
        <w:spacing w:after="0" w:line="236"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from favoring affiliated cable operators over competing multichannel video programming distributors (“MVPDs”). In 2012, the FCC relaxed its restriction on exclusive contracts between cable operators and cable-affiliated networks; such agreements can now be reviewed on a case-by-case basis in response to a complaint. The FCC is considering proposals that would make it easier for MVPDs to succeed with complaints involving exclusive contracts, and making it easier for them to use buying groups to purchase programming. The FCC also recently initiated a rulemaking proceeding to determine whether certain online video distributors (“OVDs”) should be classified as MVPDs and be given the ability to bring complaints under the program access rules. It is uncertain whether the FCC will act on these proposals and, if adopted, what impact these proposals would have on our cable networks.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recent years, both the FCC and Congress have considered proposals that would require companies that own multiple cable networks to make each of their networks available to MVPDs on a stand-alone or “unbundled” basis when negotiating distribution agreements. Lawmakers also have proposed legislation that would provide certain program access rights and protections to online video distributors. We currently offer our cable networks both on a bundled and, when requested, on a stand-alone basis. It is uncertain whether any of these proposals will ever be adopted and, if so, what impact they would have on our cable networks.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NBCUniversal Order, MVPDs can invoke commercial arbitration for program access in certain circumstances against our cable networks and broadcast television networks, including our regional sports networks. In addition, under the NBCUniversal Order and NBCUniversal Consent Decree, we are required to make certain of our cable network, broadcast television and filmed entertainment programming available to bona fide online video distributors in certain circumstances. For further discussion of these conditions, see “Broadcast Television” below and refer to the “Must-Carry/Retransmission Consent” and “Internet Distribution” discussions within that section.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Children’s Programming</w:t>
      </w:r>
    </w:p>
    <w:p>
      <w:pPr>
        <w:jc w:val="both"/>
        <w:spacing w:after="0" w:line="236" w:lineRule="auto"/>
        <w:rPr>
          <w:sz w:val="20"/>
          <w:szCs w:val="20"/>
          <w:color w:val="auto"/>
        </w:rPr>
      </w:pPr>
      <w:r>
        <w:rPr>
          <w:rFonts w:ascii="Arial" w:cs="Arial" w:eastAsia="Arial" w:hAnsi="Arial"/>
          <w:sz w:val="18"/>
          <w:szCs w:val="18"/>
          <w:color w:val="auto"/>
        </w:rPr>
        <w:t>The Children’s Television Act (“CTA”) and FCC regulations limit the amount and content of commercial matter that may be shown on cable networks, broadcast networks and broadcast television stations during programming originally produced and broadcast primarily for an audience of children under 13 years of age, and require that television stations’ programming serve the educational and informational needs of children under 17 years of age. In addition, the NBCUniversal Order includes certain commitments and conditions related to children’s television and advertising directed at children.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Licensing</w:t>
      </w:r>
    </w:p>
    <w:p>
      <w:pPr>
        <w:jc w:val="both"/>
        <w:spacing w:after="0" w:line="238" w:lineRule="auto"/>
        <w:rPr>
          <w:sz w:val="20"/>
          <w:szCs w:val="20"/>
          <w:color w:val="auto"/>
        </w:rPr>
      </w:pPr>
      <w:r>
        <w:rPr>
          <w:rFonts w:ascii="Arial" w:cs="Arial" w:eastAsia="Arial" w:hAnsi="Arial"/>
          <w:sz w:val="18"/>
          <w:szCs w:val="18"/>
          <w:color w:val="auto"/>
        </w:rPr>
        <w:t>The Communications Act permits the operation of local broadcast television stations only in accordance with a license issued by the FCC upon a finding that the grant of the license would serve the public interest, convenience and necessity. The FCC grants broadcast television station licenses for specific periods of time and, upon application, may renew the licenses for additional terms.</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Renewal applications are pending for a number of our broadcast television station licenses. The FCC may grant any license renewal application with or without conditions, including renewal for a lesser term than the maximum eight years otherwise permitted. A station’s authority to operate is automatically extended while a renewal application is on file and under review. Six pending applications have been opposed by third parties</w:t>
      </w:r>
    </w:p>
    <w:p>
      <w:pPr>
        <w:spacing w:after="0" w:line="29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other applications are pending due to unresolved complaints of alleged indecency in the stations’ programming. Although we have received such renewals in the past, there can be no assurance that we will always obtain them.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Ownership Limits</w:t>
      </w:r>
    </w:p>
    <w:p>
      <w:pPr>
        <w:jc w:val="both"/>
        <w:spacing w:after="0" w:line="236" w:lineRule="auto"/>
        <w:rPr>
          <w:sz w:val="20"/>
          <w:szCs w:val="20"/>
          <w:color w:val="auto"/>
        </w:rPr>
      </w:pPr>
      <w:r>
        <w:rPr>
          <w:rFonts w:ascii="Arial" w:cs="Arial" w:eastAsia="Arial" w:hAnsi="Arial"/>
          <w:sz w:val="18"/>
          <w:szCs w:val="18"/>
          <w:color w:val="auto"/>
        </w:rPr>
        <w:t>FCC regulations limit the ability of individuals and entities to have “attributable interests” above specific levels in local television stations, as well as other specified mass media entities, such as limits on the cross-ownership of broadcast stations and newspapers in the same market. The FCC, by law, must review the ownership regulations detailed below once every four years. The review initiated in 2010 was not completed. Instead, it has been incorporated into the quadrennial review initiated in 2014. The FCC expects to complete the review in 2016. There are also several pending court challenges to the ownership regulations. We cannot predict when the FCC’s current review will be completed or whether or how any of these regulations will change.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Local Television Ownership</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Under the FCC’s local television ownership rule, a licensee may own up to two broadcast television stations in the same DMA, as long as at least one of the two stations is not among the top four-ranked stations in the market based on audience share as of the date an application for approval of an acquisition is filed with the FCC and at least eight independently owned and operating full-power broadcast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National Television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and FCC regulations limit the number of broadcast television stations one entity may own or control nationally. Under the rule, no entity may have an attributable interest in broadcast television stations that reach, in the aggregate, more than 39% of all U.S. television households. Our owned television station reach does not exceed this limit. In 2013, the FCC launched a rulemaking that considers eliminating a rule that currently affords UHF stations (channels 14 and above) a 50% discount in calculating the extent of an individual station owner’s holdings under the national cap. Adoption of this proposed change would place us closer to the national cap and limit our flexibility to acquire stations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Foreign Ownership</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Communications Act generally limits foreign ownership in a broadcast station to 20% direct ownership and 25% indirect ownership (i.e., through one or more subsidiaries), although the limit on indirect ownership can be waived if the FCC finds it to be in the public interest. For many decades the FCC has declined to waive the 25% indirect limit in broadcast transactions, but in a 2013 declaratory ruling, the FCC stated that it is now willing to consider such waiver requests.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Dual Network Rule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dual network rule prohibits any of the four major broadcast television networks, ABC, CBS, Fox and NBC, from being under common ownership or control with another of the four.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38" w:lineRule="auto"/>
        <w:rPr>
          <w:sz w:val="20"/>
          <w:szCs w:val="20"/>
          <w:color w:val="auto"/>
        </w:rPr>
      </w:pPr>
      <w:r>
        <w:rPr>
          <w:rFonts w:ascii="Arial" w:cs="Arial" w:eastAsia="Arial" w:hAnsi="Arial"/>
          <w:sz w:val="18"/>
          <w:szCs w:val="18"/>
          <w:color w:val="auto"/>
        </w:rPr>
        <w:t>Every three years, each commercial television station must elect for each cable system in its DMA either must-carry or retransmission consent. A similar regulatory scheme applies to satellite providers. For the current period, which ends on December 31, 2017, all of our owned NBC broadcast television stations and our owned Telemundo broadcast television stations elected retransmission consent.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enacting the STELA Reauthorization Act of 2014 (“STELAR”), Congress modified certain aspects of the compulsory copyright licenses under which satellite providers and cable operators retransmit broadcast stations. STELAR also directs the FCC to conduct a rulemaking in 2015 to review aspects of the requirement that commercial television stations and MVPDs negotiate retransmission consent agreements in good faith. The FCC also has pending a rulemaking to consider, among other issues, modifications to the good-faith negotiating standards and possible elimination of rules protecting local television stations’ exclusive rights to transmit network and syndicated programming in their local markets. Congress also is considering legislation that would eliminate or modify the must-carry and retransmission consent regime. We cannot predict what new laws or regulations, if any, may be adopted or how any such laws or regulations would affect our businesses. Under conditions imposed in the NBCUniversal Order, MVPDs may invoke commercial arbitration to resolve disputes regarding carriage of our owned local broadcast television stations.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Internet Distribution</w:t>
      </w:r>
    </w:p>
    <w:p>
      <w:pPr>
        <w:jc w:val="both"/>
        <w:spacing w:after="0" w:line="270" w:lineRule="auto"/>
        <w:rPr>
          <w:sz w:val="20"/>
          <w:szCs w:val="20"/>
          <w:color w:val="auto"/>
        </w:rPr>
      </w:pPr>
      <w:r>
        <w:rPr>
          <w:rFonts w:ascii="Arial" w:cs="Arial" w:eastAsia="Arial" w:hAnsi="Arial"/>
          <w:sz w:val="16"/>
          <w:szCs w:val="16"/>
          <w:color w:val="auto"/>
        </w:rPr>
        <w:t>The NBCUniversal Order and NBCUniversal Consent Decree establish certain obligations and restraints concerning distribution of our content online. We must make available certain of our cable network, broadcast television and filmed entertainment programming to bona fide online video distributors in certain circumstances, and they may invoke commercial arbitration to resolve disputes over access to such programming. We also must distribute programming via nbc.com that is generally equivalent to the programming that we distributed via nbc.com as of January 1, 2011, on generally equivalent price, terms and conditions, so long as at least one of the other major broadcast networks continues to distribute its programming in a similar fashion. We are one of three broadcast network owners of Hulu, but we have no voting rights or board representation. We have entered into renewal license agreements with Hulu on substantially the same terms as its other broadcast network owners.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Broadcast Spectrum</w:t>
      </w:r>
    </w:p>
    <w:p>
      <w:pPr>
        <w:jc w:val="both"/>
        <w:spacing w:after="0" w:line="236" w:lineRule="auto"/>
        <w:rPr>
          <w:sz w:val="20"/>
          <w:szCs w:val="20"/>
          <w:color w:val="auto"/>
        </w:rPr>
      </w:pPr>
      <w:r>
        <w:rPr>
          <w:rFonts w:ascii="Arial" w:cs="Arial" w:eastAsia="Arial" w:hAnsi="Arial"/>
          <w:sz w:val="18"/>
          <w:szCs w:val="18"/>
          <w:color w:val="auto"/>
        </w:rPr>
        <w:t>In 2012, Congress authorized the FCC to conduct an incentive auction to reassign a portion of the broadcast spectrum for mobile broadband use. Under the statute, broadcasters may voluntarily relinquish some or all of their spectrum rights in exchange for a share of the proceeds of the FCC’s auction of the spectrum. Broadcasters that do not voluntarily relinquish their spectrum rights may still be affected as part of the process of clearing and repacking the spectrum, but Congress required the FCC to make “all reasonable efforts” to preserve broadcasters’ over-the-air coverage areas and populations served, and to reimburse those broadcasters’ reasonable relocation costs. The FCC currently is conducting a proceeding to implement this statute, addressing matters such as incentive auction procedures, pricing methodologies, spectrum repacking and broadcaster relocation cost reimbursement. Current FCC plans are to conduct the incentive auction in 2016. We cannot predict whether or how the incentive auction might affect our businesses.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Indecency</w:t>
      </w:r>
    </w:p>
    <w:p>
      <w:pPr>
        <w:jc w:val="both"/>
        <w:spacing w:after="0" w:line="239" w:lineRule="auto"/>
        <w:rPr>
          <w:sz w:val="20"/>
          <w:szCs w:val="20"/>
          <w:color w:val="auto"/>
        </w:rPr>
      </w:pPr>
      <w:r>
        <w:rPr>
          <w:rFonts w:ascii="Arial" w:cs="Arial" w:eastAsia="Arial" w:hAnsi="Arial"/>
          <w:sz w:val="18"/>
          <w:szCs w:val="18"/>
          <w:color w:val="auto"/>
        </w:rPr>
        <w:t>A federal statute and FCC regulations prohibit the broadcast of obscene material on television stations at any time and indecent or profane material between the hours of 6 a.m. and 10 p.m.</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Indecency regulation has been the subject of recent court review, regarding both the FCC’s “fleeting expletives” policy and the FCC’s definition of what constitutes indecent material. A U.S. Supreme Court decision in 2012 may result in the FCC’s clarification of its policy and changes to how it approaches future indecency-related enforcement actions. In this regard, in 2013, the FCC sought public comment regarding its indecency enforcement policies, but it has taken no further action. From time to time, we have received and may receive in the future letters of inquiry from the FCC prompted by complaints alleging that certain programming on our owned local television stations included indecent or profane material.</w:t>
      </w:r>
    </w:p>
    <w:p>
      <w:pPr>
        <w:spacing w:after="0" w:line="298"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International Regulation</w:t>
      </w:r>
    </w:p>
    <w:p>
      <w:pPr>
        <w:jc w:val="both"/>
        <w:spacing w:after="0" w:line="281" w:lineRule="auto"/>
        <w:rPr>
          <w:sz w:val="20"/>
          <w:szCs w:val="20"/>
          <w:color w:val="auto"/>
        </w:rPr>
      </w:pPr>
      <w:r>
        <w:rPr>
          <w:rFonts w:ascii="Arial" w:cs="Arial" w:eastAsia="Arial" w:hAnsi="Arial"/>
          <w:sz w:val="16"/>
          <w:szCs w:val="16"/>
          <w:color w:val="auto"/>
        </w:rPr>
        <w:t>International regulation of television broadcasting varies widely according to jurisdiction and includes the regulation of programming and advertising. For example, the European Union (“E.U.”) establishes minimum levels of regulation across all E.U. member states focused on content and advertising, which also extends to nonlinear television services, although E.U. countries are free to impose stricter regulation in certain areas.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C6DFF"/>
        </w:rPr>
        <w:t>Online Video Distributors</w:t>
      </w:r>
    </w:p>
    <w:p>
      <w:pPr>
        <w:jc w:val="both"/>
        <w:spacing w:after="0" w:line="236" w:lineRule="auto"/>
        <w:rPr>
          <w:sz w:val="20"/>
          <w:szCs w:val="20"/>
          <w:color w:val="auto"/>
        </w:rPr>
      </w:pPr>
      <w:r>
        <w:rPr>
          <w:rFonts w:ascii="Arial" w:cs="Arial" w:eastAsia="Arial" w:hAnsi="Arial"/>
          <w:sz w:val="18"/>
          <w:szCs w:val="18"/>
          <w:color w:val="auto"/>
        </w:rPr>
        <w:t>The FCC has initiated a rulemaking to consider classifying certain OVDs that offer multiple linear programming networks to customers with a broadband Internet connection as MVPDs under FCC rules. The FCC’s proposal is designed to ensure that these OVDs have program access rights to programming from vertically integrated cable programmers and the right to force broadcast stations to negotiate to license their content. The FCC also has proposed potentially excusing these entities from all or some of the regulatory obligations applicable to current MVPDs. If adopted, these proposals would increase our program access obligations and raise complicated issues regarding the licensing of our broadcast programming. The outcome of this proceeding cannot be determined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business is subject to the provisions of “trade practice laws” in effect in 25 states and Puerto Rico relating to theatrical distribution of motion pictures. Under various consent judgments, federal and state antitrust laws and state unfair competition laws, motion picture companies are subject to certain restrictions on trade practices in the United States. In countries outside the United States, there are a variety of existing or contemplated governmental laws and regulations that may affect our ability to distribute and license motion picture and television products, as well as consumer merchandise products. The ability of countries to deny market access or refuse national treatment to products originating outside their territories is regulated under various international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and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 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enforcement in the United States or internationally, or a failure of existing laws to adapt to new technologies, could make it more difficult for us to adequately protect our intellectual property rights, which could negatively impact their value and further increase the costs of enforcing our rights.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Copyright laws also require that we pay standard industry licensing fees for the public performance of music in the programs we distribute, such as local advertising and local origination programming on our cable systems, as well as in the content we create. The fees we pay to music performance rights organizations are typically renegotiated when we renew licenses with those organizations, and we cannot predict what those fees will be in the future or if disputes will arise over them.</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There has been litigation related to a number of online entities that stream our broadcast television content online without the consent of, or compensation to, NBC or its affiliates. In 2014, the U.S. Supreme Court ruled that one such entity, Aereo, violated the broadcasters’ exclusive right to perform their copyrighted works publicly. Subsequently, Aereo sought to operate as a cable system under the Copyright Act, although the U.S. Copyright Office rejected its application for a compulsory copyright license. We also have brought a suit against a multichannel video provider to challenge the commercial-skipping functionality in its DVR. Additionally, legislation has been proposed in the U.S. Congress that seems intended to legitimize the unauthorized online streaming of local broadcast content. We cannot predict whether such legislation will be enacted or how any such legislation would ultimately affect our businesses. In addition, the FCC recently sought comment on whether classifying certain OVDs as MVPDs would give such OVDs the right to negotiate for retransmission consent with local broadcast stations and subject such negotiations to the good-faith requirements under the FCC’s rules. We cannot predict the outcome of the rulemaking, or how it would affect our businesses.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There are exceptions that permit such collection and disclosure for rendering service, conducting legitimate business activities related to the service, and responding to legal requests. The Communications Act and FCC regulations also provide privacy protections for customer proprietary network information related to our voice services. Several states and numerous local jurisdictions have enacted privacy laws or franchise privacy provisions that apply to cable services.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FTC has continued to exercise authority over privacy protections generally, using its existing authority over unfair and deceptive practices and other public proceedings to apply greater restrictions on the collection and use of personally identifiable and other information relating to consumers. It also has undertaken numerous enforcement actions against parties that do not provide sufficient security protections against the loss or unauthorized disclosure of this type of information. In 2013, FTC regulations implementing the Children’s Online Privacy Protection Act (“COPPA”) went into effect. COPPA imposes requirements on website operators and online services that are directed to children under 13 years of age, or that knowingly collect or post personal information from children under 13 years of age. The FTC rules impose some significant new obligations on operators of websites and online services, including expanded categories of personal information and new data security and data retention requirements, and also expand the scope of COPPA to reach third-party service providers that knowingly collect personal information through a website or service focused towards children.</w:t>
      </w:r>
    </w:p>
    <w:p>
      <w:pPr>
        <w:spacing w:after="0" w:line="16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as well as FCC regulations relating to automated telemarketing calls, texts or SMS messages. The FTC and state attorneys general also have initiated efforts to increase and enforce transparency requirements about the collection and use of consumer information, even in an</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aggregated, non-customer-identifiable form. These requirements may require ongoing review of new and rapidly evolving technologies and methods for delivering content and advertising to ensure that appropriate notice is given to consumers and consent is obtained where required.</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regulations and laws regarding information security. Most of these regulations and laws apply to consumer information that could be used to commit identity theft. Substantially all of the U.S. states and the District of Columbia have enacted security breach notification laws. These laws generally require that a business give notice to consumers and government agencies when certain information has been disclosed because of a security breach. The FCC has adopted security breach rules for voice services. In October 2014, the FCC proposed to impose fines totaling $10 million on two companies for failing to protect customer data from unauthorized access by and disclosure to third parties. Several states have also enacted general information security requirements to safeguard consumer information, including the proper disposal of consumer information. In addition, we maintain an identity theft program that incorporates the guidance provided under the FTC’s “red flag rules,” which are designed to detect the warning signs of identity theft.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the President directed the National Institute of Standards and Technology (“NIST”), in cooperation with other federal agencies and owners and operators of U.S. critical infrastructure, including us, to develop a voluntary framework that provides a prioritized, flexible, repeatable, performance-based and cost-effective approach to cyber risk, which was released in February 2014. It is a compendium of existing cross-sector cyber-defense processes, practices and protocols that can help companies identify, assess and manage their cyber risks and vulnerabilities. Additionally, there are pending legislative proposals that could impose new requirements on owners and operators of critical infrastructure, including us. Several government agencies have encouraged compliance with the NIST cybersecurity framework. The FCC is considering expansion of its cybersecurity guidelines or the adoption of cybersecurity requirements. We cannot predict what proposals may ultimately be adopted or how such requirements, if any, would affect our businesses.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 and more restrictive requirements may be imposed if and to the extent that state or local authorities establish their own privacy or security standards or if Congress enacts new privacy or security legislation.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Restrictions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and on the tax deductibility of advertising expenses. We are unable to predict whether such reports would result in legislative proposals, whether legislative proposals may be adopted, or, if adopted, what impact they would have on our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Certain of our business operations are subject to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NBCUniversal’s current and former facilities and at off-site waste disposal locations, although our share of the cost of such cleanups to date has not been material. In addition, 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See Item 3, “Legal Proceedings” for additional information.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Disabilities Access</w:t>
      </w:r>
    </w:p>
    <w:p>
      <w:pPr>
        <w:jc w:val="both"/>
        <w:spacing w:after="0" w:line="236" w:lineRule="auto"/>
        <w:rPr>
          <w:sz w:val="20"/>
          <w:szCs w:val="20"/>
          <w:color w:val="auto"/>
        </w:rPr>
      </w:pPr>
      <w:r>
        <w:rPr>
          <w:rFonts w:ascii="Arial" w:cs="Arial" w:eastAsia="Arial" w:hAnsi="Arial"/>
          <w:sz w:val="18"/>
          <w:szCs w:val="18"/>
          <w:color w:val="auto"/>
        </w:rPr>
        <w:t>Our businesses are subject to a number of statutory and regulatory requirements related to ensuring that our services are accessible to individuals with disabilities. Among other things, our voice services and email services must be accessible to and usable by persons with disabilities; we must provide additional narrations of key visual elements on certain of our video services and programming; and we must include closed captioning on certain video programming delivered to our customers. The FCC has adopted quality standards for closed captioning, as well as rules that will require that on-screen menus and program guides used on set-top boxes and other navigation devices to access multichannel video programming be audibly accessible to blind and low-vision customers. The FCC is considering further accessibility requirements for MVPDs, and we cannot predict what impact those further requirements would have on our businesses.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FCC Regulations</w:t>
      </w:r>
    </w:p>
    <w:p>
      <w:pPr>
        <w:jc w:val="both"/>
        <w:spacing w:after="0" w:line="270" w:lineRule="auto"/>
        <w:rPr>
          <w:sz w:val="20"/>
          <w:szCs w:val="20"/>
          <w:color w:val="auto"/>
        </w:rPr>
      </w:pPr>
      <w:r>
        <w:rPr>
          <w:rFonts w:ascii="Arial" w:cs="Arial" w:eastAsia="Arial" w:hAnsi="Arial"/>
          <w:sz w:val="16"/>
          <w:szCs w:val="16"/>
          <w:color w:val="auto"/>
        </w:rPr>
        <w:t>The FCC actively regulates other aspects of our businesses, including the mandatory blackout of syndicated and network programming, customer service standards, inside wiring, leased access, loudness of commercial advertisements, political advertising, Emergency Alert System requirements, equal employment opportunity, lottery programming, recordkeeping and public file access requirements, telemarketing, technical standards relating to operation of cable systems and television stations, and regulatory fees. The FCC is considering possible changes to regulations in several other areas. We are unable to predict how these regulations might be changed in the future and how any such changes might affect our businesses. In addition, while we believe that we are in substantial compliance with FCC regulations, we are occasionally subject to enforcement actions at the FCC, which can result in our having to pay fines to the agency or being subject to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we had approximately 139,000 full-time and part-time employees. Of these employees, approximately 84,000 and 43,000 were associated with our Cable Communications business and our NBCUniversal businesses, respectively. We also use freelance and temporary employees in the normal course of our business.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32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1A: Risk Factors</w:t>
      </w:r>
    </w:p>
    <w:p>
      <w:pPr>
        <w:spacing w:after="0" w:line="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content to consumers. Technological changes are further intensifying and complicating the competitive landscape and influencing consumer behavior, which is discussed in the risk factor immediately below in “Changes in consumer behavior driven by newer products and services may adversely affect our businesses and challenge existing business models.”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w:t>
      </w:r>
    </w:p>
    <w:p>
      <w:pPr>
        <w:jc w:val="both"/>
        <w:spacing w:after="0" w:line="239" w:lineRule="auto"/>
        <w:rPr>
          <w:sz w:val="20"/>
          <w:szCs w:val="20"/>
          <w:color w:val="auto"/>
        </w:rPr>
      </w:pPr>
      <w:r>
        <w:rPr>
          <w:rFonts w:ascii="Arial" w:cs="Arial" w:eastAsia="Arial" w:hAnsi="Arial"/>
          <w:sz w:val="18"/>
          <w:szCs w:val="18"/>
          <w:color w:val="auto"/>
        </w:rPr>
        <w:t>Competition for the cable services we offer consists primarily of companies that typically offer features, pricing and packaging for services comparable to our cable services, such as:</w:t>
      </w:r>
    </w:p>
    <w:p>
      <w:pPr>
        <w:spacing w:after="0" w:line="114" w:lineRule="exact"/>
        <w:rPr>
          <w:sz w:val="20"/>
          <w:szCs w:val="20"/>
          <w:color w:val="auto"/>
        </w:rPr>
      </w:pPr>
    </w:p>
    <w:p>
      <w:pPr>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DBS providers, which have a national footprint and compete in all our service areas</w:t>
      </w:r>
    </w:p>
    <w:p>
      <w:pPr>
        <w:spacing w:after="0" w:line="117"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phone companies with fiber-based networks, which overlap a significant portion of our service areas and are continuing to expand their fiber-based networks</w:t>
      </w:r>
    </w:p>
    <w:p>
      <w:pPr>
        <w:spacing w:after="0" w:line="114" w:lineRule="exact"/>
        <w:rPr>
          <w:rFonts w:ascii="Arial" w:cs="Arial" w:eastAsia="Arial" w:hAnsi="Arial"/>
          <w:sz w:val="18"/>
          <w:szCs w:val="18"/>
          <w:color w:val="auto"/>
        </w:rPr>
      </w:pPr>
    </w:p>
    <w:p>
      <w:pPr>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providers of traditional cable services in some of our service areas and SMATV systems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Some of our phone company competitors also have their own wireless facilities and may expand their cable service offerings to include bundled wireless offerings, which may have an adverse impact on our competitive position, business and results of operations. In May 2014, AT&amp;T, our largest phone company competitor, announced its intention to acquire DirecTV, the nation’s largest DBS provider; if completed, this transaction will create an even larger competitor for our cable services.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continue to be new entrants, some with significant financial resources, that potentially may compete on a larger scale with our cable services. These newer entrants, some of which charge a nominal or no fee for access to their content, include companies that provide subscription video on demand services over the Internet or the ability to download video programming. Additionally, Google has launched high-speed Internet and video services in a limited number of areas, and some local municipalities are launching their own fiber-based high-speed Internet services. There can be no assurance that these newer entrants will not continue to launch services in more of our services areas.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communications business continues to seek ways to leverage our cable services network, such as by expanding and enhancing our business services to medium-sized businesses and by launching additional services, such as our home security and automation services. There can be no assurance that we can execute on these and other initiatives in a manner sufficient to grow or maintain our cable communications revenue or to compete successfully in the future.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NBCUniversal</w:t>
      </w:r>
    </w:p>
    <w:p>
      <w:pPr>
        <w:jc w:val="both"/>
        <w:spacing w:after="0" w:line="238"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must compete to obtain talent, programming and other resources required in operating these businesses. For example:</w:t>
      </w:r>
    </w:p>
    <w:p>
      <w:pPr>
        <w:spacing w:after="0" w:line="114" w:lineRule="exact"/>
        <w:rPr>
          <w:sz w:val="20"/>
          <w:szCs w:val="20"/>
          <w:color w:val="auto"/>
        </w:rPr>
      </w:pPr>
    </w:p>
    <w:p>
      <w:pPr>
        <w:jc w:val="both"/>
        <w:ind w:left="1020" w:right="1240" w:hanging="215"/>
        <w:spacing w:after="0" w:line="23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cable networks, broadcast television networks and owned local broadcast television stations compete for viewers with other similar networks and stations, as well as with other forms of entertainment and content available in the home, such as video games, DVDs and the Internet</w:t>
      </w:r>
    </w:p>
    <w:p>
      <w:pPr>
        <w:spacing w:after="0" w:line="11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cable networks compete with other cable networks and programming providers for carriage of their programming by multichannel video providers and online digital distributors</w:t>
      </w:r>
    </w:p>
    <w:p>
      <w:pPr>
        <w:spacing w:after="0" w:line="114"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filmed entertainment business competes with other major studios and other producers of entertainment content for sources of financing for the production of its films, for the exhibition of its films in theaters, and for shelf space in retail stores for its DVDs and for distribution by online digital distributors; it also competes for consumers with other film producers and distributors and all other forms of entertainment inside and outside the home</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theme parks business competes with other multi-park entertainment companies and with other recreational and tourism activities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ability to compete effectively depends on our perceived image and reputation among our various constituencies, including our customers, consumers, advertisers, investors and governmental authorities. In addition, our ability to compete may be negatively affected if we do not provide our cable services customers with a satisfactory customer experience. There can be no assurance that we will be able to compete effectively against existing or new competitors or that competition will not have an adverse effect on our businesses. For a more detailed description of the competition facing our businesses, see Item 1, Business and refer to the “Competition” discussion within that section.</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Changes in consumer behavior driven by newer products and services may adversely affect our businesses and challenge existing business models.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Newer products and services, particularly alternative methods for the distribution, sale and viewing of content, have been, and will likely continue to be, developed that further increase the number of competitors that all our businesses face and challenge existing business models. These products and services are also driving changes in consumer behavior as consumers seek more control over when, where and how they consume content and access communications services.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our cable communications business is attempting to adapt to changing consumer behaviors, for example, by deploying our X1 platform and Cloud DVR technology, products and services have emerged that may compete with our video services, including services and devices that offer subscription video on demand services or the ability to download movies, television shows and other video programming, any of which can be viewed on television sets, computers, smartphones and tablets. Some of these services charge a nominal or no fee for access to their content, which could adversely affect demand for our video services, including for expanded digital video packages, premium networks, and our DVR and On Demand services. Additionally, one traditional provider of cable services has begun, and other companies have indicated they also may begin, to offer smaller packages of programming networks directly to customers over the Internet at price points lower than our traditional video service package offerings, which could adversely affect demand for our video services or cause us to offer more customized programming packages that may be less profitable.</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Newer services in wireless Internet technology, such as 4G wireless broadband services and Wi-Fi networks, and devices such as wireless data cards, tablets and smartphones, and mobile wireless routers that connect to such devices, may compete with our high-speed Internet services. Our voice services continue to face increased competition from wireless and Internet-based phone services as more consumers choose to replace their traditional wireline phone service with these phone services.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Newer products and services are also driving changes in consumer behavior as consumers seek more control over when, where and how they consume content and access communications services. For example, the increased availability of DVRs, video on demand services and cable, broadcast and other video programming on the Internet including high-quality original video programming that may be viewed only through subscription video on demand services, as well as increased access to media through wireless devices, have the potential to reduce the viewing of content through traditional linear television distribution outlets. Some content providers are also beginning to offer programming directly to consumers over the Internet for a nominal fee. Reduced viewing of content through traditional distribution outlets could adversely affect demand for our cable communications’ video services, the price and amount of advertising that advertisers are willing to purchase from us, the amount multichannel video providers are willing to pay to NBCUniversal for content, and the levels of DVD and theatrical sales. These newer products and services have contributed to an increased number of entertainment choices available to consumers, which have caused and may continue to cause audience ratings pressure for our content and intensify the challenges posed by audience fragmentation.</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any of these ongoing and future developments or our failure to effectively anticipate or adapt to emerging competitors or changes in consumer behavior, including among younger consumers, could have an adverse effect on our competitive position, business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advertisers’ expenditures or changes in advertising markets could negatively impact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communications, cable networks and broadcast television businesses compete for the sale of advertising time with other television networks and stations, as well as with all other advertising platforms, such as radio, print and, increasingly, online media. We derive substantial revenue from the sale of advertising, and a decline in expenditures by advertisers, including through traditional linear television distribution models,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In addition, advertisers’ willingness to purchase advertising from us may be adversely affected by lower audience ratings, which some of our cable networks have experienced and may continue to experience. Advertising sales and rates also are dependent on audience measurement methodologies and could be negatively affected if methodologies do not accurately reflect actual viewership levels. For example, newer methods of viewing content (such as delayed viewing on DVRs or viewing content online) might not be counted in audience measurements or may generate less, if any, revenue than traditional distribution methods, which could have an adverse effect on our advertising revenue. Reductions in advertisers’ expenditures could adversely affect our revenue and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our competitors’ use of certain types of technology and equipment may provide them with a competitive advantage. For example, some companies and municipalities are building advanced fiber-based networks that provide very fast Internet access speeds, and wireless Internet technologies continue to evolve rapidly to allow for greater speed and reliability. We expect other advances in communications technology to occur in the future. If we choose technology or equipment that is not as effective or attractive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consumers as that employed by our competitors, if we fail to employ technologies desired by consumers before our competitors do so, or if we fail to execute effectively on our technology initiatives, our business and results of operations could be adversely affected. Moreover, we may incur additional costs as we execute our technology initiatives, such as the deployment of our X1 set-top boxes, wireless gateways and Cloud DVR technology, and there can be no assurance that we can execute on these and other initiatives in a manner sufficient to grow or maintain our revenue or to compete successfully in the future. We also may incur increased costs if changes in the products and services that our competitors offer require that we offer certain of our existing services or enhancements at a lower or no cost to our customers or that we make additional research and development expenditures, which could have an adverse effect on our businesses.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Federal, state and local governments extensively regulate the video services industry and may increase the regulation of the Internet service and VoIP service industries. We expect that legislative enactments, court actions and regulatory proceedings will continue to clarify, and in some cases may adversely affect, the rights and obligations of cable operators and other entities under the Communications Act and other laws. Our broadcast television business is also highly regulated by federal laws and regulations. Our cable networks, filmed entertainment and theme parks businesses are also subject to various other laws and regulations at the international, federal, state and local levels, including laws and regulations relating to environmental protection, which have become more stringent over time, and the safety of consumer products and theme park operations. In addition, we are subject to the NBCUniversal Order and the NBCUniversal Consent Decree, which have imposed numerous conditions on our businesses relating to the treatment of competitors and other matters. We are also seeking regulatory approvals from federal, state and local authorities relating to our acquisition of cable systems from Time Warner Cable and Charter and cannot predict what conditions might be applied to any such approvals or how such conditions might affect our businesses. Failure to comply with the laws and regulations applicable to our businesses could result in administrative enforcement actions, fines, and civil and criminal liability. For a more extensive discussion of the significant risks associated with the regulation of our businesses, see Item 1, Business and refer to the “Legislation and Regulation” discussion within that section.</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Changes to existing statutes, rules, regulations, or interpretations thereof, or adoption of new ones, could have an adverse effect on our businesses.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For example, as more fully discussed in Item 1, Business – “Legislation and Regulation,” in February 2015, the FCC adopted new open Internet regulations that reclassify broadband Internet service as a “telecommunications service,” making it subject to common carriage regulations under Title II of the Communications Act, which could have a material adverse effect on our business and results of operations. In addition, in February 2015, the FCC adopted an order that preempted certain state laws that had restricted municipalities from operating municipally owned broadband networks. The FCC is also considering the appropriate regulatory framework for VoIP service, including whether that service should be regulated under Title II. Any changes to the regulatory framework applicable to any of our services or businesses could have a negative impact on our businesses and results of operations.</w:t>
      </w:r>
    </w:p>
    <w:p>
      <w:pPr>
        <w:spacing w:after="0" w:line="30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Programming expenses for our video services are increasing, which could adversely affect our Cable Communications segment’s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programming expenses for our video services to continue to be our Cable Communications segment’s largest single expense item and to increase in the foreseeable future. The multichannel video provider industry has experienced continued increases in the cost of programming, especially sports programming, which we expect will continue for the foreseeable future. Our programming expenses may also increase as we add programming to our video services or distribute existing programming to more of our customers or through additional delivery platforms, such as On Demand or mobile apps. Additionally, in the past few years, we have begun paying certain local broadcast television stations in exchange for their required consent for the retransmission of broadcast network programming to our video services customers; we expect to continue to be subject to increasing demands for payment and other concessions from local broadcast television stations. These market factors may be exacerbated by the increasing trend of consolidation in the media industry, which may further increase our programming expenses. If we are unable to raise our customers’ rates or offset programming cost increases through the sale of additional services, the increasing cost of programming could have an adverse impact on our Cable Communications segment’s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businesses and results of operations could be adversely affected.</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 and broadcast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networks and broadcast television networks, in our films and for theme park attractions, before learning the extent to which it would earn consumer acceptance.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obtain a significant portion of our content from third parties, such as movie studios, television production companies, sports organizations and other suppliers. Competition for popular content, particularly for sports programming, is intense, and we may have to increase the price we are willing to pay or be outbid by our competitors for popular content. Entering into or renewing contracts for such programming rights or acquiring additional rights may result in significantly increased costs. Moreover, particularly with respect to long-term contracts for sports programming rights, our results of operations and cash flows over the term of a contract depend on a number of factors, including the strength of the advertising market, our audience size, and the ability to secure distribution from and impose surcharges or obtain carriage on, multichannel video providers for the content and the timing and amount of our rights payments. There can be no assurance that revenue from these contracts will exceed our cost for the rights, as well as the 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its businesses.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cable networks depend on their ability to secure and maintain distribution agreements with multichannel video providers. Our broadcast television networks depend on their ability to secure and maintain network</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broadcast television stations. All of our NBC and Telemundo owned local broadcast television stations have elected retransmission consent through December 31, 2017. Our ability to continue to receive compensation from distributors as part of our retransmission consent negotiations may be adversely impacted by online entities that stream our broadcast television content online without our consent and without paying any compensation to us. Increasingly, our cable networks, broadcast television and filmed entertainment businesses also have entered into agreements to license their prior season and library content on other distribution platforms, including subscription video on demand services. There can be no assurance that any of these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cable networks, broadcast television and filmed entertainment businesses.</w:t>
      </w:r>
    </w:p>
    <w:p>
      <w:pPr>
        <w:spacing w:after="0" w:line="3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are critical to our business activities. Network and information systems-related events, including those caused by us or by third parties,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excessive call volume to call centers or damage to our properties, equipment and data. These events also could result in large expenditures to repair or replace the damaged properties, networks or information systems or to protect them from similar events in the future.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may obtain certain confidential, proprietary and personal information about our customers, personnel and vendors, and may provide this information to third parties, in connection with our business. While we obtain assurances that these third parties will protect this information, there is a risk that this information may be compromised. Any security breaches, such as misappropriation, misuse, leakage, falsification or accidental release or loss of information maintained in our information technology systems, including customer, personnel and vendor data, could damage our reputation and require us to expend significant capital and other resources to remedy any such security breach, and could cause regulators to impose fines or other remedies for failure to comply with relevant customer privacy rules.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risk of these systems-related events and security breaches occurring continues to intensify in many lines of business, and our lines of business may be at a disproportionately heightened risk of these events occurring, due to the nature of our businesses and the fact that we maintain certain information necessary to conduct our business in digital form stored on cloud servers. In the ordinary course of our business, there are frequent attempts to cause such systems-related events and security breaches, and we have experienced a few minor systems-related events that, to date, have not resulted in any significant degradation or disruption to our network or information systems or our services or operations. While we develop and maintain systems seeking to prevent systems-related events and security breaches from occurring, the development and main-</w:t>
      </w:r>
    </w:p>
    <w:p>
      <w:pPr>
        <w:spacing w:after="0" w:line="32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tenance of these systems is costly and requires ongoing monitoring and updating as technologies change and efforts to overcome security measures become more sophisticated. Despite any efforts to prevent these events and security breaches, there can be no assurance that they will not occur in the future or will not have an adverse effect on our businesses. Moreover, the amount and scope of insurance we maintain against losses resulting from any such events or security breaches may not be sufficient to cover our losses or otherwise adequately compensate us for any disruptions to our business that may result, and the occurrence of any such events or security breaches could have an adverse effect on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if our demand exceeds their capacity or if they are otherwise unable to meet our specifications or provide the equipment or services we need in a timely manner or at reasonable prices, our ability to provide some services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substantial portion of our revenue comes from customers whose spending patterns may be affected by prevailing economic conditions. Weak economic conditions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subscription video on demand services, or substitute services for our high-speed Internet and phone services, such as mobile phones, smartphones and Wi-Fi networks. Weak economic conditions also may have a negative impact on our advertising revenue, the performance of our films and home entertainment releases, and attendance and spending in our theme parks business. Weak economic conditions and turmoil in the global financial markets may also impair the ability of third parties to satisfy their obligations to us, and any disruption in the global financial markets may affect our ability to obtain financing on acceptable terms.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intellectual property constitutes a significant part of the value of NBCUniversal’s businesses, and its success is highly dependent on protecting intellectual property rights in the content it creates or acquires against third-party misappropriation, reproduction or infringement. The unauthorized reproduction, dis-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For example, NBCUniversal has brought a suit against a multichannel video provider to challenge the commercial-skipping functionality in its DVR. Additionally, legislation has been proposed in the U.S. Congress that seems intended to legitimize the unauthorized online streaming of local broadcast content. We cannot predict whether such legislation will be enacted or how any such legislation would ultimately affect our businesses.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and the value of our intellectual property may be negatively impacted and our costs of enforcing our rights may increase. See Item 1, Business and refer to the “Legislation and Regulation — Other Areas of Regulation — Intellectual Property” discussion for additional information.</w:t>
      </w:r>
    </w:p>
    <w:p>
      <w:pPr>
        <w:spacing w:after="0" w:line="3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make acquisitions and investments and enter into other strategic transactions, including our planned transactions with Time Warner Cable and Charter. In connection with such acquisitions and strategic transactions, we may incur unanticipated expenses, fail to realize anticipated benefits, have difficulty incorporating the acquired businesses, disrupt relationships with current and new employees, customers and vendors, incur significant debt, or have to delay or not proceed with announced transactions such as the Time Warner Cable or Charter transactions. Additionally, regulatory agencies, such as the FCC or DOJ, may impose additional restrictions on the operation of our business as a result of our seeking regulatory approvals for any significant acquisitions and strategic transactions. The occurrence of any of these events could have an adverse effect on our businesses.</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 xml:space="preserve">Labor disputes, whether involving employees or sports organizations, may disrupt our operations and adversely affect our businesses. </w:t>
      </w:r>
      <w:r>
        <w:rPr>
          <w:rFonts w:ascii="Arial" w:cs="Arial" w:eastAsia="Arial" w:hAnsi="Arial"/>
          <w:sz w:val="16"/>
          <w:szCs w:val="16"/>
          <w:color w:val="auto"/>
        </w:rPr>
        <w:t>Many of NBCUniversal’s employees, including writers, directors, actors, technical and production personnel and others, as well as some of our on-air and creative talent and cable communications’ employees, are covered by collective bargaining agreements or works councils. Most of NBCUniversal’s collective bargaining agreements are industry-wide agreements, and we may lack practical control over the negotiations and terms of the agreements. If we are unable to reach agreement with a labor union before the expiration of a collective bargaining agreement, our employees who were covered by that agreement may have a right to strike or take other actions that could adversely affect us, which could disrupt our operations and reduce our revenue, and the resolution of any disputes may increase our costs. There can be no assurance that we will renew our collective bargaining agreements as they expire or that we can renew them on favorable terms or without any work stoppages.</w:t>
      </w:r>
    </w:p>
    <w:p>
      <w:pPr>
        <w:spacing w:after="0" w:line="30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businesses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through NBCUniversal, operate our businesses worldwide. There are risks inherent in doing business internationally, including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 the Foreign Corrupt Practices Act that impose stringent requirements on how we conduct our foreign operations. If any of these events occur, our businesses may be adversely affected.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r>
        <w:rPr>
          <w:rFonts w:ascii="Arial" w:cs="Arial" w:eastAsia="Arial" w:hAnsi="Arial"/>
          <w:sz w:val="16"/>
          <w:szCs w:val="16"/>
          <w:color w:val="auto"/>
        </w:rPr>
        <w:t xml:space="preserve">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2: Properties</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2014. Our corporate headquarters and Cable Communications segment headquarters are located in Philadelphia, Pennsylvania at One Comcast Center. We own an 80% interest in the entity whose primary asset is One Comcast Center. We also lease locations for numerous business offices, warehouses and properties housing divisional information technology operations throughout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physical assets consist of operating plant and equipment, including signal receiving, encoding and decoding devices, headends and distribution networks, and equipment at or near our customers’ homes. Our distribution network consists primarily of headends, content distribution servers,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 equipment consists primarily of set-top boxes and cable modems. The physical components of cable systems require periodic maintenance and replacement.</w:t>
      </w:r>
    </w:p>
    <w:p>
      <w:pPr>
        <w:spacing w:after="0" w:line="15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regional data centers with equipment that is used to provide services (such as email, news and web services) to our high-speed Internet and voice customers. In addition, we maintain two network operations centers with equipment necessary to monitor and manage the status of our high-speed Internet network.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own or lease buildings throughout the country that contain customer service call centers,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fiber-optics, broadcast studios, post-production services and interactive television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NBCUniversal’s corporate headquarters are located in New York City at 30 Rockefeller Plaza. NBCUniversal owns the space it occupies at 30 Rockefeller Plaza.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related facilities in Orlando, Florida and Hollywood, California.</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Properties as of December 31, 2014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37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Principal Use</w:t>
            </w:r>
          </w:p>
        </w:tc>
        <w:tc>
          <w:tcPr>
            <w:tcW w:w="32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Principal Segment in Which Used</w:t>
            </w:r>
          </w:p>
        </w:tc>
        <w:tc>
          <w:tcPr>
            <w:tcW w:w="15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w w:val="94"/>
              </w:rPr>
              <w:t>Owned or Leased</w:t>
            </w:r>
          </w:p>
        </w:tc>
      </w:tr>
      <w:tr>
        <w:trPr>
          <w:trHeight w:val="294"/>
        </w:trPr>
        <w:tc>
          <w:tcPr>
            <w:tcW w:w="2940" w:type="dxa"/>
            <w:vAlign w:val="bottom"/>
          </w:tcPr>
          <w:p>
            <w:pPr>
              <w:spacing w:after="0"/>
              <w:rPr>
                <w:sz w:val="20"/>
                <w:szCs w:val="20"/>
                <w:color w:val="auto"/>
              </w:rPr>
            </w:pPr>
            <w:r>
              <w:rPr>
                <w:rFonts w:ascii="Arial" w:cs="Arial" w:eastAsia="Arial" w:hAnsi="Arial"/>
                <w:sz w:val="18"/>
                <w:szCs w:val="18"/>
                <w:color w:val="auto"/>
              </w:rPr>
              <w:t>30 Rockefeller Plaza</w:t>
            </w:r>
          </w:p>
        </w:tc>
        <w:tc>
          <w:tcPr>
            <w:tcW w:w="3760" w:type="dxa"/>
            <w:vAlign w:val="bottom"/>
          </w:tcPr>
          <w:p>
            <w:pPr>
              <w:ind w:left="620"/>
              <w:spacing w:after="0"/>
              <w:rPr>
                <w:sz w:val="20"/>
                <w:szCs w:val="20"/>
                <w:color w:val="auto"/>
              </w:rPr>
            </w:pPr>
            <w:r>
              <w:rPr>
                <w:rFonts w:ascii="Arial" w:cs="Arial" w:eastAsia="Arial" w:hAnsi="Arial"/>
                <w:sz w:val="18"/>
                <w:szCs w:val="18"/>
                <w:color w:val="auto"/>
              </w:rPr>
              <w:t>NBCUniversal corporate</w:t>
            </w:r>
          </w:p>
        </w:tc>
        <w:tc>
          <w:tcPr>
            <w:tcW w:w="3200" w:type="dxa"/>
            <w:vAlign w:val="bottom"/>
          </w:tcPr>
          <w:p>
            <w:pPr>
              <w:ind w:left="180"/>
              <w:spacing w:after="0"/>
              <w:rPr>
                <w:sz w:val="20"/>
                <w:szCs w:val="20"/>
                <w:color w:val="auto"/>
              </w:rPr>
            </w:pPr>
            <w:r>
              <w:rPr>
                <w:rFonts w:ascii="Arial" w:cs="Arial" w:eastAsia="Arial" w:hAnsi="Arial"/>
                <w:sz w:val="18"/>
                <w:szCs w:val="18"/>
                <w:color w:val="auto"/>
              </w:rPr>
              <w:t>Headquarters and Other, Cable</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760" w:type="dxa"/>
            <w:vAlign w:val="bottom"/>
          </w:tcPr>
          <w:p>
            <w:pPr>
              <w:ind w:left="620"/>
              <w:spacing w:after="0"/>
              <w:rPr>
                <w:sz w:val="20"/>
                <w:szCs w:val="20"/>
                <w:color w:val="auto"/>
              </w:rPr>
            </w:pPr>
            <w:r>
              <w:rPr>
                <w:rFonts w:ascii="Arial" w:cs="Arial" w:eastAsia="Arial" w:hAnsi="Arial"/>
                <w:sz w:val="18"/>
                <w:szCs w:val="18"/>
                <w:color w:val="auto"/>
              </w:rPr>
              <w:t>headquarters, offices and studios</w:t>
            </w:r>
          </w:p>
        </w:tc>
        <w:tc>
          <w:tcPr>
            <w:tcW w:w="3200" w:type="dxa"/>
            <w:vAlign w:val="bottom"/>
          </w:tcPr>
          <w:p>
            <w:pPr>
              <w:ind w:left="180"/>
              <w:spacing w:after="0"/>
              <w:rPr>
                <w:sz w:val="20"/>
                <w:szCs w:val="20"/>
                <w:color w:val="auto"/>
              </w:rPr>
            </w:pPr>
            <w:r>
              <w:rPr>
                <w:rFonts w:ascii="Arial" w:cs="Arial" w:eastAsia="Arial" w:hAnsi="Arial"/>
                <w:sz w:val="18"/>
                <w:szCs w:val="18"/>
                <w:color w:val="auto"/>
              </w:rPr>
              <w:t>Networks and Broadcast Television</w:t>
            </w: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 Rockefeller Plaza</w:t>
            </w:r>
          </w:p>
        </w:tc>
        <w:tc>
          <w:tcPr>
            <w:tcW w:w="3760" w:type="dxa"/>
            <w:vAlign w:val="bottom"/>
          </w:tcPr>
          <w:p>
            <w:pPr>
              <w:ind w:left="62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w:t>
            </w:r>
          </w:p>
        </w:tc>
        <w:tc>
          <w:tcPr>
            <w:tcW w:w="320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760" w:type="dxa"/>
            <w:vAlign w:val="bottom"/>
          </w:tcPr>
          <w:p>
            <w:pPr>
              <w:ind w:left="620"/>
              <w:spacing w:after="0"/>
              <w:rPr>
                <w:sz w:val="20"/>
                <w:szCs w:val="20"/>
                <w:color w:val="auto"/>
              </w:rPr>
            </w:pPr>
            <w:r>
              <w:rPr>
                <w:rFonts w:ascii="Arial" w:cs="Arial" w:eastAsia="Arial" w:hAnsi="Arial"/>
                <w:sz w:val="18"/>
                <w:szCs w:val="18"/>
                <w:color w:val="auto"/>
              </w:rPr>
              <w:t>production facilities and offices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Universal City</w:t>
            </w:r>
          </w:p>
        </w:tc>
        <w:tc>
          <w:tcPr>
            <w:tcW w:w="3760" w:type="dxa"/>
            <w:vAlign w:val="bottom"/>
          </w:tcPr>
          <w:p>
            <w:pPr>
              <w:ind w:left="620"/>
              <w:spacing w:after="0"/>
              <w:rPr>
                <w:sz w:val="20"/>
                <w:szCs w:val="20"/>
                <w:color w:val="auto"/>
              </w:rPr>
            </w:pPr>
            <w:r>
              <w:rPr>
                <w:rFonts w:ascii="Arial" w:cs="Arial" w:eastAsia="Arial" w:hAnsi="Arial"/>
                <w:sz w:val="18"/>
                <w:szCs w:val="18"/>
                <w:color w:val="auto"/>
              </w:rPr>
              <w:t>Offices, studios, theme park and retail</w:t>
            </w:r>
          </w:p>
        </w:tc>
        <w:tc>
          <w:tcPr>
            <w:tcW w:w="3200" w:type="dxa"/>
            <w:vAlign w:val="bottom"/>
          </w:tcPr>
          <w:p>
            <w:pPr>
              <w:ind w:left="180"/>
              <w:spacing w:after="0"/>
              <w:rPr>
                <w:sz w:val="20"/>
                <w:szCs w:val="20"/>
                <w:color w:val="auto"/>
              </w:rPr>
            </w:pPr>
            <w:r>
              <w:rPr>
                <w:rFonts w:ascii="Arial" w:cs="Arial" w:eastAsia="Arial" w:hAnsi="Arial"/>
                <w:sz w:val="18"/>
                <w:szCs w:val="18"/>
                <w:color w:val="auto"/>
              </w:rPr>
              <w:t>All</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Universal City, CA</w:t>
            </w:r>
          </w:p>
        </w:tc>
        <w:tc>
          <w:tcPr>
            <w:tcW w:w="3760" w:type="dxa"/>
            <w:vAlign w:val="bottom"/>
          </w:tcPr>
          <w:p>
            <w:pPr>
              <w:ind w:left="620"/>
              <w:spacing w:after="0"/>
              <w:rPr>
                <w:sz w:val="20"/>
                <w:szCs w:val="20"/>
                <w:color w:val="auto"/>
              </w:rPr>
            </w:pPr>
            <w:r>
              <w:rPr>
                <w:rFonts w:ascii="Arial" w:cs="Arial" w:eastAsia="Arial" w:hAnsi="Arial"/>
                <w:sz w:val="18"/>
                <w:szCs w:val="18"/>
                <w:color w:val="auto"/>
              </w:rPr>
              <w:t>operations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1000 Universal Studios Plaza</w:t>
            </w:r>
          </w:p>
        </w:tc>
        <w:tc>
          <w:tcPr>
            <w:tcW w:w="3760" w:type="dxa"/>
            <w:vAlign w:val="bottom"/>
          </w:tcPr>
          <w:p>
            <w:pPr>
              <w:ind w:left="620"/>
              <w:spacing w:after="0"/>
              <w:rPr>
                <w:sz w:val="20"/>
                <w:szCs w:val="20"/>
                <w:color w:val="auto"/>
              </w:rPr>
            </w:pPr>
            <w:r>
              <w:rPr>
                <w:rFonts w:ascii="Arial" w:cs="Arial" w:eastAsia="Arial" w:hAnsi="Arial"/>
                <w:sz w:val="18"/>
                <w:szCs w:val="18"/>
                <w:color w:val="auto"/>
              </w:rPr>
              <w:t>Theme parks, lodging, production</w:t>
            </w:r>
          </w:p>
        </w:tc>
        <w:tc>
          <w:tcPr>
            <w:tcW w:w="320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Orlando, FL</w:t>
            </w:r>
          </w:p>
        </w:tc>
        <w:tc>
          <w:tcPr>
            <w:tcW w:w="3760" w:type="dxa"/>
            <w:vAlign w:val="bottom"/>
          </w:tcPr>
          <w:p>
            <w:pPr>
              <w:ind w:left="620"/>
              <w:spacing w:after="0" w:line="202" w:lineRule="exact"/>
              <w:rPr>
                <w:sz w:val="20"/>
                <w:szCs w:val="20"/>
                <w:color w:val="auto"/>
              </w:rPr>
            </w:pPr>
            <w:r>
              <w:rPr>
                <w:rFonts w:ascii="Arial" w:cs="Arial" w:eastAsia="Arial" w:hAnsi="Arial"/>
                <w:sz w:val="18"/>
                <w:szCs w:val="18"/>
                <w:color w:val="auto"/>
              </w:rPr>
              <w:t>facilities, parking structures and</w:t>
            </w:r>
          </w:p>
        </w:tc>
        <w:tc>
          <w:tcPr>
            <w:tcW w:w="3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1"/>
        </w:trPr>
        <w:tc>
          <w:tcPr>
            <w:tcW w:w="2940" w:type="dxa"/>
            <w:vAlign w:val="bottom"/>
          </w:tcPr>
          <w:p>
            <w:pPr>
              <w:spacing w:after="0"/>
              <w:rPr>
                <w:sz w:val="18"/>
                <w:szCs w:val="18"/>
                <w:color w:val="auto"/>
              </w:rPr>
            </w:pPr>
          </w:p>
        </w:tc>
        <w:tc>
          <w:tcPr>
            <w:tcW w:w="3760" w:type="dxa"/>
            <w:vAlign w:val="bottom"/>
          </w:tcPr>
          <w:p>
            <w:pPr>
              <w:ind w:left="620"/>
              <w:spacing w:after="0"/>
              <w:rPr>
                <w:sz w:val="20"/>
                <w:szCs w:val="20"/>
                <w:color w:val="auto"/>
              </w:rPr>
            </w:pPr>
            <w:r>
              <w:rPr>
                <w:rFonts w:ascii="Arial" w:cs="Arial" w:eastAsia="Arial" w:hAnsi="Arial"/>
                <w:sz w:val="18"/>
                <w:szCs w:val="18"/>
                <w:color w:val="auto"/>
              </w:rPr>
              <w:t>administrative buildings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18"/>
                <w:szCs w:val="18"/>
                <w:color w:val="auto"/>
              </w:rPr>
              <w:t>2290 W 8</w:t>
            </w:r>
            <w:r>
              <w:rPr>
                <w:rFonts w:ascii="Arial" w:cs="Arial" w:eastAsia="Arial" w:hAnsi="Arial"/>
                <w:sz w:val="11"/>
                <w:szCs w:val="11"/>
                <w:color w:val="auto"/>
              </w:rPr>
              <w:t>th</w:t>
            </w:r>
            <w:r>
              <w:rPr>
                <w:rFonts w:ascii="Arial" w:cs="Arial" w:eastAsia="Arial" w:hAnsi="Arial"/>
                <w:sz w:val="18"/>
                <w:szCs w:val="18"/>
                <w:color w:val="auto"/>
              </w:rPr>
              <w:t xml:space="preserve"> Ave.</w:t>
            </w:r>
          </w:p>
        </w:tc>
        <w:tc>
          <w:tcPr>
            <w:tcW w:w="3760" w:type="dxa"/>
            <w:vAlign w:val="bottom"/>
          </w:tcPr>
          <w:p>
            <w:pPr>
              <w:ind w:left="620"/>
              <w:spacing w:after="0"/>
              <w:rPr>
                <w:sz w:val="20"/>
                <w:szCs w:val="20"/>
                <w:color w:val="auto"/>
              </w:rPr>
            </w:pPr>
            <w:r>
              <w:rPr>
                <w:rFonts w:ascii="Arial" w:cs="Arial" w:eastAsia="Arial" w:hAnsi="Arial"/>
                <w:sz w:val="18"/>
                <w:szCs w:val="18"/>
                <w:color w:val="auto"/>
              </w:rPr>
              <w:t>Telemundo headquarters and</w:t>
            </w:r>
          </w:p>
        </w:tc>
        <w:tc>
          <w:tcPr>
            <w:tcW w:w="3200" w:type="dxa"/>
            <w:vAlign w:val="bottom"/>
          </w:tcPr>
          <w:p>
            <w:pPr>
              <w:ind w:left="180"/>
              <w:spacing w:after="0"/>
              <w:rPr>
                <w:sz w:val="20"/>
                <w:szCs w:val="20"/>
                <w:color w:val="auto"/>
              </w:rPr>
            </w:pPr>
            <w:r>
              <w:rPr>
                <w:rFonts w:ascii="Arial" w:cs="Arial" w:eastAsia="Arial" w:hAnsi="Arial"/>
                <w:sz w:val="18"/>
                <w:szCs w:val="18"/>
                <w:color w:val="auto"/>
              </w:rPr>
              <w:t>Headquarters and Other and</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37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production facilities</w:t>
            </w:r>
          </w:p>
        </w:tc>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Borders>
              <w:bottom w:val="single" w:sz="8" w:color="auto"/>
            </w:tcBorders>
          </w:tcPr>
          <w:p>
            <w:pPr>
              <w:spacing w:after="0"/>
              <w:rPr>
                <w:sz w:val="18"/>
                <w:szCs w:val="1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Wells Fargo Center, a large, multipurpose arena in Philadelphia, Pennsylvania that we own, was the principal physical operating asset of our other businesses as of December 31, 2014.</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3: Legal Proceedings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Refer to Note 17 to Comcast Corporation’s consolidated financial statements included in this Annual Report on Form 10-K for a discussion of recent developments related to our legal proceedings.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matters described in Note 17, 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We expect that these entities will seek injunctive and monetary relief. We are cooperating with the investigation. While we are unable to predict the outcome of this investigation, we do not believe that the outcome will have a material effect on our results of operations, financial condition or cash flows.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Media, LLC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0C6DFF"/>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500"/>
        <w:spacing w:after="0" w:line="260" w:lineRule="auto"/>
        <w:rPr>
          <w:sz w:val="20"/>
          <w:szCs w:val="20"/>
          <w:color w:val="auto"/>
        </w:rPr>
      </w:pPr>
      <w:r>
        <w:rPr>
          <w:rFonts w:ascii="Arial" w:cs="Arial" w:eastAsia="Arial" w:hAnsi="Arial"/>
          <w:sz w:val="24"/>
          <w:szCs w:val="24"/>
          <w:color w:val="0C6DFF"/>
        </w:rPr>
        <w:t>Item 5: Market for Registrant’s Common Equity, Related Stockholder Matters and Issuer Purchases of Equity Securities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Comcast’s Class A common stock is listed on the NASDAQ Global Select Market under the symbol CMCSA and its Class A Special common stock is listed on the NASDAQ Global Select Market under the symbol CMCSK. There is no established public trading market for Comcast’s Class B common stock. The Class B common stock can be converted, on a share for share basis, into Class A or Class A Special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C6DFF"/>
        </w:rPr>
        <w:t>Dividends Declared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tcPr>
          <w:p>
            <w:pPr>
              <w:spacing w:after="0"/>
              <w:rPr>
                <w:sz w:val="14"/>
                <w:szCs w:val="14"/>
                <w:color w:val="auto"/>
              </w:rPr>
            </w:pPr>
          </w:p>
        </w:tc>
        <w:tc>
          <w:tcPr>
            <w:tcW w:w="2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2013</w:t>
            </w:r>
          </w:p>
        </w:tc>
        <w:tc>
          <w:tcPr>
            <w:tcW w:w="860" w:type="dxa"/>
            <w:vAlign w:val="bottom"/>
            <w:tcBorders>
              <w:top w:val="single" w:sz="8" w:color="auto"/>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2060" w:type="dxa"/>
            <w:vAlign w:val="bottom"/>
            <w:tcBorders>
              <w:bottom w:val="single" w:sz="8" w:color="auto"/>
            </w:tcBorders>
            <w:gridSpan w:val="2"/>
          </w:tcPr>
          <w:p>
            <w:pPr>
              <w:ind w:left="700"/>
              <w:spacing w:after="0" w:line="142" w:lineRule="exact"/>
              <w:rPr>
                <w:sz w:val="20"/>
                <w:szCs w:val="20"/>
                <w:color w:val="auto"/>
              </w:rPr>
            </w:pPr>
            <w:r>
              <w:rPr>
                <w:rFonts w:ascii="Arial" w:cs="Arial" w:eastAsia="Arial" w:hAnsi="Arial"/>
                <w:sz w:val="14"/>
                <w:szCs w:val="14"/>
                <w:b w:val="1"/>
                <w:bCs w:val="1"/>
                <w:color w:val="auto"/>
              </w:rPr>
              <w:t>Dividend Per Share</w:t>
            </w:r>
          </w:p>
        </w:tc>
        <w:tc>
          <w:tcPr>
            <w:tcW w:w="2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Month Declared:</w:t>
            </w:r>
          </w:p>
        </w:tc>
        <w:tc>
          <w:tcPr>
            <w:tcW w:w="3080" w:type="dxa"/>
            <w:vAlign w:val="bottom"/>
            <w:tcBorders>
              <w:bottom w:val="single" w:sz="8" w:color="auto"/>
            </w:tcBorders>
            <w:gridSpan w:val="2"/>
          </w:tcPr>
          <w:p>
            <w:pPr>
              <w:ind w:left="1800"/>
              <w:spacing w:after="0" w:line="142" w:lineRule="exact"/>
              <w:rPr>
                <w:sz w:val="20"/>
                <w:szCs w:val="20"/>
                <w:color w:val="auto"/>
              </w:rPr>
            </w:pPr>
            <w:r>
              <w:rPr>
                <w:rFonts w:ascii="Arial" w:cs="Arial" w:eastAsia="Arial" w:hAnsi="Arial"/>
                <w:sz w:val="14"/>
                <w:szCs w:val="14"/>
                <w:color w:val="auto"/>
              </w:rPr>
              <w:t>Dividend Per Share</w:t>
            </w:r>
          </w:p>
        </w:tc>
      </w:tr>
      <w:tr>
        <w:trPr>
          <w:trHeight w:val="177"/>
        </w:trPr>
        <w:tc>
          <w:tcPr>
            <w:tcW w:w="3680" w:type="dxa"/>
            <w:vAlign w:val="bottom"/>
            <w:gridSpan w:val="2"/>
          </w:tcPr>
          <w:p>
            <w:pPr>
              <w:spacing w:after="0" w:line="177" w:lineRule="exact"/>
              <w:rPr>
                <w:sz w:val="20"/>
                <w:szCs w:val="20"/>
                <w:color w:val="auto"/>
              </w:rPr>
            </w:pPr>
            <w:r>
              <w:rPr>
                <w:rFonts w:ascii="Arial" w:cs="Arial" w:eastAsia="Arial" w:hAnsi="Arial"/>
                <w:sz w:val="18"/>
                <w:szCs w:val="18"/>
                <w:color w:val="auto"/>
              </w:rPr>
              <w:t>January</w:t>
            </w:r>
          </w:p>
        </w:tc>
        <w:tc>
          <w:tcPr>
            <w:tcW w:w="1160" w:type="dxa"/>
            <w:vAlign w:val="bottom"/>
          </w:tcPr>
          <w:p>
            <w:pPr>
              <w:ind w:left="700"/>
              <w:spacing w:after="0" w:line="177"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0.225</w:t>
            </w:r>
          </w:p>
        </w:tc>
        <w:tc>
          <w:tcPr>
            <w:tcW w:w="2600" w:type="dxa"/>
            <w:vAlign w:val="bottom"/>
          </w:tcPr>
          <w:p>
            <w:pPr>
              <w:ind w:left="100"/>
              <w:spacing w:after="0" w:line="177" w:lineRule="exact"/>
              <w:rPr>
                <w:sz w:val="20"/>
                <w:szCs w:val="20"/>
                <w:color w:val="auto"/>
              </w:rPr>
            </w:pPr>
            <w:r>
              <w:rPr>
                <w:rFonts w:ascii="Arial" w:cs="Arial" w:eastAsia="Arial" w:hAnsi="Arial"/>
                <w:sz w:val="18"/>
                <w:szCs w:val="18"/>
                <w:color w:val="auto"/>
              </w:rPr>
              <w:t>February</w:t>
            </w:r>
          </w:p>
        </w:tc>
        <w:tc>
          <w:tcPr>
            <w:tcW w:w="2220" w:type="dxa"/>
            <w:vAlign w:val="bottom"/>
          </w:tcPr>
          <w:p>
            <w:pPr>
              <w:ind w:left="1800"/>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177" w:lineRule="exact"/>
              <w:rPr>
                <w:sz w:val="20"/>
                <w:szCs w:val="20"/>
                <w:color w:val="auto"/>
              </w:rPr>
            </w:pPr>
            <w:r>
              <w:rPr>
                <w:rFonts w:ascii="Arial" w:cs="Arial" w:eastAsia="Arial" w:hAnsi="Arial"/>
                <w:sz w:val="18"/>
                <w:szCs w:val="18"/>
                <w:color w:val="auto"/>
              </w:rPr>
              <w:t>0.195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May</w:t>
            </w:r>
          </w:p>
        </w:tc>
        <w:tc>
          <w:tcPr>
            <w:tcW w:w="11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0.225</w:t>
            </w: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May</w:t>
            </w:r>
          </w:p>
        </w:tc>
        <w:tc>
          <w:tcPr>
            <w:tcW w:w="222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0.195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July</w:t>
            </w:r>
          </w:p>
        </w:tc>
        <w:tc>
          <w:tcPr>
            <w:tcW w:w="11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0.225</w:t>
            </w: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July</w:t>
            </w:r>
          </w:p>
        </w:tc>
        <w:tc>
          <w:tcPr>
            <w:tcW w:w="222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0.195</w:t>
            </w:r>
          </w:p>
        </w:tc>
      </w:tr>
      <w:tr>
        <w:trPr>
          <w:trHeight w:val="221"/>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(paid in January 2015)</w:t>
            </w: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0.225</w:t>
            </w: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October (paid in January 2014)</w:t>
            </w:r>
          </w:p>
        </w:tc>
        <w:tc>
          <w:tcPr>
            <w:tcW w:w="22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0.195</w:t>
            </w:r>
          </w:p>
        </w:tc>
      </w:tr>
      <w:tr>
        <w:trPr>
          <w:trHeight w:val="196"/>
        </w:trPr>
        <w:tc>
          <w:tcPr>
            <w:tcW w:w="36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0C6DFF"/>
            </w:tcBorders>
          </w:tcPr>
          <w:p>
            <w:pPr>
              <w:ind w:left="70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0.90</w:t>
            </w:r>
          </w:p>
        </w:tc>
        <w:tc>
          <w:tcPr>
            <w:tcW w:w="26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0C6DFF"/>
            </w:tcBorders>
          </w:tcPr>
          <w:p>
            <w:pPr>
              <w:ind w:left="18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0.78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February 2015, our Board of Directors approved an 11.1% increase in our dividend to $1.00 per share on an annualized basis and approved our first quarter dividend of $0.25 per share to be paid in April 2015.</w:t>
      </w:r>
    </w:p>
    <w:p>
      <w:pPr>
        <w:spacing w:after="0" w:line="8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 xml:space="preserve">Holders of Class A common stock in the aggregate hold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xml:space="preserve">% of the voting power of our common stock. The number of votes that each share of Class A common stock has at any given time depends on the number of shares of Class A common stock and Class B common stock then outstanding. Holders of shares of Class A Special common stock cannot vote in the election of directors or otherwise, except where class voting is required by law. In that case, shares of Class A Special common stock have the same number of votes per share as shares of Class A common stock. The Class B common stock has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2014,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4100" w:type="dxa"/>
            <w:vAlign w:val="bottom"/>
          </w:tcPr>
          <w:p>
            <w:pPr>
              <w:jc w:val="right"/>
              <w:ind w:right="42"/>
              <w:spacing w:after="0"/>
              <w:rPr>
                <w:sz w:val="20"/>
                <w:szCs w:val="20"/>
                <w:color w:val="auto"/>
              </w:rPr>
            </w:pPr>
            <w:r>
              <w:rPr>
                <w:rFonts w:ascii="Arial" w:cs="Arial" w:eastAsia="Arial" w:hAnsi="Arial"/>
                <w:sz w:val="14"/>
                <w:szCs w:val="14"/>
                <w:color w:val="auto"/>
              </w:rPr>
              <w:t>Record</w:t>
            </w:r>
          </w:p>
        </w:tc>
      </w:tr>
      <w:tr>
        <w:trPr>
          <w:trHeight w:val="149"/>
        </w:trPr>
        <w:tc>
          <w:tcPr>
            <w:tcW w:w="7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Stock Class</w:t>
            </w:r>
          </w:p>
        </w:tc>
        <w:tc>
          <w:tcPr>
            <w:tcW w:w="410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color w:val="auto"/>
              </w:rPr>
              <w:t>Holders</w:t>
            </w:r>
          </w:p>
        </w:tc>
      </w:tr>
      <w:tr>
        <w:trPr>
          <w:trHeight w:val="199"/>
        </w:trPr>
        <w:tc>
          <w:tcPr>
            <w:tcW w:w="732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4100" w:type="dxa"/>
            <w:vAlign w:val="bottom"/>
          </w:tcPr>
          <w:p>
            <w:pPr>
              <w:jc w:val="right"/>
              <w:ind w:right="42"/>
              <w:spacing w:after="0" w:line="200" w:lineRule="exact"/>
              <w:rPr>
                <w:sz w:val="20"/>
                <w:szCs w:val="20"/>
                <w:color w:val="auto"/>
              </w:rPr>
            </w:pPr>
            <w:r>
              <w:rPr>
                <w:rFonts w:ascii="Arial" w:cs="Arial" w:eastAsia="Arial" w:hAnsi="Arial"/>
                <w:sz w:val="18"/>
                <w:szCs w:val="18"/>
                <w:color w:val="auto"/>
              </w:rPr>
              <w:t>511,489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Class A Special Common Stock</w:t>
            </w:r>
          </w:p>
        </w:tc>
        <w:tc>
          <w:tcPr>
            <w:tcW w:w="4100" w:type="dxa"/>
            <w:vAlign w:val="bottom"/>
          </w:tcPr>
          <w:p>
            <w:pPr>
              <w:jc w:val="right"/>
              <w:ind w:right="42"/>
              <w:spacing w:after="0" w:line="202" w:lineRule="exact"/>
              <w:rPr>
                <w:sz w:val="20"/>
                <w:szCs w:val="20"/>
                <w:color w:val="auto"/>
              </w:rPr>
            </w:pPr>
            <w:r>
              <w:rPr>
                <w:rFonts w:ascii="Arial" w:cs="Arial" w:eastAsia="Arial" w:hAnsi="Arial"/>
                <w:sz w:val="18"/>
                <w:szCs w:val="18"/>
                <w:color w:val="auto"/>
              </w:rPr>
              <w:t>1,495</w:t>
            </w:r>
          </w:p>
        </w:tc>
      </w:tr>
      <w:tr>
        <w:trPr>
          <w:trHeight w:val="199"/>
        </w:trPr>
        <w:tc>
          <w:tcPr>
            <w:tcW w:w="73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4100" w:type="dxa"/>
            <w:vAlign w:val="bottom"/>
            <w:tcBorders>
              <w:bottom w:val="single" w:sz="8" w:color="auto"/>
            </w:tcBorders>
          </w:tcPr>
          <w:p>
            <w:pPr>
              <w:jc w:val="right"/>
              <w:ind w:right="42"/>
              <w:spacing w:after="0" w:line="200" w:lineRule="exact"/>
              <w:rPr>
                <w:sz w:val="20"/>
                <w:szCs w:val="20"/>
                <w:color w:val="auto"/>
              </w:rPr>
            </w:pPr>
            <w:r>
              <w:rPr>
                <w:rFonts w:ascii="Arial" w:cs="Arial" w:eastAsia="Arial" w:hAnsi="Arial"/>
                <w:sz w:val="18"/>
                <w:szCs w:val="18"/>
                <w:color w:val="auto"/>
              </w:rPr>
              <w:t>3</w:t>
            </w:r>
          </w:p>
        </w:tc>
      </w:tr>
      <w:tr>
        <w:trPr>
          <w:trHeight w:val="506"/>
        </w:trPr>
        <w:tc>
          <w:tcPr>
            <w:tcW w:w="7320" w:type="dxa"/>
            <w:vAlign w:val="bottom"/>
          </w:tcPr>
          <w:p>
            <w:pPr>
              <w:ind w:left="5680"/>
              <w:spacing w:after="0"/>
              <w:rPr>
                <w:sz w:val="20"/>
                <w:szCs w:val="20"/>
                <w:color w:val="auto"/>
              </w:rPr>
            </w:pPr>
            <w:r>
              <w:rPr>
                <w:rFonts w:ascii="Arial" w:cs="Arial" w:eastAsia="Arial" w:hAnsi="Arial"/>
                <w:sz w:val="14"/>
                <w:szCs w:val="14"/>
                <w:b w:val="1"/>
                <w:bCs w:val="1"/>
                <w:color w:val="auto"/>
              </w:rPr>
              <w:t>41</w:t>
            </w:r>
          </w:p>
        </w:tc>
        <w:tc>
          <w:tcPr>
            <w:tcW w:w="4100" w:type="dxa"/>
            <w:vAlign w:val="bottom"/>
          </w:tcPr>
          <w:p>
            <w:pPr>
              <w:jc w:val="right"/>
              <w:spacing w:after="0"/>
              <w:rPr>
                <w:sz w:val="20"/>
                <w:szCs w:val="20"/>
                <w:color w:val="auto"/>
              </w:rPr>
            </w:pPr>
            <w:r>
              <w:rPr>
                <w:rFonts w:ascii="Arial" w:cs="Arial" w:eastAsia="Arial" w:hAnsi="Arial"/>
                <w:sz w:val="14"/>
                <w:szCs w:val="14"/>
                <w:color w:val="auto"/>
              </w:rPr>
              <w:t>Comcast 2014 Annual Report on Form 10-K</w:t>
            </w: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table below summarizes our repurchases under our Board-authorized share repurchase program during 2014. Under our share repurchase program, our Board gives management discretion to purchase either Class A or Class A Special common stock. The number of shares of each class of common stock we repurchase under our share repurchase program will depend upon prevailing market conditions, including price and trading volume differentials between the two classes of common stock.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jc w:val="right"/>
              <w:ind w:right="19"/>
              <w:spacing w:after="0"/>
              <w:rPr>
                <w:sz w:val="20"/>
                <w:szCs w:val="20"/>
                <w:color w:val="auto"/>
              </w:rPr>
            </w:pPr>
            <w:r>
              <w:rPr>
                <w:rFonts w:ascii="Arial" w:cs="Arial" w:eastAsia="Arial" w:hAnsi="Arial"/>
                <w:sz w:val="14"/>
                <w:szCs w:val="14"/>
                <w:color w:val="auto"/>
              </w:rPr>
              <w:t>Total Number of</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ind w:right="17"/>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jc w:val="right"/>
              <w:ind w:right="19"/>
              <w:spacing w:after="0" w:line="135" w:lineRule="exact"/>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Purchased as</w:t>
            </w:r>
          </w:p>
        </w:tc>
        <w:tc>
          <w:tcPr>
            <w:tcW w:w="240" w:type="dxa"/>
            <w:vAlign w:val="bottom"/>
          </w:tcPr>
          <w:p>
            <w:pPr>
              <w:spacing w:after="0"/>
              <w:rPr>
                <w:sz w:val="12"/>
                <w:szCs w:val="12"/>
                <w:color w:val="auto"/>
              </w:rPr>
            </w:pPr>
          </w:p>
        </w:tc>
        <w:tc>
          <w:tcPr>
            <w:tcW w:w="12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Total Dollar</w:t>
            </w:r>
          </w:p>
        </w:tc>
        <w:tc>
          <w:tcPr>
            <w:tcW w:w="200" w:type="dxa"/>
            <w:vAlign w:val="bottom"/>
          </w:tcPr>
          <w:p>
            <w:pPr>
              <w:spacing w:after="0"/>
              <w:rPr>
                <w:sz w:val="12"/>
                <w:szCs w:val="12"/>
                <w:color w:val="auto"/>
              </w:rPr>
            </w:pPr>
          </w:p>
        </w:tc>
        <w:tc>
          <w:tcPr>
            <w:tcW w:w="138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5"/>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620" w:type="dxa"/>
            <w:vAlign w:val="bottom"/>
          </w:tcPr>
          <w:p>
            <w:pPr>
              <w:jc w:val="right"/>
              <w:ind w:right="16"/>
              <w:spacing w:after="0" w:line="149" w:lineRule="exact"/>
              <w:rPr>
                <w:sz w:val="20"/>
                <w:szCs w:val="20"/>
                <w:color w:val="auto"/>
              </w:rPr>
            </w:pPr>
            <w:r>
              <w:rPr>
                <w:rFonts w:ascii="Arial" w:cs="Arial" w:eastAsia="Arial" w:hAnsi="Arial"/>
                <w:sz w:val="14"/>
                <w:szCs w:val="14"/>
                <w:color w:val="auto"/>
              </w:rPr>
              <w:t>Total Number of</w:t>
            </w:r>
          </w:p>
        </w:tc>
        <w:tc>
          <w:tcPr>
            <w:tcW w:w="200" w:type="dxa"/>
            <w:vAlign w:val="bottom"/>
          </w:tcPr>
          <w:p>
            <w:pPr>
              <w:spacing w:after="0"/>
              <w:rPr>
                <w:sz w:val="12"/>
                <w:szCs w:val="12"/>
                <w:color w:val="auto"/>
              </w:rPr>
            </w:pPr>
          </w:p>
        </w:tc>
        <w:tc>
          <w:tcPr>
            <w:tcW w:w="600" w:type="dxa"/>
            <w:vAlign w:val="bottom"/>
          </w:tcPr>
          <w:p>
            <w:pPr>
              <w:jc w:val="right"/>
              <w:ind w:right="15"/>
              <w:spacing w:after="0" w:line="149" w:lineRule="exact"/>
              <w:rPr>
                <w:sz w:val="20"/>
                <w:szCs w:val="20"/>
                <w:color w:val="auto"/>
              </w:rPr>
            </w:pPr>
            <w:r>
              <w:rPr>
                <w:rFonts w:ascii="Arial" w:cs="Arial" w:eastAsia="Arial" w:hAnsi="Arial"/>
                <w:sz w:val="14"/>
                <w:szCs w:val="14"/>
                <w:color w:val="auto"/>
                <w:w w:val="91"/>
              </w:rPr>
              <w:t>Average</w:t>
            </w:r>
          </w:p>
        </w:tc>
        <w:tc>
          <w:tcPr>
            <w:tcW w:w="1160" w:type="dxa"/>
            <w:vAlign w:val="bottom"/>
          </w:tcPr>
          <w:p>
            <w:pPr>
              <w:jc w:val="right"/>
              <w:ind w:right="19"/>
              <w:spacing w:after="0" w:line="149" w:lineRule="exact"/>
              <w:rPr>
                <w:sz w:val="20"/>
                <w:szCs w:val="20"/>
                <w:color w:val="auto"/>
              </w:rPr>
            </w:pPr>
            <w:r>
              <w:rPr>
                <w:rFonts w:ascii="Arial" w:cs="Arial" w:eastAsia="Arial" w:hAnsi="Arial"/>
                <w:sz w:val="14"/>
                <w:szCs w:val="14"/>
                <w:color w:val="auto"/>
              </w:rPr>
              <w:t>Part of Publicly</w:t>
            </w:r>
          </w:p>
        </w:tc>
        <w:tc>
          <w:tcPr>
            <w:tcW w:w="240" w:type="dxa"/>
            <w:vAlign w:val="bottom"/>
          </w:tcPr>
          <w:p>
            <w:pPr>
              <w:spacing w:after="0"/>
              <w:rPr>
                <w:sz w:val="12"/>
                <w:szCs w:val="12"/>
                <w:color w:val="auto"/>
              </w:rPr>
            </w:pPr>
          </w:p>
        </w:tc>
        <w:tc>
          <w:tcPr>
            <w:tcW w:w="1260" w:type="dxa"/>
            <w:vAlign w:val="bottom"/>
          </w:tcPr>
          <w:p>
            <w:pPr>
              <w:jc w:val="right"/>
              <w:ind w:right="16"/>
              <w:spacing w:after="0" w:line="149" w:lineRule="exact"/>
              <w:rPr>
                <w:sz w:val="20"/>
                <w:szCs w:val="20"/>
                <w:color w:val="auto"/>
              </w:rPr>
            </w:pPr>
            <w:r>
              <w:rPr>
                <w:rFonts w:ascii="Arial" w:cs="Arial" w:eastAsia="Arial" w:hAnsi="Arial"/>
                <w:sz w:val="14"/>
                <w:szCs w:val="14"/>
                <w:color w:val="auto"/>
              </w:rPr>
              <w:t>Amount</w:t>
            </w: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620" w:type="dxa"/>
            <w:vAlign w:val="bottom"/>
          </w:tcPr>
          <w:p>
            <w:pPr>
              <w:jc w:val="right"/>
              <w:ind w:right="16"/>
              <w:spacing w:after="0" w:line="136" w:lineRule="exact"/>
              <w:rPr>
                <w:sz w:val="20"/>
                <w:szCs w:val="20"/>
                <w:color w:val="auto"/>
              </w:rPr>
            </w:pPr>
            <w:r>
              <w:rPr>
                <w:rFonts w:ascii="Arial" w:cs="Arial" w:eastAsia="Arial" w:hAnsi="Arial"/>
                <w:sz w:val="14"/>
                <w:szCs w:val="14"/>
                <w:color w:val="auto"/>
              </w:rPr>
              <w:t>Shares</w:t>
            </w:r>
          </w:p>
        </w:tc>
        <w:tc>
          <w:tcPr>
            <w:tcW w:w="800" w:type="dxa"/>
            <w:vAlign w:val="bottom"/>
            <w:gridSpan w:val="2"/>
          </w:tcPr>
          <w:p>
            <w:pPr>
              <w:jc w:val="right"/>
              <w:ind w:right="15"/>
              <w:spacing w:after="0" w:line="136" w:lineRule="exact"/>
              <w:rPr>
                <w:sz w:val="20"/>
                <w:szCs w:val="20"/>
                <w:color w:val="auto"/>
              </w:rPr>
            </w:pPr>
            <w:r>
              <w:rPr>
                <w:rFonts w:ascii="Arial" w:cs="Arial" w:eastAsia="Arial" w:hAnsi="Arial"/>
                <w:sz w:val="14"/>
                <w:szCs w:val="14"/>
                <w:color w:val="auto"/>
              </w:rPr>
              <w:t>Price Per</w:t>
            </w:r>
          </w:p>
        </w:tc>
        <w:tc>
          <w:tcPr>
            <w:tcW w:w="1160" w:type="dxa"/>
            <w:vAlign w:val="bottom"/>
          </w:tcPr>
          <w:p>
            <w:pPr>
              <w:jc w:val="right"/>
              <w:ind w:right="19"/>
              <w:spacing w:after="0" w:line="136" w:lineRule="exact"/>
              <w:rPr>
                <w:sz w:val="20"/>
                <w:szCs w:val="20"/>
                <w:color w:val="auto"/>
              </w:rPr>
            </w:pPr>
            <w:r>
              <w:rPr>
                <w:rFonts w:ascii="Arial" w:cs="Arial" w:eastAsia="Arial" w:hAnsi="Arial"/>
                <w:sz w:val="14"/>
                <w:szCs w:val="14"/>
                <w:color w:val="auto"/>
              </w:rPr>
              <w:t>Announced</w:t>
            </w:r>
          </w:p>
        </w:tc>
        <w:tc>
          <w:tcPr>
            <w:tcW w:w="150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Purchased Under the</w:t>
            </w:r>
          </w:p>
        </w:tc>
        <w:tc>
          <w:tcPr>
            <w:tcW w:w="200" w:type="dxa"/>
            <w:vAlign w:val="bottom"/>
          </w:tcPr>
          <w:p>
            <w:pPr>
              <w:spacing w:after="0"/>
              <w:rPr>
                <w:sz w:val="11"/>
                <w:szCs w:val="11"/>
                <w:color w:val="auto"/>
              </w:rPr>
            </w:pPr>
          </w:p>
        </w:tc>
        <w:tc>
          <w:tcPr>
            <w:tcW w:w="1380" w:type="dxa"/>
            <w:vAlign w:val="bottom"/>
          </w:tcPr>
          <w:p>
            <w:pPr>
              <w:jc w:val="right"/>
              <w:ind w:right="17"/>
              <w:spacing w:after="0" w:line="136" w:lineRule="exact"/>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76"/>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Period</w:t>
            </w:r>
          </w:p>
        </w:tc>
        <w:tc>
          <w:tcPr>
            <w:tcW w:w="26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Purchased</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Share</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Authorization</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Authorization</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7"/>
              <w:spacing w:after="0" w:line="176" w:lineRule="exact"/>
              <w:rPr>
                <w:sz w:val="20"/>
                <w:szCs w:val="20"/>
                <w:color w:val="auto"/>
              </w:rPr>
            </w:pPr>
            <w:r>
              <w:rPr>
                <w:rFonts w:ascii="Arial" w:cs="Arial" w:eastAsia="Arial" w:hAnsi="Arial"/>
                <w:sz w:val="13"/>
                <w:szCs w:val="13"/>
                <w:color w:val="auto"/>
              </w:rPr>
              <w:t>Authorization</w:t>
            </w:r>
            <w:r>
              <w:rPr>
                <w:rFonts w:ascii="Arial" w:cs="Arial" w:eastAsia="Arial" w:hAnsi="Arial"/>
                <w:sz w:val="20"/>
                <w:szCs w:val="20"/>
                <w:color w:val="auto"/>
                <w:vertAlign w:val="superscript"/>
              </w:rPr>
              <w:t>(a)</w:t>
            </w:r>
          </w:p>
        </w:tc>
        <w:tc>
          <w:tcPr>
            <w:tcW w:w="0" w:type="dxa"/>
            <w:vAlign w:val="bottom"/>
          </w:tcPr>
          <w:p>
            <w:pPr>
              <w:spacing w:after="0"/>
              <w:rPr>
                <w:sz w:val="1"/>
                <w:szCs w:val="1"/>
                <w:color w:val="auto"/>
              </w:rPr>
            </w:pPr>
          </w:p>
        </w:tc>
      </w:tr>
      <w:tr>
        <w:trPr>
          <w:trHeight w:val="199"/>
        </w:trPr>
        <w:tc>
          <w:tcPr>
            <w:tcW w:w="3760" w:type="dxa"/>
            <w:vAlign w:val="bottom"/>
            <w:gridSpan w:val="2"/>
          </w:tcPr>
          <w:p>
            <w:pPr>
              <w:spacing w:after="0" w:line="200" w:lineRule="exact"/>
              <w:rPr>
                <w:sz w:val="20"/>
                <w:szCs w:val="20"/>
                <w:color w:val="auto"/>
              </w:rPr>
            </w:pPr>
            <w:r>
              <w:rPr>
                <w:rFonts w:ascii="Arial" w:cs="Arial" w:eastAsia="Arial" w:hAnsi="Arial"/>
                <w:sz w:val="18"/>
                <w:szCs w:val="18"/>
                <w:color w:val="auto"/>
              </w:rPr>
              <w:t>First Quarter 2014</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7,500,000,000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15,091,711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50.13</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14,965,409</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750,000,000</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6,750,000,000</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2014</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6,750,000,000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14,982,553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50.06</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14,982,553</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750,000,000</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6,000,000,000</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 2014</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1,277,550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55.40</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1,277,550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70,770,180</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5,929,229,820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12,598,050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53.92</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12,598,050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679,245,283</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5,249,984,537</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October 1-31, 2014</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5,249,984,537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1,317,975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53.68</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1,317,975</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70,754,717</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5,179,229,820</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November 1-30, 2014</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5,179,229,820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 Special</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5,179,229,820</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December 1-31, 2014</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Comcast Class A</w:t>
            </w:r>
          </w:p>
        </w:tc>
        <w:tc>
          <w:tcPr>
            <w:tcW w:w="26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20,770,458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54.40</w:t>
            </w:r>
          </w:p>
        </w:tc>
        <w:tc>
          <w:tcPr>
            <w:tcW w:w="11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20,770,458</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9"/>
              </w:rPr>
              <w:t>1,130,000,000</w:t>
            </w: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4,049,229,820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Comcast Class A Special</w:t>
            </w:r>
          </w:p>
        </w:tc>
        <w:tc>
          <w:tcPr>
            <w:tcW w:w="262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14,681,356</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54.49</w:t>
            </w:r>
          </w:p>
        </w:tc>
        <w:tc>
          <w:tcPr>
            <w:tcW w:w="1160" w:type="dxa"/>
            <w:vAlign w:val="bottom"/>
            <w:tcBorders>
              <w:bottom w:val="single" w:sz="8" w:color="auto"/>
            </w:tcBorders>
          </w:tcPr>
          <w:p>
            <w:pPr>
              <w:jc w:val="right"/>
              <w:ind w:right="19"/>
              <w:spacing w:after="0" w:line="200" w:lineRule="exact"/>
              <w:rPr>
                <w:sz w:val="20"/>
                <w:szCs w:val="20"/>
                <w:color w:val="auto"/>
              </w:rPr>
            </w:pPr>
            <w:r>
              <w:rPr>
                <w:rFonts w:ascii="Arial" w:cs="Arial" w:eastAsia="Arial" w:hAnsi="Arial"/>
                <w:sz w:val="18"/>
                <w:szCs w:val="18"/>
                <w:color w:val="auto"/>
              </w:rPr>
              <w:t>14,681,356</w:t>
            </w:r>
          </w:p>
        </w:tc>
        <w:tc>
          <w:tcPr>
            <w:tcW w:w="24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800,000,000</w:t>
            </w:r>
          </w:p>
        </w:tc>
        <w:tc>
          <w:tcPr>
            <w:tcW w:w="200" w:type="dxa"/>
            <w:vAlign w:val="bottom"/>
            <w:tcBorders>
              <w:bottom w:val="single" w:sz="8" w:color="auto"/>
            </w:tcBorders>
          </w:tcPr>
          <w:p>
            <w:pPr>
              <w:ind w:left="100"/>
              <w:spacing w:after="0" w:line="200"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3,249,229,820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37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80,719,653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52.74</w:t>
            </w:r>
          </w:p>
        </w:tc>
        <w:tc>
          <w:tcPr>
            <w:tcW w:w="1160" w:type="dxa"/>
            <w:vAlign w:val="bottom"/>
            <w:tcBorders>
              <w:bottom w:val="single" w:sz="8" w:color="0C6DFF"/>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80,593,351</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w w:val="99"/>
              </w:rPr>
              <w:t>4,250,770,180</w:t>
            </w:r>
          </w:p>
        </w:tc>
        <w:tc>
          <w:tcPr>
            <w:tcW w:w="2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3,249,229,820</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6" w:lineRule="auto"/>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January 2014, our Board of Directors increased our share repurchase program authorization to $7.5 billion. The authorization allows us to repurchase shares in the open market or in private transactions and does not have an expiration date. The shares repurchased in the table above include $1.25 billion of the additional $2.5 billion of shares we committed to repurchase following shareholder approval for the Time Warner Cable merger. We intend to repurchase the remaining $1.25 billion of shares in 2015 through the close of the Time Warner Cable merger, subject to market conditions.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total number of shares purchased during the first quarter of 2014 includes 126,302 shares received in the administration of employee share-based compensation plans.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our Board of Directors increased our share repurchase program authorization to $10 billion, which does not have an expiration date. Under this authorization, we may repurchase shares in the open market or in private transactions. We expect to repurchase $4.25 billion of shares during 2015, including the remaining $1.25 billion of additional shares we committed to repurchase in connection with the Time Warner Cable merger, subject to market conditions. Additional share repurchases above the $4.25 billion commitment in 2015 will be determined following the close of the Time Warner Cable merger and the related divestiture transactions with Charter.</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sales prices of Comcast’s Class A and Class A Special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color w:val="auto"/>
              </w:rPr>
              <w:t>Class A</w:t>
            </w:r>
          </w:p>
        </w:tc>
        <w:tc>
          <w:tcPr>
            <w:tcW w:w="16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4"/>
                <w:szCs w:val="14"/>
                <w:color w:val="auto"/>
              </w:rPr>
              <w:t>Class A Special</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High</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Low</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High</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Low</w:t>
            </w:r>
          </w:p>
        </w:tc>
      </w:tr>
      <w:tr>
        <w:trPr>
          <w:trHeight w:val="177"/>
        </w:trPr>
        <w:tc>
          <w:tcPr>
            <w:tcW w:w="20" w:type="dxa"/>
            <w:vAlign w:val="bottom"/>
          </w:tcPr>
          <w:p>
            <w:pPr>
              <w:spacing w:after="0"/>
              <w:rPr>
                <w:sz w:val="15"/>
                <w:szCs w:val="15"/>
                <w:color w:val="auto"/>
              </w:rPr>
            </w:pPr>
          </w:p>
        </w:tc>
        <w:tc>
          <w:tcPr>
            <w:tcW w:w="8120" w:type="dxa"/>
            <w:vAlign w:val="bottom"/>
          </w:tcPr>
          <w:p>
            <w:pPr>
              <w:spacing w:after="0" w:line="177" w:lineRule="exact"/>
              <w:rPr>
                <w:sz w:val="20"/>
                <w:szCs w:val="20"/>
                <w:color w:val="auto"/>
              </w:rPr>
            </w:pPr>
            <w:r>
              <w:rPr>
                <w:rFonts w:ascii="Arial" w:cs="Arial" w:eastAsia="Arial" w:hAnsi="Arial"/>
                <w:sz w:val="18"/>
                <w:szCs w:val="18"/>
                <w:b w:val="1"/>
                <w:bCs w:val="1"/>
                <w:color w:val="auto"/>
              </w:rPr>
              <w:t>2014</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First Quarter</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$ 55.28</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$ 49.00</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$ 53.10</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$ 47.87</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$ 54.26</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$ 47.74</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$ 53.88</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$ 47.21</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b w:val="1"/>
                <w:bCs w:val="1"/>
                <w:color w:val="auto"/>
              </w:rPr>
              <w:t>$ 57.49</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$ 52.52</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$ 57.16</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$ 52.43</w:t>
            </w:r>
          </w:p>
        </w:tc>
      </w:tr>
      <w:tr>
        <w:trPr>
          <w:trHeight w:val="233"/>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p>
        </w:tc>
        <w:tc>
          <w:tcPr>
            <w:tcW w:w="800" w:type="dxa"/>
            <w:vAlign w:val="bottom"/>
          </w:tcPr>
          <w:p>
            <w:pPr>
              <w:jc w:val="right"/>
              <w:ind w:right="18"/>
              <w:spacing w:after="0"/>
              <w:rPr>
                <w:sz w:val="20"/>
                <w:szCs w:val="20"/>
                <w:color w:val="auto"/>
              </w:rPr>
            </w:pPr>
            <w:r>
              <w:rPr>
                <w:rFonts w:ascii="Arial" w:cs="Arial" w:eastAsia="Arial" w:hAnsi="Arial"/>
                <w:sz w:val="18"/>
                <w:szCs w:val="18"/>
                <w:b w:val="1"/>
                <w:bCs w:val="1"/>
                <w:color w:val="auto"/>
              </w:rPr>
              <w:t>$ 59.30</w:t>
            </w: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$ 49.33</w:t>
            </w:r>
          </w:p>
        </w:tc>
        <w:tc>
          <w:tcPr>
            <w:tcW w:w="820" w:type="dxa"/>
            <w:vAlign w:val="bottom"/>
          </w:tcPr>
          <w:p>
            <w:pPr>
              <w:jc w:val="right"/>
              <w:ind w:right="36"/>
              <w:spacing w:after="0"/>
              <w:rPr>
                <w:sz w:val="20"/>
                <w:szCs w:val="20"/>
                <w:color w:val="auto"/>
              </w:rPr>
            </w:pPr>
            <w:r>
              <w:rPr>
                <w:rFonts w:ascii="Arial" w:cs="Arial" w:eastAsia="Arial" w:hAnsi="Arial"/>
                <w:sz w:val="18"/>
                <w:szCs w:val="18"/>
                <w:b w:val="1"/>
                <w:bCs w:val="1"/>
                <w:color w:val="auto"/>
              </w:rPr>
              <w:t>$ 58.94</w:t>
            </w:r>
          </w:p>
        </w:tc>
        <w:tc>
          <w:tcPr>
            <w:tcW w:w="820" w:type="dxa"/>
            <w:vAlign w:val="bottom"/>
          </w:tcPr>
          <w:p>
            <w:pPr>
              <w:jc w:val="right"/>
              <w:ind w:right="14"/>
              <w:spacing w:after="0"/>
              <w:rPr>
                <w:sz w:val="20"/>
                <w:szCs w:val="20"/>
                <w:color w:val="auto"/>
              </w:rPr>
            </w:pPr>
            <w:r>
              <w:rPr>
                <w:rFonts w:ascii="Arial" w:cs="Arial" w:eastAsia="Arial" w:hAnsi="Arial"/>
                <w:sz w:val="18"/>
                <w:szCs w:val="18"/>
                <w:b w:val="1"/>
                <w:bCs w:val="1"/>
                <w:color w:val="auto"/>
              </w:rPr>
              <w:t>$ 49.26</w:t>
            </w:r>
          </w:p>
        </w:tc>
      </w:tr>
      <w:tr>
        <w:trPr>
          <w:trHeight w:val="302"/>
        </w:trPr>
        <w:tc>
          <w:tcPr>
            <w:tcW w:w="8140" w:type="dxa"/>
            <w:vAlign w:val="bottom"/>
            <w:gridSpan w:val="2"/>
          </w:tcPr>
          <w:p>
            <w:pPr>
              <w:spacing w:after="0"/>
              <w:rPr>
                <w:sz w:val="20"/>
                <w:szCs w:val="20"/>
                <w:color w:val="auto"/>
              </w:rPr>
            </w:pPr>
            <w:r>
              <w:rPr>
                <w:rFonts w:ascii="Arial" w:cs="Arial" w:eastAsia="Arial" w:hAnsi="Arial"/>
                <w:sz w:val="18"/>
                <w:szCs w:val="18"/>
                <w:color w:val="auto"/>
              </w:rPr>
              <w:t>2013</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$ 42.01</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$ 37.21</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$ 40.33</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$ 35.84</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$ 43.74</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$ 38.75</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$ 41.88</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$ 37.35</w:t>
            </w: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800" w:type="dxa"/>
            <w:vAlign w:val="bottom"/>
          </w:tcPr>
          <w:p>
            <w:pPr>
              <w:jc w:val="right"/>
              <w:ind w:right="18"/>
              <w:spacing w:after="0" w:line="202" w:lineRule="exact"/>
              <w:rPr>
                <w:sz w:val="20"/>
                <w:szCs w:val="20"/>
                <w:color w:val="auto"/>
              </w:rPr>
            </w:pPr>
            <w:r>
              <w:rPr>
                <w:rFonts w:ascii="Arial" w:cs="Arial" w:eastAsia="Arial" w:hAnsi="Arial"/>
                <w:sz w:val="18"/>
                <w:szCs w:val="18"/>
                <w:color w:val="auto"/>
              </w:rPr>
              <w:t>$ 46.33</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$ 40.26</w:t>
            </w:r>
          </w:p>
        </w:tc>
        <w:tc>
          <w:tcPr>
            <w:tcW w:w="8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$ 46.00</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$ 38.55</w:t>
            </w:r>
          </w:p>
        </w:tc>
      </w:tr>
      <w:tr>
        <w:trPr>
          <w:trHeight w:val="199"/>
        </w:trPr>
        <w:tc>
          <w:tcPr>
            <w:tcW w:w="8140" w:type="dxa"/>
            <w:vAlign w:val="bottom"/>
            <w:gridSpan w:val="2"/>
          </w:tcPr>
          <w:p>
            <w:pPr>
              <w:spacing w:after="0" w:line="200" w:lineRule="exact"/>
              <w:rPr>
                <w:sz w:val="20"/>
                <w:szCs w:val="20"/>
                <w:color w:val="auto"/>
              </w:rPr>
            </w:pPr>
            <w:r>
              <w:rPr>
                <w:rFonts w:ascii="Arial" w:cs="Arial" w:eastAsia="Arial" w:hAnsi="Arial"/>
                <w:sz w:val="18"/>
                <w:szCs w:val="18"/>
                <w:color w:val="auto"/>
              </w:rPr>
              <w:t>Fourth Quarter</w:t>
            </w:r>
          </w:p>
        </w:tc>
        <w:tc>
          <w:tcPr>
            <w:tcW w:w="800" w:type="dxa"/>
            <w:vAlign w:val="bottom"/>
          </w:tcPr>
          <w:p>
            <w:pPr>
              <w:jc w:val="right"/>
              <w:ind w:right="18"/>
              <w:spacing w:after="0" w:line="200" w:lineRule="exact"/>
              <w:rPr>
                <w:sz w:val="20"/>
                <w:szCs w:val="20"/>
                <w:color w:val="auto"/>
              </w:rPr>
            </w:pPr>
            <w:r>
              <w:rPr>
                <w:rFonts w:ascii="Arial" w:cs="Arial" w:eastAsia="Arial" w:hAnsi="Arial"/>
                <w:sz w:val="18"/>
                <w:szCs w:val="18"/>
                <w:color w:val="auto"/>
              </w:rPr>
              <w:t>$ 52.09</w:t>
            </w:r>
          </w:p>
        </w:tc>
        <w:tc>
          <w:tcPr>
            <w:tcW w:w="8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$ 44.09</w:t>
            </w:r>
          </w:p>
        </w:tc>
        <w:tc>
          <w:tcPr>
            <w:tcW w:w="82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$ 49.94</w:t>
            </w:r>
          </w:p>
        </w:tc>
        <w:tc>
          <w:tcPr>
            <w:tcW w:w="82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$ 42.62</w:t>
            </w:r>
          </w:p>
        </w:tc>
      </w:tr>
      <w:tr>
        <w:trPr>
          <w:trHeight w:val="506"/>
        </w:trPr>
        <w:tc>
          <w:tcPr>
            <w:tcW w:w="20" w:type="dxa"/>
            <w:vAlign w:val="bottom"/>
          </w:tcPr>
          <w:p>
            <w:pPr>
              <w:spacing w:after="0"/>
              <w:rPr>
                <w:sz w:val="24"/>
                <w:szCs w:val="24"/>
                <w:color w:val="auto"/>
              </w:rPr>
            </w:pPr>
          </w:p>
        </w:tc>
        <w:tc>
          <w:tcPr>
            <w:tcW w:w="8120" w:type="dxa"/>
            <w:vAlign w:val="bottom"/>
            <w:tcBorders>
              <w:top w:val="single" w:sz="8" w:color="auto"/>
            </w:tcBorders>
          </w:tcPr>
          <w:p>
            <w:pPr>
              <w:jc w:val="right"/>
              <w:ind w:right="2222"/>
              <w:spacing w:after="0"/>
              <w:rPr>
                <w:sz w:val="20"/>
                <w:szCs w:val="20"/>
                <w:color w:val="auto"/>
              </w:rPr>
            </w:pPr>
            <w:r>
              <w:rPr>
                <w:rFonts w:ascii="Arial" w:cs="Arial" w:eastAsia="Arial" w:hAnsi="Arial"/>
                <w:sz w:val="14"/>
                <w:szCs w:val="14"/>
                <w:b w:val="1"/>
                <w:bCs w:val="1"/>
                <w:color w:val="auto"/>
              </w:rPr>
              <w:t>43</w:t>
            </w:r>
          </w:p>
        </w:tc>
        <w:tc>
          <w:tcPr>
            <w:tcW w:w="32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Comcast 2014 Annual Report on Form 10-K</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graph below compares the yearly percentage change in the cumulative total shareholder return on Comcast’s Class A common stock and Class A Special common stock during the five years ended December 31, 2014 with the cumulative total returns on the Standard &amp; Poor’s 500 Stock Index and with a select peer group consisting of us and other companies engaged in the cable, communications and media industries. This peer group consists of us (Class A and Class A Special common stock), as well as Cablevision Systems Corporation (Class A), DISH Network Corporation (Class A), DirecTV Inc. and Time Warner Cable Inc. (the “cable subgroup”), and Time Warner Inc., Walt Disney Company, Viacom Inc. (Class B), Twenty-First Century Fox, Inc. (Class A), and CBS Corporation (Class B) (the “media subgroup”). The peer group was constructed as a composite peer group in which the cable subgroup is weighted 64% and the media subgroup is weighted 36% based on the respective revenue of our Cable Communications and NBCUniversal segments. The graph assumes $100 was invested on December 31, 2009 in our Class A common stock and Class A Special common stock and in each of the following indices and assumes the reinvestment of dividends.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0C6DF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9983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2014</w:t>
            </w:r>
          </w:p>
        </w:tc>
      </w:tr>
      <w:tr>
        <w:trPr>
          <w:trHeight w:val="199"/>
        </w:trPr>
        <w:tc>
          <w:tcPr>
            <w:tcW w:w="506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36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$ 133</w:t>
            </w:r>
          </w:p>
        </w:tc>
        <w:tc>
          <w:tcPr>
            <w:tcW w:w="68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$ 146</w:t>
            </w:r>
          </w:p>
        </w:tc>
        <w:tc>
          <w:tcPr>
            <w:tcW w:w="6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$ 235</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$ 331</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$ 374</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Comcast Class A Special</w:t>
            </w:r>
          </w:p>
        </w:tc>
        <w:tc>
          <w:tcPr>
            <w:tcW w:w="3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$ 132</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$ 153</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$ 238</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$ 336</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$ 392</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3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$ 115</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$ 117</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$ 136</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$ 179</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$ 204</w:t>
            </w:r>
          </w:p>
        </w:tc>
      </w:tr>
      <w:tr>
        <w:trPr>
          <w:trHeight w:val="199"/>
        </w:trPr>
        <w:tc>
          <w:tcPr>
            <w:tcW w:w="50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Peer Group Index</w:t>
            </w:r>
          </w:p>
        </w:tc>
        <w:tc>
          <w:tcPr>
            <w:tcW w:w="3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$ 127</w:t>
            </w:r>
          </w:p>
        </w:tc>
        <w:tc>
          <w:tcPr>
            <w:tcW w:w="6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$ 139</w:t>
            </w:r>
          </w:p>
        </w:tc>
        <w:tc>
          <w:tcPr>
            <w:tcW w:w="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$ 200</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$ 294</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$ 339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6: Selected Financial Data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r>
              <w:rPr>
                <w:rFonts w:ascii="Arial" w:cs="Arial" w:eastAsia="Arial" w:hAnsi="Arial"/>
                <w:sz w:val="22"/>
                <w:szCs w:val="22"/>
                <w:color w:val="auto"/>
                <w:vertAlign w:val="superscript"/>
              </w:rPr>
              <w:t>(b)</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b w:val="1"/>
                <w:bCs w:val="1"/>
                <w:color w:val="auto"/>
              </w:rPr>
              <w:t>Statement of Income Data</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68,775</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line="181" w:lineRule="exact"/>
              <w:rPr>
                <w:sz w:val="20"/>
                <w:szCs w:val="20"/>
                <w:color w:val="auto"/>
              </w:rPr>
            </w:pPr>
            <w:r>
              <w:rPr>
                <w:rFonts w:ascii="Arial" w:cs="Arial" w:eastAsia="Arial" w:hAnsi="Arial"/>
                <w:sz w:val="18"/>
                <w:szCs w:val="18"/>
                <w:color w:val="auto"/>
              </w:rPr>
              <w:t>Revenue</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64,657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62,570</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55,842</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37,937</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14,904</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13,563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12,179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10,721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25"/>
        </w:trPr>
        <w:tc>
          <w:tcPr>
            <w:tcW w:w="6000" w:type="dxa"/>
            <w:vAlign w:val="bottom"/>
          </w:tcPr>
          <w:p>
            <w:pPr>
              <w:spacing w:after="0" w:line="225" w:lineRule="exact"/>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2"/>
                <w:szCs w:val="22"/>
                <w:color w:val="auto"/>
                <w:vertAlign w:val="superscript"/>
              </w:rPr>
              <w:t>(a)</w:t>
            </w:r>
          </w:p>
        </w:tc>
        <w:tc>
          <w:tcPr>
            <w:tcW w:w="54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b w:val="1"/>
                <w:bCs w:val="1"/>
                <w:color w:val="auto"/>
              </w:rPr>
              <w:t>8,380</w:t>
            </w:r>
          </w:p>
        </w:tc>
        <w:tc>
          <w:tcPr>
            <w:tcW w:w="2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6,816</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6,203</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4,160</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3.24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5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3.20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shareholders</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2.56</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1.50</w:t>
            </w:r>
          </w:p>
        </w:tc>
        <w:tc>
          <w:tcPr>
            <w:tcW w:w="200" w:type="dxa"/>
            <w:vAlign w:val="bottom"/>
          </w:tcPr>
          <w:p>
            <w:pPr>
              <w:spacing w:after="0"/>
              <w:rPr>
                <w:sz w:val="15"/>
                <w:szCs w:val="15"/>
                <w:color w:val="auto"/>
              </w:rPr>
            </w:pP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common share</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0.90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0.78</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0.378</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w w:val="98"/>
              </w:rPr>
              <w:t>159,339</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spacing w:after="0" w:line="181" w:lineRule="exact"/>
              <w:rPr>
                <w:sz w:val="20"/>
                <w:szCs w:val="20"/>
                <w:color w:val="auto"/>
              </w:rPr>
            </w:pPr>
            <w:r>
              <w:rPr>
                <w:rFonts w:ascii="Arial" w:cs="Arial" w:eastAsia="Arial" w:hAnsi="Arial"/>
                <w:sz w:val="18"/>
                <w:szCs w:val="18"/>
                <w:color w:val="auto"/>
              </w:rPr>
              <w:t>Total assets</w:t>
            </w:r>
          </w:p>
        </w:tc>
        <w:tc>
          <w:tcPr>
            <w:tcW w:w="5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158,813</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164,971</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157,818</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118,534</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Total debt, including current portion</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48,234</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47,847</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40,458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39,309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31,415</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540" w:type="dxa"/>
            <w:vAlign w:val="bottom"/>
          </w:tcPr>
          <w:p>
            <w:pPr>
              <w:spacing w:after="0"/>
              <w:rPr>
                <w:sz w:val="17"/>
                <w:szCs w:val="17"/>
                <w:color w:val="auto"/>
              </w:rPr>
            </w:pP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52,711</w:t>
            </w:r>
          </w:p>
        </w:tc>
        <w:tc>
          <w:tcPr>
            <w:tcW w:w="24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50,694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49,356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47,274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44,354</w:t>
            </w:r>
          </w:p>
        </w:tc>
        <w:tc>
          <w:tcPr>
            <w:tcW w:w="0" w:type="dxa"/>
            <w:vAlign w:val="bottom"/>
          </w:tcPr>
          <w:p>
            <w:pPr>
              <w:spacing w:after="0"/>
              <w:rPr>
                <w:sz w:val="1"/>
                <w:szCs w:val="1"/>
                <w:color w:val="auto"/>
              </w:rPr>
            </w:pPr>
          </w:p>
        </w:tc>
      </w:tr>
      <w:tr>
        <w:trPr>
          <w:trHeight w:val="225"/>
        </w:trPr>
        <w:tc>
          <w:tcPr>
            <w:tcW w:w="600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540" w:type="dxa"/>
            <w:vAlign w:val="bottom"/>
          </w:tcPr>
          <w:p>
            <w:pPr>
              <w:spacing w:after="0"/>
              <w:rPr>
                <w:sz w:val="17"/>
                <w:szCs w:val="17"/>
                <w:color w:val="auto"/>
              </w:rPr>
            </w:pPr>
          </w:p>
        </w:tc>
        <w:tc>
          <w:tcPr>
            <w:tcW w:w="860" w:type="dxa"/>
            <w:vAlign w:val="bottom"/>
            <w:vMerge w:val="restart"/>
          </w:tcPr>
          <w:p>
            <w:pPr>
              <w:jc w:val="right"/>
              <w:ind w:right="114"/>
              <w:spacing w:after="0"/>
              <w:rPr>
                <w:sz w:val="20"/>
                <w:szCs w:val="20"/>
                <w:color w:val="auto"/>
              </w:rPr>
            </w:pPr>
            <w:r>
              <w:rPr>
                <w:rFonts w:ascii="Arial" w:cs="Arial" w:eastAsia="Arial" w:hAnsi="Arial"/>
                <w:sz w:val="18"/>
                <w:szCs w:val="18"/>
                <w:b w:val="1"/>
                <w:bCs w:val="1"/>
                <w:color w:val="auto"/>
              </w:rPr>
              <w:t>16,945</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14,160</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14,854</w:t>
            </w:r>
          </w:p>
        </w:tc>
        <w:tc>
          <w:tcPr>
            <w:tcW w:w="200" w:type="dxa"/>
            <w:vAlign w:val="bottom"/>
          </w:tcPr>
          <w:p>
            <w:pPr>
              <w:spacing w:after="0"/>
              <w:rPr>
                <w:sz w:val="15"/>
                <w:szCs w:val="15"/>
                <w:color w:val="auto"/>
              </w:rPr>
            </w:pP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14,345</w:t>
            </w:r>
          </w:p>
        </w:tc>
        <w:tc>
          <w:tcPr>
            <w:tcW w:w="200" w:type="dxa"/>
            <w:vAlign w:val="bottom"/>
          </w:tcPr>
          <w:p>
            <w:pPr>
              <w:spacing w:after="0"/>
              <w:rPr>
                <w:sz w:val="15"/>
                <w:szCs w:val="15"/>
                <w:color w:val="auto"/>
              </w:rPr>
            </w:pP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17"/>
                <w:szCs w:val="17"/>
                <w:color w:val="auto"/>
              </w:rPr>
            </w:pPr>
          </w:p>
        </w:tc>
        <w:tc>
          <w:tcPr>
            <w:tcW w:w="86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(8,733)</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(9,514)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(1,486)</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Financing activities</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(6,020)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68" w:lineRule="auto"/>
        <w:tabs>
          <w:tab w:leader="none" w:pos="3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 2014, 2013 and 2012, refer to Item 7, Management’s Discussion and Analysis of Financial Condition and Results of Operations included in this Annual Report on Form 10-K for a discussion of the effects of items impacting net income attributable to Comcast Corporation. In 2014, 2013 and 2012, net income attributable to Comcast Corporation is stated after deducting net income attributable to noncontrolling interests of $212 million, $319 million and $1.7 billion, respectively. The reduction in net income attributable to noncontrolling interests in 2013 was primarily due to the acquisition of General Electric Company’s 49% common equity interest in NBCUniversal, LLC that we did not already own in March 2013 (the “NBCUniversal redemption transaction”). See Note 5 to Comcast’s consolidated financial statements for additional information on the NBCUniversal redemption transaction.</w:t>
      </w:r>
    </w:p>
    <w:p>
      <w:pPr>
        <w:spacing w:after="0" w:line="39" w:lineRule="exact"/>
        <w:rPr>
          <w:rFonts w:ascii="Arial" w:cs="Arial" w:eastAsia="Arial" w:hAnsi="Arial"/>
          <w:sz w:val="12"/>
          <w:szCs w:val="12"/>
          <w:color w:val="auto"/>
        </w:rPr>
      </w:pPr>
    </w:p>
    <w:p>
      <w:pPr>
        <w:ind w:left="300" w:hanging="292"/>
        <w:spacing w:after="0" w:line="231"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 January 28, 2011, we completed the NBCUniversal transaction in which Comcast acquired a controlling interest in NBCUniversal. The results of operations of NBCUniversal are included in the financial information above for all periods following January 28,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On February 12, 2014, we entered into an agreement and plan of merger (the “merger agreement”) with Time Warner Cable Inc. (“Time Warner Cable”) whereby Time Warner Cable will become our wholly owned subsidiary (the “Time Warner Cable merger”). On April 25, 2014, in connection with the merger agreement, we entered into an agreement with Charter Communications, Inc. (“Charter”) that, among other things, would result in a net disposition of approximately 3.7 million video subscribers. Additional information about these transactions is presented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2014, our consolidated revenue and operating income were $68.8 billion and $14.9 billion,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6205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Cable is the nation’s largest provider of video, high-speed Internet and voice services (“cable services”) to residential customers under the XFINITY brand, and we also provide similar and other services to small and medium-sized businesses. As of December 31, 2014, our cable systems served 22.4 million video customers, 22.0 million high-speed Internet customers and 11.2 million voice customers, with 27.0 million total customer relationships, and passed more than 54 million homes and businesses. Our Cable Communications segment generates revenue primarily from subscriptions to our cable services, which we market individually and in bundled service packages, and from the sale of advertising. In 2014, our Cable Communications segment generated 64% of our consolidated revenue and 79% of our operating income before depreciation and amortization.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Cable Communications segment offers a broad variety of video services with access to hundreds of channels, including premium networks, such as HBO, Showtime, Starz and Cinemax, pay-per-view channels, On Demand, our video on demand service that allows customers to watch certain programs when they choose and provides the option to purchase or rent select movies and television shows electronically, and an interactive, on-screen program guide. Our video customers may also subscribe to a higher level of video service, including our high-definition video (“HD”) and digital video recorder (“DVR”) advanced services. Our video customers have the ability to use our XFINITY online portal or our mobile apps to view certain live television programming and On Demand content, browse program listings, and schedule, manage and watch DVR recordings.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a variety of high-speed Internet services with downstream speeds of up to 105 Mbps, and we also have introduced downstream speeds of up to 505 Mbps in limited markets. These services also include our XFINITY online portal and mobile apps, which provide access to email, contacts and calendars, as well as online security features. In addition, we are actively deploying wireless gateways, which combine a customer’s wireless router, cable modem and voice adapter, to improve the performance of multiple Internet-enabled devices used at the same time within the home, provide faster Internet speeds and create an in-home Wi-Fi network. We are continuing to expand our network of outdoor, business and in-home Wi-Fi hotspots for most of our high-speed Internet customers to access our high-speed Internet services inside and outside the home, and there are currently 8.3 million hotspots accessible to most of our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voice services provide local and long-distance calling and other related features.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our cable services to small (up to 20 employees) and medium-sized (up to 500 employees) businesses (“business services”). In addition to the features we provide to our residential customers, our services for business customers include an interactive tool that allows customers to share, coordinate and store documents online, hosted voice services that use cloud network servers, a business directory listing, and the added capacity for multiple phone lines. We also offer to our medium-sized business customers advanced voice services and Ethernet network services that connect multiple locations and provide higher downstream speed options, and we provide cellular backhaul services to mobile network operators to help those customers manage network bandwidth.</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Customers are typically billed in advance on a monthly basis based on the services and features they receive and the type of equipment they use. Residential cable services customers may generally discontinue service at any time, while business customers may only discontinue service in accordance with the terms of their contracts, which typically have 2 to 5 year terms.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segment also sells advertising through our Spotlight business. As part of our distribution agreements with cable networks, we generally receive an allocation of scheduled advertising time on cable networks that we sell to local, regional and national advertisers.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most significant operating cost for our Cable Communications segment is the programming expenses we incur to provide content to our video customers. We anticipate that our programming expenses will continue to increase. We have and will continue to attempt to maintain a consistent operating margin in our Cable Communications segment through rate adjustments, the sale of additional cable services, including advanced services, and the continued growth of business services, as well as by achieving operating efficiencies.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(collectively, the “NBCUniversal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w:t>
      </w:r>
    </w:p>
    <w:p>
      <w:pPr>
        <w:jc w:val="both"/>
        <w:spacing w:after="0" w:line="236"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entertainment networks (USA Network, Syfy, E!, Bravo, Oxygen, Esquire Network, Sprout, Chiller, Universal HD and Cloo), our national cable news and information networks (MSNBC, CNBC and CNBC World), our national cable sports networks (Golf Channel and NBC Sports Network), our regional sports and news networks, various international cable networks, our cable television production operations, and related digital media properties. Our Cable Networks segment generates revenue primarily from the distribution of our cable network programming to multichannel video providers,</w:t>
      </w:r>
    </w:p>
    <w:p>
      <w:pPr>
        <w:spacing w:after="0" w:line="32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the sale of advertising on our cable networks and related digital media properties, from the licensing of our owned programming through distribution to subscription video on demand services and various other distribution platforms, and from the sale of our owned programming electronically through digital distributors such as iTunes.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Broadcast Television</w:t>
      </w:r>
    </w:p>
    <w:p>
      <w:pPr>
        <w:jc w:val="both"/>
        <w:spacing w:after="0" w:line="236"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10 NBC and 17 Telemundo owned local broadcast television stations, the NBC Universo (formerly mun2) national cable network, our broadcast television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and to subscription video on demand services, and from fees received under retransmission consent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6"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 the Universal Pictures, Focus Features and Illumination names. 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standard-definition video discs and Blu-ray discs (together, “DVDs”) and electronically through digital distributors. Our Filmed Entertainment segment also generates revenue from producing and licensing live stage plays, from the distribution of filmed entertainment produced by third parties, and from a movie ticketing and entertainment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37"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Our Theme Parks segment generates revenue primarily from theme park attendance and per capita spending. Per capita spending includes ticket price and in-park spending on food, beverages and merchandise. Our Theme Parks segment also receives fees from third parties that own and operate Universal Studios Japan and Universal Studios Singapore for intellectual property licenses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consist primarily of Comcast-Spectacor, which owns the Philadelphia Flyers and the Wells Fargo Center arena in Philadelphia, Pennsylvania and operates arena management-related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Developments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2014:</w:t>
      </w:r>
    </w:p>
    <w:p>
      <w:pPr>
        <w:spacing w:after="0" w:line="77" w:lineRule="exact"/>
        <w:rPr>
          <w:sz w:val="20"/>
          <w:szCs w:val="20"/>
          <w:color w:val="auto"/>
        </w:rPr>
      </w:pPr>
    </w:p>
    <w:p>
      <w:pPr>
        <w:ind w:left="1020" w:right="124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consolidated revenue of 6.4% to $68.8 billion and an increase in consolidated operating income of 9.9% to $14.9 billion</w:t>
      </w:r>
    </w:p>
    <w:p>
      <w:pPr>
        <w:spacing w:after="0" w:line="7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entry into the merger agreement with Time Warner Cable whereby Time Warner Cable will become our wholly owned subsidiary; see “Time Warner Cable Merger” below for additional information</w:t>
      </w:r>
    </w:p>
    <w:p>
      <w:pPr>
        <w:spacing w:after="0" w:line="73"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entry into an agreement with Charter contemplating three transactions that would result in a net disposition of approximately 3.7 million video customers following the Time Warner Cable merger; see “Divestiture Transactions” below for additional information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spacing w:after="0" w:line="77" w:lineRule="exact"/>
        <w:rPr>
          <w:sz w:val="20"/>
          <w:szCs w:val="20"/>
          <w:color w:val="auto"/>
        </w:rPr>
      </w:pPr>
    </w:p>
    <w:p>
      <w:pPr>
        <w:ind w:left="1020" w:right="1240" w:hanging="21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5.5% to $44.1 billion and an increase in Cable Communications segment operating income before depreciation and amortization of 5.3% to $18.1 billion</w:t>
      </w:r>
    </w:p>
    <w:p>
      <w:pPr>
        <w:spacing w:after="0" w:line="73"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13.9% to $6.2 billion primarily due to our continued investment in the following initiatives:</w:t>
      </w:r>
    </w:p>
    <w:p>
      <w:pPr>
        <w:spacing w:after="0" w:line="73" w:lineRule="exact"/>
        <w:rPr>
          <w:rFonts w:ascii="Arial" w:cs="Arial" w:eastAsia="Arial" w:hAnsi="Arial"/>
          <w:sz w:val="18"/>
          <w:szCs w:val="18"/>
          <w:color w:val="auto"/>
        </w:rPr>
      </w:pPr>
    </w:p>
    <w:p>
      <w:pPr>
        <w:ind w:left="1580" w:right="1240" w:hanging="208"/>
        <w:spacing w:after="0" w:line="239" w:lineRule="auto"/>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deployment of our IP and cloud-enabled video platform, referred to as our X1 platform and the launch of our Cloud DVR technology, which is now available in over 50% of our markets</w:t>
      </w:r>
    </w:p>
    <w:p>
      <w:pPr>
        <w:spacing w:after="0" w:line="73" w:lineRule="exact"/>
        <w:rPr>
          <w:rFonts w:ascii="Arial" w:cs="Arial" w:eastAsia="Arial" w:hAnsi="Arial"/>
          <w:sz w:val="18"/>
          <w:szCs w:val="18"/>
          <w:color w:val="auto"/>
        </w:rPr>
      </w:pPr>
    </w:p>
    <w:p>
      <w:pPr>
        <w:ind w:left="1580" w:hanging="208"/>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deployment of wireless gateways in customers’ homes</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improvement of our network infrastructure to increase network capacity</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expansion of our services to small and medium-sized businesses</w:t>
      </w:r>
    </w:p>
    <w:p>
      <w:pPr>
        <w:spacing w:after="0" w:line="76" w:lineRule="exact"/>
        <w:rPr>
          <w:rFonts w:ascii="Arial" w:cs="Arial" w:eastAsia="Arial" w:hAnsi="Arial"/>
          <w:sz w:val="18"/>
          <w:szCs w:val="18"/>
          <w:color w:val="auto"/>
        </w:rPr>
      </w:pPr>
    </w:p>
    <w:p>
      <w:pPr>
        <w:ind w:left="1580" w:hanging="208"/>
        <w:spacing w:after="0"/>
        <w:tabs>
          <w:tab w:leader="none" w:pos="15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expansion of our home security and automation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Segments</w:t>
      </w:r>
    </w:p>
    <w:p>
      <w:pPr>
        <w:spacing w:after="0" w:line="77" w:lineRule="exact"/>
        <w:rPr>
          <w:sz w:val="20"/>
          <w:szCs w:val="20"/>
          <w:color w:val="auto"/>
        </w:rPr>
      </w:pPr>
    </w:p>
    <w:p>
      <w:pPr>
        <w:jc w:val="both"/>
        <w:ind w:left="1020" w:right="1240" w:hanging="215"/>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total NBCUniversal revenue of 7.5% to $25.4 billion, including $1.1 billion of revenue associated with the broadcast of the 2014 Sochi Olympics, and an increase in total NBCUniversal revenue of 2.9%, excluding the impact of the 2014 Sochi Olympics</w:t>
      </w:r>
    </w:p>
    <w:p>
      <w:pPr>
        <w:spacing w:after="0" w:line="72"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total NBCUniversal operating income before depreciation and amortization of 18.1% to $5.6 billion, including $130 million of operating income before depreciation and amortization associated with the broadcast of the 2014 Sochi Olympics, and an increase in total NBCUniversal operating income before depreciation and amortization of 15.3%, excluding the impact of the 2014 Sochi Olympics</w:t>
      </w:r>
    </w:p>
    <w:p>
      <w:pPr>
        <w:spacing w:after="0" w:line="7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agreement with the International Olympic Committee to extend NBCUniversal’s broadcast rights for the Olympic Games from 2022 through 2032</w:t>
      </w:r>
    </w:p>
    <w:p>
      <w:pPr>
        <w:spacing w:after="0" w:line="73" w:lineRule="exact"/>
        <w:rPr>
          <w:rFonts w:ascii="Arial" w:cs="Arial" w:eastAsia="Arial" w:hAnsi="Arial"/>
          <w:sz w:val="18"/>
          <w:szCs w:val="18"/>
          <w:color w:val="auto"/>
        </w:rPr>
      </w:pPr>
    </w:p>
    <w:p>
      <w:pPr>
        <w:jc w:val="both"/>
        <w:ind w:left="1020" w:right="1260" w:hanging="215"/>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continued investment in original programming and sports programming rights at both our cable networks and broadcast networks and the continued investment in new attractions at our Universal theme parks, including Orlando’s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w:t>
      </w:r>
      <w:r>
        <w:rPr>
          <w:rFonts w:ascii="Arial" w:cs="Arial" w:eastAsia="Arial" w:hAnsi="Arial"/>
          <w:sz w:val="18"/>
          <w:szCs w:val="18"/>
          <w:i w:val="1"/>
          <w:iCs w:val="1"/>
          <w:color w:val="auto"/>
        </w:rPr>
        <w:t>— Diagon Alley</w:t>
      </w:r>
      <w:r>
        <w:rPr>
          <w:rFonts w:ascii="Arial" w:cs="Arial" w:eastAsia="Arial" w:hAnsi="Arial"/>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Time Warner Cable Merger</w:t>
      </w:r>
    </w:p>
    <w:p>
      <w:pPr>
        <w:jc w:val="both"/>
        <w:spacing w:after="0" w:line="268" w:lineRule="auto"/>
        <w:rPr>
          <w:sz w:val="20"/>
          <w:szCs w:val="20"/>
          <w:color w:val="auto"/>
        </w:rPr>
      </w:pPr>
      <w:r>
        <w:rPr>
          <w:rFonts w:ascii="Arial" w:cs="Arial" w:eastAsia="Arial" w:hAnsi="Arial"/>
          <w:sz w:val="16"/>
          <w:szCs w:val="16"/>
          <w:color w:val="auto"/>
        </w:rPr>
        <w:t>On February 12, 2014, we entered into the merger agreement with Time Warner Cable. Time Warner Cable is among the largest providers of video, high-speed Internet and voice services in the United States, located mainly in five geographic areas: New York State (including New York City), the Carolinas, the Midwest (including Ohio, Kentucky and Wisconsin), Southern California (including Los Angeles) and Texas. As of December 31, 2014, Time Warner Cable had 11.0 million video customers, 12.3 million high-speed Internet customers and 5.6 million voice customers. As a result of the Time Warner Cable merger, Time Warner Cable stockholders will receive, in exchange for each share of Time Warner Cable common stock owned immediately prior to the Time Warner Cable merger, 2.875 shares of our Class A common stock. We estimate that at the time of closing, Time Warner Cable stockholders will own approximately 24% of the outstanding shares of our common stock.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w:t>
      </w:r>
    </w:p>
    <w:p>
      <w:pPr>
        <w:spacing w:after="0" w:line="30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closing date. The Time Warner Cable merger was approved by both Comcast shareholders and Time Warner Cable stockholders in October 2014. The Time Warner Cable merger remains subject to regulatory approval and other customary conditions and is expected to close in early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Divestiture Transactions</w:t>
      </w:r>
    </w:p>
    <w:p>
      <w:pPr>
        <w:jc w:val="both"/>
        <w:spacing w:after="0" w:line="235" w:lineRule="auto"/>
        <w:rPr>
          <w:sz w:val="20"/>
          <w:szCs w:val="20"/>
          <w:color w:val="auto"/>
        </w:rPr>
      </w:pPr>
      <w:r>
        <w:rPr>
          <w:rFonts w:ascii="Arial" w:cs="Arial" w:eastAsia="Arial" w:hAnsi="Arial"/>
          <w:sz w:val="18"/>
          <w:szCs w:val="18"/>
          <w:color w:val="auto"/>
        </w:rPr>
        <w:t>The terms of the merger agreement contemplated that we would divest systems serving up to approximately 3 million of our video customers following the Time Warner Cable merger in order to obtain applicable regulatory approvals. As a result of this commitment, on April 25, 2014, we entered into an agreement with Charter that, if consummated, would satisfy the divestiture undertaking. Under this agreement, following the close of the Time Warner Cable merger and subject to various conditions, we agreed to divest cable systems which would result in a net disposition of approximately 3.7 million video customers through three transactions: (1) a spin-off of certain of our existing cable systems serving approximately 2.5 million of our video customers (the “spin-off transaction”) into a newly formed public entity (“SpinCo”), (2) an exchange of certain former Time Warner Cable cable systems serving approximately 1.5 million video customers for Charter cable systems serving approximately 1.6 million video customers, and (3) a sale to Charter of certain former Time Warner Cable cable systems serving approximately 1.4 million video customers for cash (collectively, the “divestiture transactions”).</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connection with and prior to the spin-off transaction, it is expected that SpinCo would incur new debt. The debt would consist of credit facilities to fund cash distributions to us and notes which SpinCo would issue to us. These notes would enable us to complete a debt-for-debt exchange where financial institutions would exchange a portion of our debt securities for the new SpinCo notes, which would effectively retire a portion of our debt. In the spin-off transaction, we would distribute the common stock of SpinCo pro rata to the holders of all of our outstanding common stock as of the record date, which would occur following the close of the Time Warner Cable merger. After the spin-off transaction, a newly formed, wholly owned indirect subsidiary of Charter would merge with and into Charter, with the effect that all shares of Charter would be converted into shares of a new holding company, which would survive as the publicly traded parent company of Charter (“New Charter”). New Charter would then acquire an interest in SpinCo by issuing New Charter stock in exchange for a portion of the outstanding SpinCo stock, following which it is expected that Comcast shareholders would own approximately 67% of SpinCo and New Charter would own approximately 33% of SpinCo. In addition, Comcast shareholders would own New Charter stock as a result of the exchange of outstanding SpinCo stock with New Charter, although the actual number of shares would depend on a number of factors, some of which would not be determinable until the completion of the divestiture transactions. Following the close of the divestiture transactions, we would no longer have any ownership interest in SpinCo.</w:t>
      </w:r>
    </w:p>
    <w:p>
      <w:pPr>
        <w:spacing w:after="0" w:line="34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close of the divestiture transactions is subject to the completion of the Time Warner Cable merger, the SpinCo financing transactions, approval by Charter’s stockholders, regulatory approvals and other customary conditions. The Time Warner Cable merger and the divestiture transactions are subject to separate conditions, and the Time Warner Cable merger can be completed regardless of whether the divestiture transactions are ultimately completed. The closing of the divestiture transactions is expected to occur 30 to 60 days following the close of the Time Warner Cable merger.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Competition for our bundled cable services that include video, high-speed Internet and/or voices services consists primarily of direct broadcast satellite (“DBS”) providers, which have a national footprint and compete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all of our service areas, and phone companies with fiber-based networks, which overlap approximately 55% of our service areas and are continuing to expand their fiber-based networks. Our high-speed Internet services primarily compete with phone companies with fiber-based networks, which overlap approximately 60% of our service areas and also are continuing to expand their fiber-based networks. Many of these competitors offer features, pricing and packaging for these services, individually and in bundles, comparable to what we offer. In May 2014, AT&amp;T, our largest phone company competitor, announced its intention to acquire DirecTV, the nation’s largest DBS provider. If completed, this transaction will create an even larger competitor for our cable services that will have the ability to expand its cable service offerings to include bundled wireless offerings.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also continue to be new companies, some with significant financial resources, that potentially may compete on a larger scale with some or all of our cable services. For example, companies continue to emerge that provide Internet streaming and downloading of video programming, some of which charge a nominal or no fee, and Google is providing high-speed Internet and video services in a limited number of areas in which we operate and recently announced plans to expand into additional geographical areas. Moreover, wireless technology, such as 3G and 4G wireless broadband services and Wi-Fi networks, may compete with our video and high-speed Internet services, and our voice services are facing increased competition as customers replace landline phones with mobile phones and Internet-based phone services such as Skype.</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also must compete to obtain talent, programming and other resources required in operating these businesses.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Technological changes are further intensifying and complicating the competitive landscape for all of our businesses by challenging existing business models and affecting consumer behavior. Services and devices that enable online digital distribution of movies, television shows, and other cable and broadcast video programming continue to gain consumer acceptance and evolve, including some services that charge a nominal or no fee for such programming. A number of companies have announced plans to launch online video services that will reportedly involve both linear and on-demand programming, and one traditional provider of cable services has begun to offer smaller packages of programming networks directly to customers over the Internet at prices lower than our traditional cable service package offerings. These services and devices may negatively affect demand for our video services, as well as demand for content from our cable networks, broadcast television and filmed entertainment businesses, as the number of entertainment choices available to consumers increases and the challenges posed by audience fragmentation intensify and audience ratings are pressured. In addition, delayed viewing and advertising skipping have become more common as the penetration of DVRs and similar products has increased and as content has become increasingly available via video on demand services and Internet sources, which may have a negative impact on our advertising revenue.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Cable Communications segment, we believe that adding more content and delivering it through an increasing variety of platforms will assist in attracting and retaining customers for our cable services. To further enhance our video and high-speed Internet services, we continue to develop and launch new technology initiatives, such as our X1 platform and Cloud DVR technology, and deploy wireless gateway devices. In our NBCUniversal segments, to compete for consumers of our content and for customers at our theme parks, we have invested, and will continue to invest, substantial amounts in acquiring content and producing original content for our cable and broadcast television networks and our owned local broadcast television stations, including the acquisition of sports rights. We will also continue to invest in our film productions and in the development of new theme park attractions.</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additional information on the competition facing our businesses, see Item 1, Business and refer to the “Competition” discussion within that section.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Our U.S. advertising revenue is generally higher in the second and fourth quarters of each year, due in part to increases in consumer advertising in the spring and in the period leading up to and including the holiday season. U.S. advertising revenue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are cyclical as a result of our periodic broadcasts of major sporting events such as the Olympic Games, which affects our Cable Networks and Broadcast Television segments, and the Super Bowl, which affects our Broadcast Television segment. Our advertising revenue generally increases in the period of these broadcasts due to increased demand for advertising time, and our operating costs and expenses also increase as a result of our production costs and the amortization of the related rights fees.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in our Filmed Entertainment segment fluctuates due to the timing of the release of our films in movie theaters, on DVD and electronically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Broadcast Television and Filmed Entertainment segments also fluctuates due to the timing of when our owned content is made available to licensees.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 to 2014</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2012 to 2013</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8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68,775</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64,657</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w w:val="98"/>
              </w:rPr>
              <w:t>62,570</w:t>
            </w:r>
          </w:p>
        </w:tc>
        <w:tc>
          <w:tcPr>
            <w:tcW w:w="1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6.4%</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20,912</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6.3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5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19,670</w:t>
            </w:r>
          </w:p>
        </w:tc>
        <w:tc>
          <w:tcPr>
            <w:tcW w:w="220" w:type="dxa"/>
            <w:vAlign w:val="bottom"/>
          </w:tcPr>
          <w:p>
            <w:pPr>
              <w:spacing w:after="0"/>
              <w:rPr>
                <w:sz w:val="15"/>
                <w:szCs w:val="15"/>
                <w:color w:val="auto"/>
              </w:rPr>
            </w:pP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8"/>
              </w:rPr>
              <w:t>19,929</w:t>
            </w:r>
          </w:p>
        </w:tc>
        <w:tc>
          <w:tcPr>
            <w:tcW w:w="1120" w:type="dxa"/>
            <w:vAlign w:val="bottom"/>
            <w:vMerge w:val="continue"/>
          </w:tcPr>
          <w:p>
            <w:pPr>
              <w:spacing w:after="0"/>
              <w:rPr>
                <w:sz w:val="15"/>
                <w:szCs w:val="15"/>
                <w:color w:val="auto"/>
              </w:rPr>
            </w:pPr>
          </w:p>
        </w:tc>
        <w:tc>
          <w:tcPr>
            <w:tcW w:w="1080" w:type="dxa"/>
            <w:vAlign w:val="bottom"/>
          </w:tcPr>
          <w:p>
            <w:pPr>
              <w:jc w:val="right"/>
              <w:ind w:right="75"/>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19,862</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18,584</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8"/>
              </w:rPr>
              <w:t>17,833</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6.9</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5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5,078</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4,969</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4,831</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2.2</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6,337</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6,254</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6,150</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1.3</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1,682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1,617</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1,648</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4.1</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10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14,904</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13,563</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12,179</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9.9</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income (expense) items, net</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(0.4)</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77"/>
        </w:trPr>
        <w:tc>
          <w:tcPr>
            <w:tcW w:w="612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58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12,465</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11,115</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11,609</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12.2</w:t>
            </w:r>
          </w:p>
        </w:tc>
        <w:tc>
          <w:tcPr>
            <w:tcW w:w="1080" w:type="dxa"/>
            <w:vAlign w:val="bottom"/>
          </w:tcPr>
          <w:p>
            <w:pPr>
              <w:jc w:val="right"/>
              <w:ind w:right="75"/>
              <w:spacing w:after="0" w:line="177"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(2.7)</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line="200" w:lineRule="exact"/>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7"/>
                <w:szCs w:val="17"/>
                <w:color w:val="auto"/>
              </w:rPr>
            </w:pP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8,592</w:t>
            </w:r>
          </w:p>
        </w:tc>
        <w:tc>
          <w:tcPr>
            <w:tcW w:w="200" w:type="dxa"/>
            <w:vAlign w:val="bottom"/>
          </w:tcPr>
          <w:p>
            <w:pPr>
              <w:spacing w:after="0"/>
              <w:rPr>
                <w:sz w:val="17"/>
                <w:szCs w:val="17"/>
                <w:color w:val="auto"/>
              </w:rPr>
            </w:pP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7,135</w:t>
            </w:r>
          </w:p>
        </w:tc>
        <w:tc>
          <w:tcPr>
            <w:tcW w:w="220" w:type="dxa"/>
            <w:vAlign w:val="bottom"/>
          </w:tcPr>
          <w:p>
            <w:pPr>
              <w:spacing w:after="0"/>
              <w:rPr>
                <w:sz w:val="17"/>
                <w:szCs w:val="17"/>
                <w:color w:val="auto"/>
              </w:rPr>
            </w:pP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7,865</w:t>
            </w:r>
          </w:p>
        </w:tc>
        <w:tc>
          <w:tcPr>
            <w:tcW w:w="1120" w:type="dxa"/>
            <w:vAlign w:val="bottom"/>
          </w:tcPr>
          <w:p>
            <w:pPr>
              <w:jc w:val="right"/>
              <w:ind w:right="155"/>
              <w:spacing w:after="0" w:line="200" w:lineRule="exact"/>
              <w:rPr>
                <w:sz w:val="20"/>
                <w:szCs w:val="20"/>
                <w:color w:val="auto"/>
              </w:rPr>
            </w:pPr>
            <w:r>
              <w:rPr>
                <w:rFonts w:ascii="Arial" w:cs="Arial" w:eastAsia="Arial" w:hAnsi="Arial"/>
                <w:sz w:val="18"/>
                <w:szCs w:val="18"/>
                <w:b w:val="1"/>
                <w:bCs w:val="1"/>
                <w:color w:val="auto"/>
              </w:rPr>
              <w:t>20.4</w:t>
            </w:r>
          </w:p>
        </w:tc>
        <w:tc>
          <w:tcPr>
            <w:tcW w:w="1080" w:type="dxa"/>
            <w:vAlign w:val="bottom"/>
          </w:tcPr>
          <w:p>
            <w:pPr>
              <w:jc w:val="right"/>
              <w:ind w:right="75"/>
              <w:spacing w:after="0" w:line="20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w:t>
            </w:r>
          </w:p>
        </w:tc>
        <w:tc>
          <w:tcPr>
            <w:tcW w:w="5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(212)</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(33.3)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subsidiary preferred stock</w:t>
            </w: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c>
          <w:tcPr>
            <w:tcW w:w="1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61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8,380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6,816</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6,203</w:t>
            </w:r>
          </w:p>
        </w:tc>
        <w:tc>
          <w:tcPr>
            <w:tcW w:w="11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22.9%</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2014 Consolidated Operating Results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41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illustrates the increase in revenue by our Cable Communications and 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123825</wp:posOffset>
            </wp:positionV>
            <wp:extent cx="4244975" cy="2195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4497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Consolidated revenue in 2014 includes $1.1 billion of revenue associated with our broadcast of the 2014 Sochi Olympics and consolidated 2012 revenue includes $1.4 billion of revenue associated with our broadcasts of the 2012 Super Bowl and the 2012 London Olympics, all of which are included in the NBCUniversal segments.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under the heading “Corporate and Other Results of Operations.”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graph illustrates the increase in consolidated costs and expenses, excluding depreciation and amortization (“operating costs and expenses”) by our Cable Communications and 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96520</wp:posOffset>
            </wp:positionV>
            <wp:extent cx="4253865" cy="2212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5386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2014, our consolidated operating costs and expenses included transaction-related costs associated with the Time Warner Cable merger and the Charter divestiture transactions of $237 million, which is included in Corporate and Other, and operating costs and expenses associated with our broadcast of the 2014 Sochi Olympics, which is included in the NBCUniversal segments. The decrease in operating costs and expenses in our NBCUniversal segments in 2013 was primarily due to operating costs and expenses recorded in 2012 attributable to our broadcasts of the 2012 Super Bowl and the 2012 London Olympics.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Operating costs and expenses for our segments is discussed separately below under the heading “Segment Operating Results.” Operating costs and expenses for our other businesses is discussed separately below under the heading “Corporate and Other Results of Operations.”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Consolidated depreciation and amortization increased slightly in 2014 primarily due to increases in capital spending in our Cable Communications and NBCUniversal segments, as well as increases related to our acquisitions in 2013 of our corporate headquarters and real estate properties by NBCUniversal. Consolidated depreciation and amortization increased slightly in 2013 primarily due to increases in capital spending in our Cable Communications and Theme Parks segments, as well as depreciation associated with the acquisition of real estate properties by NBCUniversal in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18 to Comcast’s consolidated financial statements and Note 17 to NBCUniversal’s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Beginning in 2014, Fandango, our movie ticketing and entertainment business that was previously presented in our Cable Networks segment, is presented in the Filmed Entertainment segment to reflect the change in our management reporting presentation. Due to immateriality, prior period amounts have not been adjusted.</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revenue and operating costs and expenses associated with our broadcast of the 2014 Sochi Olympics were reported in our Cable Networks and Broadcast Television segments. The revenue and operating costs and expenses associated with our broadcasts of the 2012 London Olympics and the 2012 Super Bowl were reported in our Broadcast Television segment.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929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 from</w:t>
            </w:r>
          </w:p>
        </w:tc>
        <w:tc>
          <w:tcPr>
            <w:tcW w:w="1220" w:type="dxa"/>
            <w:vAlign w:val="bottom"/>
          </w:tcPr>
          <w:p>
            <w:pPr>
              <w:jc w:val="right"/>
              <w:ind w:right="135"/>
              <w:spacing w:after="0"/>
              <w:rPr>
                <w:sz w:val="20"/>
                <w:szCs w:val="20"/>
                <w:color w:val="auto"/>
              </w:rPr>
            </w:pPr>
            <w:r>
              <w:rPr>
                <w:rFonts w:ascii="Arial" w:cs="Arial" w:eastAsia="Arial" w:hAnsi="Arial"/>
                <w:sz w:val="14"/>
                <w:szCs w:val="14"/>
                <w:color w:val="auto"/>
              </w:rPr>
              <w:t>% Change from</w:t>
            </w:r>
          </w:p>
        </w:tc>
        <w:tc>
          <w:tcPr>
            <w:tcW w:w="0" w:type="dxa"/>
            <w:vAlign w:val="bottom"/>
          </w:tcPr>
          <w:p>
            <w:pPr>
              <w:spacing w:after="0"/>
              <w:rPr>
                <w:sz w:val="1"/>
                <w:szCs w:val="1"/>
                <w:color w:val="auto"/>
              </w:rPr>
            </w:pPr>
          </w:p>
        </w:tc>
      </w:tr>
      <w:tr>
        <w:trPr>
          <w:trHeight w:val="165"/>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 to 2014</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2012 to 2013</w:t>
            </w:r>
          </w:p>
        </w:tc>
        <w:tc>
          <w:tcPr>
            <w:tcW w:w="0" w:type="dxa"/>
            <w:vAlign w:val="bottom"/>
          </w:tcPr>
          <w:p>
            <w:pPr>
              <w:spacing w:after="0"/>
              <w:rPr>
                <w:sz w:val="1"/>
                <w:szCs w:val="1"/>
                <w:color w:val="auto"/>
              </w:rPr>
            </w:pPr>
          </w:p>
        </w:tc>
      </w:tr>
      <w:tr>
        <w:trPr>
          <w:trHeight w:val="199"/>
        </w:trPr>
        <w:tc>
          <w:tcPr>
            <w:tcW w:w="54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16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$ 20,783</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Pr>
          <w:p>
            <w:pPr>
              <w:ind w:left="420"/>
              <w:spacing w:after="0" w:line="181" w:lineRule="exact"/>
              <w:rPr>
                <w:sz w:val="20"/>
                <w:szCs w:val="20"/>
                <w:color w:val="auto"/>
              </w:rPr>
            </w:pPr>
            <w:r>
              <w:rPr>
                <w:rFonts w:ascii="Arial" w:cs="Arial" w:eastAsia="Arial" w:hAnsi="Arial"/>
                <w:sz w:val="18"/>
                <w:szCs w:val="18"/>
                <w:color w:val="auto"/>
              </w:rPr>
              <w:t>Video</w:t>
            </w:r>
          </w:p>
        </w:tc>
        <w:tc>
          <w:tcPr>
            <w:tcW w:w="1620" w:type="dxa"/>
            <w:vAlign w:val="bottom"/>
            <w:vMerge w:val="continue"/>
          </w:tcPr>
          <w:p>
            <w:pPr>
              <w:spacing w:after="0"/>
              <w:rPr>
                <w:sz w:val="15"/>
                <w:szCs w:val="15"/>
                <w:color w:val="auto"/>
              </w:rPr>
            </w:pPr>
          </w:p>
        </w:tc>
        <w:tc>
          <w:tcPr>
            <w:tcW w:w="9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$ 20,535</w:t>
            </w:r>
          </w:p>
        </w:tc>
        <w:tc>
          <w:tcPr>
            <w:tcW w:w="9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$ 19,952</w:t>
            </w:r>
          </w:p>
        </w:tc>
        <w:tc>
          <w:tcPr>
            <w:tcW w:w="1340" w:type="dxa"/>
            <w:vAlign w:val="bottom"/>
            <w:vMerge w:val="continue"/>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High-speed Internet</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11,321</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10,334</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9,544</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9.5</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420"/>
              <w:spacing w:after="0" w:line="202" w:lineRule="exact"/>
              <w:rPr>
                <w:sz w:val="20"/>
                <w:szCs w:val="20"/>
                <w:color w:val="auto"/>
              </w:rPr>
            </w:pPr>
            <w:r>
              <w:rPr>
                <w:rFonts w:ascii="Arial" w:cs="Arial" w:eastAsia="Arial" w:hAnsi="Arial"/>
                <w:sz w:val="18"/>
                <w:szCs w:val="18"/>
                <w:color w:val="auto"/>
              </w:rPr>
              <w:t>Voice</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3,671</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3,657</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3,557</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0.4</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Business services</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3,951</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3,241</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2,565</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21.9</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2,442</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2,189</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2,284</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11.5</w:t>
            </w:r>
          </w:p>
        </w:tc>
        <w:tc>
          <w:tcPr>
            <w:tcW w:w="12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1,972</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1,880</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1,702</w:t>
            </w: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4.9</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4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620" w:type="dxa"/>
            <w:vAlign w:val="bottom"/>
          </w:tcPr>
          <w:p>
            <w:pPr>
              <w:jc w:val="right"/>
              <w:ind w:right="33"/>
              <w:spacing w:after="0" w:line="177" w:lineRule="exact"/>
              <w:rPr>
                <w:sz w:val="20"/>
                <w:szCs w:val="20"/>
                <w:color w:val="auto"/>
              </w:rPr>
            </w:pPr>
            <w:r>
              <w:rPr>
                <w:rFonts w:ascii="Arial" w:cs="Arial" w:eastAsia="Arial" w:hAnsi="Arial"/>
                <w:sz w:val="18"/>
                <w:szCs w:val="18"/>
                <w:b w:val="1"/>
                <w:bCs w:val="1"/>
                <w:color w:val="auto"/>
              </w:rPr>
              <w:t>44,140</w:t>
            </w:r>
          </w:p>
        </w:tc>
        <w:tc>
          <w:tcPr>
            <w:tcW w:w="90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41,836</w:t>
            </w:r>
          </w:p>
        </w:tc>
        <w:tc>
          <w:tcPr>
            <w:tcW w:w="90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39,604</w:t>
            </w:r>
          </w:p>
        </w:tc>
        <w:tc>
          <w:tcPr>
            <w:tcW w:w="134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5.5</w:t>
            </w:r>
          </w:p>
        </w:tc>
        <w:tc>
          <w:tcPr>
            <w:tcW w:w="122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5"/>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6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9,819</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7.8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Pr>
          <w:p>
            <w:pPr>
              <w:ind w:left="200"/>
              <w:spacing w:after="0" w:line="181" w:lineRule="exact"/>
              <w:rPr>
                <w:sz w:val="20"/>
                <w:szCs w:val="20"/>
                <w:color w:val="auto"/>
              </w:rPr>
            </w:pPr>
            <w:r>
              <w:rPr>
                <w:rFonts w:ascii="Arial" w:cs="Arial" w:eastAsia="Arial" w:hAnsi="Arial"/>
                <w:sz w:val="18"/>
                <w:szCs w:val="18"/>
                <w:color w:val="auto"/>
              </w:rPr>
              <w:t>Programming</w:t>
            </w:r>
          </w:p>
        </w:tc>
        <w:tc>
          <w:tcPr>
            <w:tcW w:w="1620" w:type="dxa"/>
            <w:vAlign w:val="bottom"/>
            <w:vMerge w:val="continue"/>
          </w:tcPr>
          <w:p>
            <w:pPr>
              <w:spacing w:after="0"/>
              <w:rPr>
                <w:sz w:val="15"/>
                <w:szCs w:val="15"/>
                <w:color w:val="auto"/>
              </w:rPr>
            </w:pPr>
          </w:p>
        </w:tc>
        <w:tc>
          <w:tcPr>
            <w:tcW w:w="9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9,107</w:t>
            </w:r>
          </w:p>
        </w:tc>
        <w:tc>
          <w:tcPr>
            <w:tcW w:w="9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8,386</w:t>
            </w:r>
          </w:p>
        </w:tc>
        <w:tc>
          <w:tcPr>
            <w:tcW w:w="1340" w:type="dxa"/>
            <w:vAlign w:val="bottom"/>
            <w:vMerge w:val="continue"/>
          </w:tcPr>
          <w:p>
            <w:pPr>
              <w:spacing w:after="0"/>
              <w:rPr>
                <w:sz w:val="15"/>
                <w:szCs w:val="15"/>
                <w:color w:val="auto"/>
              </w:rPr>
            </w:pPr>
          </w:p>
        </w:tc>
        <w:tc>
          <w:tcPr>
            <w:tcW w:w="122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Technical and product support</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5,517</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5,349</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5,187</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3.1</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Customer service</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2,205</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2,097</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1,995</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5.2</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Franchise and other regulatory fees</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1,296</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1,246</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1,176</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4.0</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16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3,075</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2,896</w:t>
            </w: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2,731</w:t>
            </w:r>
          </w:p>
        </w:tc>
        <w:tc>
          <w:tcPr>
            <w:tcW w:w="134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6.2</w:t>
            </w:r>
          </w:p>
        </w:tc>
        <w:tc>
          <w:tcPr>
            <w:tcW w:w="12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4,116</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3,936</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3,874</w:t>
            </w:r>
          </w:p>
        </w:tc>
        <w:tc>
          <w:tcPr>
            <w:tcW w:w="1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4.6</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26,028</w:t>
            </w:r>
          </w:p>
        </w:tc>
        <w:tc>
          <w:tcPr>
            <w:tcW w:w="9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24,631</w:t>
            </w:r>
          </w:p>
        </w:tc>
        <w:tc>
          <w:tcPr>
            <w:tcW w:w="9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23,349</w:t>
            </w:r>
          </w:p>
        </w:tc>
        <w:tc>
          <w:tcPr>
            <w:tcW w:w="1340" w:type="dxa"/>
            <w:vAlign w:val="bottom"/>
            <w:tcBorders>
              <w:bottom w:val="single" w:sz="8" w:color="auto"/>
            </w:tcBorders>
          </w:tcPr>
          <w:p>
            <w:pPr>
              <w:jc w:val="right"/>
              <w:ind w:right="155"/>
              <w:spacing w:after="0" w:line="196" w:lineRule="exact"/>
              <w:rPr>
                <w:sz w:val="20"/>
                <w:szCs w:val="20"/>
                <w:color w:val="auto"/>
              </w:rPr>
            </w:pPr>
            <w:r>
              <w:rPr>
                <w:rFonts w:ascii="Arial" w:cs="Arial" w:eastAsia="Arial" w:hAnsi="Arial"/>
                <w:sz w:val="18"/>
                <w:szCs w:val="18"/>
                <w:b w:val="1"/>
                <w:bCs w:val="1"/>
                <w:color w:val="auto"/>
              </w:rPr>
              <w:t>5.7</w:t>
            </w:r>
          </w:p>
        </w:tc>
        <w:tc>
          <w:tcPr>
            <w:tcW w:w="1220" w:type="dxa"/>
            <w:vAlign w:val="bottom"/>
            <w:tcBorders>
              <w:bottom w:val="single" w:sz="8" w:color="auto"/>
            </w:tcBorders>
          </w:tcPr>
          <w:p>
            <w:pPr>
              <w:jc w:val="right"/>
              <w:ind w:right="135"/>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62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$ 18,112</w:t>
            </w:r>
          </w:p>
        </w:tc>
        <w:tc>
          <w:tcPr>
            <w:tcW w:w="9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$ 17,205</w:t>
            </w:r>
          </w:p>
        </w:tc>
        <w:tc>
          <w:tcPr>
            <w:tcW w:w="9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$ 16,255</w:t>
            </w:r>
          </w:p>
        </w:tc>
        <w:tc>
          <w:tcPr>
            <w:tcW w:w="13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5.3%</w:t>
            </w:r>
          </w:p>
        </w:tc>
        <w:tc>
          <w:tcPr>
            <w:tcW w:w="1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Beginning in 2014, our Cable Communications segment revised the methodology it uses for counting and reporting customers who reside in multiple dwelling units (“MDUs”) and are billed under bulk contracts (the “billable customers method”). For MDUs whose residents have the ability to receive additional cable services, such as additional programming choices or our HD or DVR advanced services, we now count and report customers based on the number of potential billable relationships within each MDU. For MDUs whose residents are not able to receive additional cable services, the MDU is now counted as a single customer. Previously, we had counted and reported these customers on an equivalent billing unit basis by dividing monthly revenue received under an MDU’s bulk contract by the standard monthly residential rate where the MDU was located (the “EBU method”). We believe the billable customers method is consistent with the methodology used by other companies in our industry to count and report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C6DFF"/>
        </w:rPr>
        <w:t>Customer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Arial" w:cs="Arial" w:eastAsia="Arial" w:hAnsi="Arial"/>
                <w:sz w:val="14"/>
                <w:szCs w:val="14"/>
                <w:color w:val="auto"/>
              </w:rPr>
              <w:t>December 31 (in thousands)</w:t>
            </w: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95"/>
              </w:rPr>
              <w:t>Total Customers</w:t>
            </w:r>
          </w:p>
        </w:tc>
        <w:tc>
          <w:tcPr>
            <w:tcW w:w="7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color w:val="auto"/>
              </w:rPr>
              <w:t>Net Additional Customers</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1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2013</w:t>
            </w:r>
          </w:p>
        </w:tc>
        <w:tc>
          <w:tcPr>
            <w:tcW w:w="7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2012</w:t>
            </w:r>
          </w:p>
        </w:tc>
        <w:tc>
          <w:tcPr>
            <w:tcW w:w="7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1"/>
                <w:szCs w:val="11"/>
                <w:color w:val="auto"/>
              </w:rPr>
              <w:t>2013</w:t>
            </w:r>
            <w:r>
              <w:rPr>
                <w:rFonts w:ascii="Arial" w:cs="Arial" w:eastAsia="Arial" w:hAnsi="Arial"/>
                <w:sz w:val="16"/>
                <w:szCs w:val="16"/>
                <w:color w:val="auto"/>
                <w:vertAlign w:val="superscript"/>
              </w:rPr>
              <w:t>(a)</w:t>
            </w:r>
          </w:p>
        </w:tc>
        <w:tc>
          <w:tcPr>
            <w:tcW w:w="66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1"/>
                <w:szCs w:val="11"/>
                <w:color w:val="auto"/>
              </w:rPr>
              <w:t>2012</w:t>
            </w:r>
            <w:r>
              <w:rPr>
                <w:rFonts w:ascii="Arial" w:cs="Arial" w:eastAsia="Arial" w:hAnsi="Arial"/>
                <w:sz w:val="16"/>
                <w:szCs w:val="16"/>
                <w:color w:val="auto"/>
                <w:vertAlign w:val="superscript"/>
              </w:rPr>
              <w:t>(a)</w:t>
            </w:r>
          </w:p>
        </w:tc>
        <w:tc>
          <w:tcPr>
            <w:tcW w:w="0" w:type="dxa"/>
            <w:vAlign w:val="bottom"/>
          </w:tcPr>
          <w:p>
            <w:pPr>
              <w:spacing w:after="0"/>
              <w:rPr>
                <w:sz w:val="1"/>
                <w:szCs w:val="1"/>
                <w:color w:val="auto"/>
              </w:rPr>
            </w:pPr>
          </w:p>
        </w:tc>
      </w:tr>
      <w:tr>
        <w:trPr>
          <w:trHeight w:val="177"/>
        </w:trPr>
        <w:tc>
          <w:tcPr>
            <w:tcW w:w="6620" w:type="dxa"/>
            <w:vAlign w:val="bottom"/>
          </w:tcPr>
          <w:p>
            <w:pPr>
              <w:spacing w:after="0" w:line="177" w:lineRule="exact"/>
              <w:rPr>
                <w:sz w:val="20"/>
                <w:szCs w:val="20"/>
                <w:color w:val="auto"/>
              </w:rPr>
            </w:pPr>
            <w:r>
              <w:rPr>
                <w:rFonts w:ascii="Arial" w:cs="Arial" w:eastAsia="Arial" w:hAnsi="Arial"/>
                <w:sz w:val="18"/>
                <w:szCs w:val="18"/>
                <w:color w:val="auto"/>
              </w:rPr>
              <w:t>Total customer relationships</w:t>
            </w:r>
            <w:r>
              <w:rPr>
                <w:rFonts w:ascii="Arial" w:cs="Arial" w:eastAsia="Arial" w:hAnsi="Arial"/>
                <w:sz w:val="11"/>
                <w:szCs w:val="11"/>
                <w:color w:val="auto"/>
              </w:rPr>
              <w:t>(b)</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27,035</w:t>
            </w:r>
          </w:p>
        </w:tc>
        <w:tc>
          <w:tcPr>
            <w:tcW w:w="1100" w:type="dxa"/>
            <w:vAlign w:val="bottom"/>
          </w:tcPr>
          <w:p>
            <w:pPr>
              <w:jc w:val="right"/>
              <w:ind w:right="96"/>
              <w:spacing w:after="0" w:line="177" w:lineRule="exact"/>
              <w:rPr>
                <w:sz w:val="20"/>
                <w:szCs w:val="20"/>
                <w:color w:val="auto"/>
              </w:rPr>
            </w:pPr>
            <w:r>
              <w:rPr>
                <w:rFonts w:ascii="Arial" w:cs="Arial" w:eastAsia="Arial" w:hAnsi="Arial"/>
                <w:sz w:val="18"/>
                <w:szCs w:val="18"/>
                <w:color w:val="auto"/>
              </w:rPr>
              <w:t>26,677</w:t>
            </w:r>
          </w:p>
        </w:tc>
        <w:tc>
          <w:tcPr>
            <w:tcW w:w="76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26,462</w:t>
            </w:r>
          </w:p>
        </w:tc>
        <w:tc>
          <w:tcPr>
            <w:tcW w:w="740" w:type="dxa"/>
            <w:vAlign w:val="bottom"/>
          </w:tcPr>
          <w:p>
            <w:pPr>
              <w:jc w:val="right"/>
              <w:ind w:right="77"/>
              <w:spacing w:after="0" w:line="177" w:lineRule="exact"/>
              <w:rPr>
                <w:sz w:val="20"/>
                <w:szCs w:val="20"/>
                <w:color w:val="auto"/>
              </w:rPr>
            </w:pPr>
            <w:r>
              <w:rPr>
                <w:rFonts w:ascii="Arial" w:cs="Arial" w:eastAsia="Arial" w:hAnsi="Arial"/>
                <w:sz w:val="18"/>
                <w:szCs w:val="18"/>
                <w:b w:val="1"/>
                <w:bCs w:val="1"/>
                <w:color w:val="auto"/>
              </w:rPr>
              <w:t>358</w:t>
            </w:r>
          </w:p>
        </w:tc>
        <w:tc>
          <w:tcPr>
            <w:tcW w:w="720" w:type="dxa"/>
            <w:vAlign w:val="bottom"/>
          </w:tcPr>
          <w:p>
            <w:pPr>
              <w:jc w:val="right"/>
              <w:ind w:right="76"/>
              <w:spacing w:after="0" w:line="177" w:lineRule="exact"/>
              <w:rPr>
                <w:sz w:val="20"/>
                <w:szCs w:val="20"/>
                <w:color w:val="auto"/>
              </w:rPr>
            </w:pPr>
            <w:r>
              <w:rPr>
                <w:rFonts w:ascii="Arial" w:cs="Arial" w:eastAsia="Arial" w:hAnsi="Arial"/>
                <w:sz w:val="18"/>
                <w:szCs w:val="18"/>
                <w:color w:val="auto"/>
              </w:rPr>
              <w:t>215</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Single product customers</w:t>
            </w:r>
            <w:r>
              <w:rPr>
                <w:rFonts w:ascii="Arial" w:cs="Arial" w:eastAsia="Arial" w:hAnsi="Arial"/>
                <w:sz w:val="11"/>
                <w:szCs w:val="11"/>
                <w:color w:val="auto"/>
              </w:rPr>
              <w:t>(b)</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8,409</w:t>
            </w:r>
          </w:p>
        </w:tc>
        <w:tc>
          <w:tcPr>
            <w:tcW w:w="11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8,752</w:t>
            </w: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9,346</w:t>
            </w:r>
          </w:p>
        </w:tc>
        <w:tc>
          <w:tcPr>
            <w:tcW w:w="74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(343)</w:t>
            </w:r>
          </w:p>
        </w:tc>
        <w:tc>
          <w:tcPr>
            <w:tcW w:w="7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(593)</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Double product customers</w:t>
            </w:r>
            <w:r>
              <w:rPr>
                <w:rFonts w:ascii="Arial" w:cs="Arial" w:eastAsia="Arial" w:hAnsi="Arial"/>
                <w:sz w:val="11"/>
                <w:szCs w:val="11"/>
                <w:color w:val="auto"/>
              </w:rPr>
              <w:t>(b)</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8,750</w:t>
            </w:r>
          </w:p>
        </w:tc>
        <w:tc>
          <w:tcPr>
            <w:tcW w:w="11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8,541</w:t>
            </w: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8,507</w:t>
            </w:r>
          </w:p>
        </w:tc>
        <w:tc>
          <w:tcPr>
            <w:tcW w:w="740" w:type="dxa"/>
            <w:vAlign w:val="bottom"/>
          </w:tcPr>
          <w:p>
            <w:pPr>
              <w:jc w:val="right"/>
              <w:ind w:right="77"/>
              <w:spacing w:after="0" w:line="202" w:lineRule="exact"/>
              <w:rPr>
                <w:sz w:val="20"/>
                <w:szCs w:val="20"/>
                <w:color w:val="auto"/>
              </w:rPr>
            </w:pPr>
            <w:r>
              <w:rPr>
                <w:rFonts w:ascii="Arial" w:cs="Arial" w:eastAsia="Arial" w:hAnsi="Arial"/>
                <w:sz w:val="18"/>
                <w:szCs w:val="18"/>
                <w:b w:val="1"/>
                <w:bCs w:val="1"/>
                <w:color w:val="auto"/>
              </w:rPr>
              <w:t>209</w:t>
            </w:r>
          </w:p>
        </w:tc>
        <w:tc>
          <w:tcPr>
            <w:tcW w:w="7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34</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220"/>
              <w:spacing w:after="0"/>
              <w:rPr>
                <w:sz w:val="20"/>
                <w:szCs w:val="20"/>
                <w:color w:val="auto"/>
              </w:rPr>
            </w:pPr>
            <w:r>
              <w:rPr>
                <w:rFonts w:ascii="Arial" w:cs="Arial" w:eastAsia="Arial" w:hAnsi="Arial"/>
                <w:sz w:val="18"/>
                <w:szCs w:val="18"/>
                <w:color w:val="auto"/>
              </w:rPr>
              <w:t>Triple product customers</w:t>
            </w:r>
            <w:r>
              <w:rPr>
                <w:rFonts w:ascii="Arial" w:cs="Arial" w:eastAsia="Arial" w:hAnsi="Arial"/>
                <w:sz w:val="11"/>
                <w:szCs w:val="11"/>
                <w:color w:val="auto"/>
              </w:rPr>
              <w:t>(b)</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9,876</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9,384</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8,610</w:t>
            </w:r>
          </w:p>
        </w:tc>
        <w:tc>
          <w:tcPr>
            <w:tcW w:w="740" w:type="dxa"/>
            <w:vAlign w:val="bottom"/>
          </w:tcPr>
          <w:p>
            <w:pPr>
              <w:jc w:val="right"/>
              <w:ind w:right="77"/>
              <w:spacing w:after="0"/>
              <w:rPr>
                <w:sz w:val="20"/>
                <w:szCs w:val="20"/>
                <w:color w:val="auto"/>
              </w:rPr>
            </w:pPr>
            <w:r>
              <w:rPr>
                <w:rFonts w:ascii="Arial" w:cs="Arial" w:eastAsia="Arial" w:hAnsi="Arial"/>
                <w:sz w:val="18"/>
                <w:szCs w:val="18"/>
                <w:b w:val="1"/>
                <w:bCs w:val="1"/>
                <w:color w:val="auto"/>
              </w:rPr>
              <w:t>492</w:t>
            </w: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774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Video customers:</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22,383</w:t>
            </w: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(194)</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Billable customers method</w:t>
            </w:r>
          </w:p>
        </w:tc>
        <w:tc>
          <w:tcPr>
            <w:tcW w:w="820" w:type="dxa"/>
            <w:vAlign w:val="bottom"/>
            <w:vMerge w:val="continue"/>
          </w:tcPr>
          <w:p>
            <w:pPr>
              <w:spacing w:after="0"/>
              <w:rPr>
                <w:sz w:val="17"/>
                <w:szCs w:val="17"/>
                <w:color w:val="auto"/>
              </w:rPr>
            </w:pPr>
          </w:p>
        </w:tc>
        <w:tc>
          <w:tcPr>
            <w:tcW w:w="11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22,577</w:t>
            </w: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22,844</w:t>
            </w:r>
          </w:p>
        </w:tc>
        <w:tc>
          <w:tcPr>
            <w:tcW w:w="740" w:type="dxa"/>
            <w:vAlign w:val="bottom"/>
            <w:vMerge w:val="continue"/>
          </w:tcPr>
          <w:p>
            <w:pPr>
              <w:spacing w:after="0"/>
              <w:rPr>
                <w:sz w:val="17"/>
                <w:szCs w:val="17"/>
                <w:color w:val="auto"/>
              </w:rPr>
            </w:pPr>
          </w:p>
        </w:tc>
        <w:tc>
          <w:tcPr>
            <w:tcW w:w="7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(267)</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EBU method</w:t>
            </w:r>
            <w:r>
              <w:rPr>
                <w:rFonts w:ascii="Arial" w:cs="Arial" w:eastAsia="Arial" w:hAnsi="Arial"/>
                <w:sz w:val="11"/>
                <w:szCs w:val="11"/>
                <w:color w:val="auto"/>
              </w:rPr>
              <w:t>(c)</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21,962</w:t>
            </w:r>
          </w:p>
        </w:tc>
        <w:tc>
          <w:tcPr>
            <w:tcW w:w="11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21,690</w:t>
            </w:r>
          </w:p>
        </w:tc>
        <w:tc>
          <w:tcPr>
            <w:tcW w:w="7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21,995</w:t>
            </w:r>
          </w:p>
        </w:tc>
        <w:tc>
          <w:tcPr>
            <w:tcW w:w="7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1,277</w:t>
            </w:r>
          </w:p>
        </w:tc>
        <w:tc>
          <w:tcPr>
            <w:tcW w:w="7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(305)</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81"/>
        </w:trPr>
        <w:tc>
          <w:tcPr>
            <w:tcW w:w="6620" w:type="dxa"/>
            <w:vAlign w:val="bottom"/>
          </w:tcPr>
          <w:p>
            <w:pPr>
              <w:spacing w:after="0" w:line="181" w:lineRule="exact"/>
              <w:rPr>
                <w:sz w:val="20"/>
                <w:szCs w:val="20"/>
                <w:color w:val="auto"/>
              </w:rPr>
            </w:pPr>
            <w:r>
              <w:rPr>
                <w:rFonts w:ascii="Arial" w:cs="Arial" w:eastAsia="Arial" w:hAnsi="Arial"/>
                <w:sz w:val="18"/>
                <w:szCs w:val="18"/>
                <w:color w:val="auto"/>
              </w:rPr>
              <w:t>High-speed Internet customers</w:t>
            </w:r>
            <w:r>
              <w:rPr>
                <w:rFonts w:ascii="Arial" w:cs="Arial" w:eastAsia="Arial" w:hAnsi="Arial"/>
                <w:sz w:val="11"/>
                <w:szCs w:val="11"/>
                <w:color w:val="auto"/>
              </w:rPr>
              <w:t>(d)</w:t>
            </w:r>
          </w:p>
        </w:tc>
        <w:tc>
          <w:tcPr>
            <w:tcW w:w="820" w:type="dxa"/>
            <w:vAlign w:val="bottom"/>
            <w:vMerge w:val="continue"/>
          </w:tcPr>
          <w:p>
            <w:pPr>
              <w:spacing w:after="0"/>
              <w:rPr>
                <w:sz w:val="15"/>
                <w:szCs w:val="15"/>
                <w:color w:val="auto"/>
              </w:rPr>
            </w:pPr>
          </w:p>
        </w:tc>
        <w:tc>
          <w:tcPr>
            <w:tcW w:w="1100" w:type="dxa"/>
            <w:vAlign w:val="bottom"/>
          </w:tcPr>
          <w:p>
            <w:pPr>
              <w:jc w:val="right"/>
              <w:ind w:right="96"/>
              <w:spacing w:after="0" w:line="181" w:lineRule="exact"/>
              <w:rPr>
                <w:sz w:val="20"/>
                <w:szCs w:val="20"/>
                <w:color w:val="auto"/>
              </w:rPr>
            </w:pPr>
            <w:r>
              <w:rPr>
                <w:rFonts w:ascii="Arial" w:cs="Arial" w:eastAsia="Arial" w:hAnsi="Arial"/>
                <w:sz w:val="18"/>
                <w:szCs w:val="18"/>
                <w:color w:val="auto"/>
              </w:rPr>
              <w:t>20,685</w:t>
            </w:r>
          </w:p>
        </w:tc>
        <w:tc>
          <w:tcPr>
            <w:tcW w:w="760" w:type="dxa"/>
            <w:vAlign w:val="bottom"/>
          </w:tcPr>
          <w:p>
            <w:pPr>
              <w:jc w:val="right"/>
              <w:ind w:right="54"/>
              <w:spacing w:after="0" w:line="181" w:lineRule="exact"/>
              <w:rPr>
                <w:sz w:val="20"/>
                <w:szCs w:val="20"/>
                <w:color w:val="auto"/>
              </w:rPr>
            </w:pPr>
            <w:r>
              <w:rPr>
                <w:rFonts w:ascii="Arial" w:cs="Arial" w:eastAsia="Arial" w:hAnsi="Arial"/>
                <w:sz w:val="18"/>
                <w:szCs w:val="18"/>
                <w:color w:val="auto"/>
              </w:rPr>
              <w:t>19,367</w:t>
            </w:r>
          </w:p>
        </w:tc>
        <w:tc>
          <w:tcPr>
            <w:tcW w:w="740" w:type="dxa"/>
            <w:vAlign w:val="bottom"/>
            <w:vMerge w:val="continue"/>
          </w:tcPr>
          <w:p>
            <w:pPr>
              <w:spacing w:after="0"/>
              <w:rPr>
                <w:sz w:val="15"/>
                <w:szCs w:val="15"/>
                <w:color w:val="auto"/>
              </w:rPr>
            </w:pPr>
          </w:p>
        </w:tc>
        <w:tc>
          <w:tcPr>
            <w:tcW w:w="720" w:type="dxa"/>
            <w:vAlign w:val="bottom"/>
          </w:tcPr>
          <w:p>
            <w:pPr>
              <w:jc w:val="right"/>
              <w:ind w:right="76"/>
              <w:spacing w:after="0" w:line="181" w:lineRule="exact"/>
              <w:rPr>
                <w:sz w:val="20"/>
                <w:szCs w:val="20"/>
                <w:color w:val="auto"/>
              </w:rPr>
            </w:pPr>
            <w:r>
              <w:rPr>
                <w:rFonts w:ascii="Arial" w:cs="Arial" w:eastAsia="Arial" w:hAnsi="Arial"/>
                <w:sz w:val="18"/>
                <w:szCs w:val="18"/>
                <w:color w:val="auto"/>
              </w:rPr>
              <w:t>1,296</w:t>
            </w:r>
          </w:p>
        </w:tc>
        <w:tc>
          <w:tcPr>
            <w:tcW w:w="660" w:type="dxa"/>
            <w:vAlign w:val="bottom"/>
          </w:tcPr>
          <w:p>
            <w:pPr>
              <w:jc w:val="right"/>
              <w:ind w:right="21"/>
              <w:spacing w:after="0" w:line="181" w:lineRule="exact"/>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1"/>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Voice customers</w:t>
            </w:r>
            <w:r>
              <w:rPr>
                <w:rFonts w:ascii="Arial" w:cs="Arial" w:eastAsia="Arial" w:hAnsi="Arial"/>
                <w:sz w:val="11"/>
                <w:szCs w:val="11"/>
                <w:color w:val="auto"/>
              </w:rPr>
              <w:t>(d)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11,193</w:t>
            </w: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10,723</w:t>
            </w: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9,955</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470</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768</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Average monthly total revenue per customer relationship</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$ 136.97</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$ 131.22</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00" w:hanging="292"/>
        <w:spacing w:after="0" w:line="231"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additional video customers for 2012 are not available using the billable customers method and therefore net additional video customers in 2013 and 2012 are presented using the EBU method to show an appropriate comparison.</w:t>
      </w:r>
    </w:p>
    <w:p>
      <w:pPr>
        <w:spacing w:after="0" w:line="54" w:lineRule="exact"/>
        <w:rPr>
          <w:rFonts w:ascii="Arial" w:cs="Arial" w:eastAsia="Arial" w:hAnsi="Arial"/>
          <w:sz w:val="14"/>
          <w:szCs w:val="14"/>
          <w:color w:val="auto"/>
        </w:rPr>
      </w:pPr>
    </w:p>
    <w:p>
      <w:pPr>
        <w:ind w:left="300" w:right="20" w:hanging="292"/>
        <w:spacing w:after="0" w:line="231"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54" w:lineRule="exact"/>
        <w:rPr>
          <w:rFonts w:ascii="Arial" w:cs="Arial" w:eastAsia="Arial" w:hAnsi="Arial"/>
          <w:sz w:val="14"/>
          <w:szCs w:val="14"/>
          <w:color w:val="auto"/>
        </w:rPr>
      </w:pPr>
    </w:p>
    <w:p>
      <w:pPr>
        <w:ind w:left="280" w:hanging="272"/>
        <w:spacing w:after="0"/>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total number of video customers as of December 31, 2013 and 2012 are also presented using the EBU method to show an appropriate comparison.</w:t>
      </w:r>
    </w:p>
    <w:p>
      <w:pPr>
        <w:spacing w:after="0" w:line="55" w:lineRule="exact"/>
        <w:rPr>
          <w:rFonts w:ascii="Arial" w:cs="Arial" w:eastAsia="Arial" w:hAnsi="Arial"/>
          <w:sz w:val="14"/>
          <w:szCs w:val="14"/>
          <w:color w:val="auto"/>
        </w:rPr>
      </w:pPr>
    </w:p>
    <w:p>
      <w:pPr>
        <w:jc w:val="both"/>
        <w:ind w:left="300" w:hanging="292"/>
        <w:spacing w:after="0" w:line="226"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high-speed Internet and voice customers as of December 31, 2014 and 2013 and net additional high-speed Internet and voice customers in 2014 are presented using the billable customers method. Because the difference in the total number of customers and the net additional customers using the billable customers method and the EBU method was not material, the net additional high-speed Internet and voice customers in 2013 and the December 31, 2012 metrics for high-speed Internet and voice customers are presented using the EBU method.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Cable Communications segment leverages our existing cable distribution system to grow revenue by, among other things, adding new customers, encouraging existing cable customers to add new or higher-tier services, and expanding our other services such as our business services offerings and our home security and automation services. We offer our cable services in bundles and often provide promotional incentives. We seek to balance promotional offers and rate increases with their expected effects on the number of customers and overall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C6DFF"/>
        </w:rPr>
        <w:t>Video</w:t>
      </w:r>
    </w:p>
    <w:p>
      <w:pPr>
        <w:jc w:val="both"/>
        <w:spacing w:after="0" w:line="236" w:lineRule="auto"/>
        <w:rPr>
          <w:sz w:val="20"/>
          <w:szCs w:val="20"/>
          <w:color w:val="auto"/>
        </w:rPr>
      </w:pPr>
      <w:r>
        <w:rPr>
          <w:rFonts w:ascii="Arial" w:cs="Arial" w:eastAsia="Arial" w:hAnsi="Arial"/>
          <w:sz w:val="18"/>
          <w:szCs w:val="18"/>
          <w:color w:val="auto"/>
        </w:rPr>
        <w:t>Video revenue increased 1.2% and 2.9% in 2014 and 2013, respectively. The increases in revenue in both years were due to increases in the number of customers receiving additional and higher levels of video service and rate adjustments, partially offset by decreases in the number of residential video customers. The increases in customers receiving additional and higher levels of video service accounted for increases in revenue of 2.7% and 4.7% in 2014 and 2013, respectively. As of December 31, 2014, 13.0 million customers subscribed to at least one of our HD or DVR advanced services compared to 12.5 million customers and 11.8 million customers as of December 31, 2013 and 2012, respectively. While we had rate adjustments in both 2014 and 2013, rate adjustments were not as significant in 2014 compared to 2013. The decrease in the number of residential video customers in 2014 and 2013 was primarily due to competitive pressures in our service areas from phone and DBS competitors, and the impact of rate adjustments.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2014, 40.9% of the homes and businesses in the areas we serve subscribed to our video services, compared to 41.9% and 43.0% as of December 31, 2013 and 2012, respectively. We may experience further declines in the number of residential video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w:t>
      </w:r>
    </w:p>
    <w:p>
      <w:pPr>
        <w:jc w:val="both"/>
        <w:spacing w:after="0" w:line="281" w:lineRule="auto"/>
        <w:rPr>
          <w:sz w:val="20"/>
          <w:szCs w:val="20"/>
          <w:color w:val="auto"/>
        </w:rPr>
      </w:pPr>
      <w:r>
        <w:rPr>
          <w:rFonts w:ascii="Arial" w:cs="Arial" w:eastAsia="Arial" w:hAnsi="Arial"/>
          <w:sz w:val="16"/>
          <w:szCs w:val="16"/>
          <w:color w:val="auto"/>
        </w:rPr>
        <w:t>High-speed Internet revenue increased 9.5% and 8.3% in 2014 and 2013, respectively. Increases in the number of residential customers receiving our high-speed Internet services accounted for increases in revenue of 5.9% and 6.0% in 2014 and 2013, respectively. The remaining increases in revenue in 2014 and 2013 were primarily due to higher rates from customers receiving higher levels of service and from rate adjustments.</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40.2% of the homes and businesses in the areas we serve subscribed to our high-speed Internet services, compared to 38.4% and 36.4% as of December 31, 2013 and 2012, respectively. Our customer base continues to grow as consumers continue to choose our high-speed Internet services and seek higher-speed offerings.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0C6DFF"/>
        </w:rPr>
        <w:t>Voice</w:t>
      </w:r>
    </w:p>
    <w:p>
      <w:pPr>
        <w:jc w:val="both"/>
        <w:spacing w:after="0" w:line="238" w:lineRule="auto"/>
        <w:rPr>
          <w:sz w:val="20"/>
          <w:szCs w:val="20"/>
          <w:color w:val="auto"/>
        </w:rPr>
      </w:pPr>
      <w:r>
        <w:rPr>
          <w:rFonts w:ascii="Arial" w:cs="Arial" w:eastAsia="Arial" w:hAnsi="Arial"/>
          <w:sz w:val="18"/>
          <w:szCs w:val="18"/>
          <w:color w:val="auto"/>
        </w:rPr>
        <w:t>Voice revenue increased 0.4% and 2.8% in 2014 and 2013, respectively. While the growth rate of residential customer additions slowed in 2014, the increase in the number of residential customers receiving our voice services through our discounted bundled offerings accounted for increases in revenue of 5.1% and 6.0% in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2014 and 2013, respectively. The increases in revenue were partially offset in both years by the impact of the allocation of voice revenue for our bundled customers. The amounts allocated to voice revenue in the bundled rate decreased in 2014 and 2013 because video and high-speed Internet rates increased, while voice rates remained relatively flat.</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of December 31, 2014, 20.5% of the homes and businesses in the areas we serve subscribed to our voice services, compared to 19.9% and 18.7% as of December 31, 2013 and 2012,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Business services revenue increased 21.9% and 26.4% in 2014 and 2013, respectively. The increases in 2014 and 2013 were primarily due to a higher number of small business customers receiving our high-speed Internet and voice services. The remaining increases in both years were primarily due to continued growth in the number of customers receiving our Ethernet network and cellular backhaul services.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2014, our medium-sized business customers represented 22% of total business services revenue, compared to 19% and 15% in 2013 and 2012, respectively.</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the increases in the number of business customers are primarily the result of our efforts to gain market share from competitors by offering competitive services and pricing.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our Spotlight business sells to local, regional and national advertisers. In most cases, the available advertising units are sold by our sales force. In some cases, we work with representation firms as an extension of our sales force to sell a portion of the advertising time allocated to us. We also represent the advertising sales efforts of other multichannel video providers in some markets. In addition, we generate revenue from the sale of advertising online and on our On Demand service. Advertising revenue is affected by the strength of the advertising market and general economic conditions.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revenue increased 11.5% in 2014 primarily due to an increase in political advertising revenue of 8.0%, as well as an increase in revenue in our national and local advertising markets. Excluding the impact of political advertising revenue, advertising revenue increased 3.5% in 2014. Advertising revenue decreased 4.2% in 2013 primarily due to lower political advertising revenue. Excluding the impact of political advertising revenue, advertising revenue increased 4.8% in 2013 primarily due to increases in our national and regional advertising markets.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receive revenue related to cable franchise and other regulatory fees. We also receive revenue related to our digital media center, commissions from electronic retailing networks, and fees from other services, such as our home security and automation services. Cable franchise and other regulatory fees represent the fees we are required to pay to federal, state and local authorities that we pass through to our customers. Under the terms of our cable franchise agreements, we are generally required to pay to the cable franchising authority an amount based on our gross video revenue. The changes in franchise and other regulatory fees collected from our cable services customers are generally due to changes in the revenue on which the fees apply.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increased 4.9% and 10.5% in 2014 and 2013, respectively, primarily due to increases in revenue from our home security and automation services, as well as increases in cable franchise and other regulatory fees.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focus on controlling the growth of expenses. Our operating margin, which is our operating income before depreciation and amortization as a percentage of revenue, for 2014, 2013 and 2012 was 41.0%, 41.1% and 41.0%,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Expenses</w:t>
      </w:r>
    </w:p>
    <w:p>
      <w:pPr>
        <w:jc w:val="both"/>
        <w:spacing w:after="0" w:line="273" w:lineRule="auto"/>
        <w:rPr>
          <w:sz w:val="20"/>
          <w:szCs w:val="20"/>
          <w:color w:val="auto"/>
        </w:rPr>
      </w:pPr>
      <w:r>
        <w:rPr>
          <w:rFonts w:ascii="Arial" w:cs="Arial" w:eastAsia="Arial" w:hAnsi="Arial"/>
          <w:sz w:val="16"/>
          <w:szCs w:val="16"/>
          <w:color w:val="auto"/>
        </w:rPr>
        <w:t>Programming expenses, which represent our largest operating expense, are the fees we pay to license the programming we distribute to our video customers. These expenses are affected by the programming license fees charged by cable networks, the fees charged for retransmission of the signals from local broadcast television stations, the number of video customers we serve and the amount of content we provide. Programming expenses increased in 2014 and 2013 primarily due to increases in programming license fees, including retransmission consent fees and sports programming costs, and fees to secure rights for additional programming for our customers across an increasing number of platforms.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programming expenses will continue to increase as we provide additional content, including in HD, to our video customers; as we deliver this content through an increasing number of platforms, including On Demand, online and through our mobile apps; and as the fees we pay increase, primarily retransmission consent fees and sports programming costs. We believe that adding more content and delivering it on various platforms will help us to attract and retain video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Technical and Product Support Expenses</w:t>
      </w:r>
    </w:p>
    <w:p>
      <w:pPr>
        <w:jc w:val="both"/>
        <w:spacing w:after="0" w:line="236" w:lineRule="auto"/>
        <w:rPr>
          <w:sz w:val="20"/>
          <w:szCs w:val="20"/>
          <w:color w:val="auto"/>
        </w:rPr>
      </w:pPr>
      <w:r>
        <w:rPr>
          <w:rFonts w:ascii="Arial" w:cs="Arial" w:eastAsia="Arial" w:hAnsi="Arial"/>
          <w:sz w:val="18"/>
          <w:szCs w:val="18"/>
          <w:color w:val="auto"/>
        </w:rPr>
        <w:t>Technical and product support expenses include costs to complete service call and installation activities, as well as costs for network operations, product development, fulfillment and provisioning. Technical and product support expenses increased in 2014 and 2013 primarily due to expenses related to the development, delivery and support of our enhanced devices and services, including our X1 platform, Cloud DVR technology and wireless gateways, and the continued growth in business services. The increase in 2014 was also due to expenses related to our home security and automation services and the increase in 2013 was also due to customer fulfillment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Customer Service Expenses</w:t>
      </w:r>
    </w:p>
    <w:p>
      <w:pPr>
        <w:jc w:val="both"/>
        <w:spacing w:after="0" w:line="236" w:lineRule="auto"/>
        <w:rPr>
          <w:sz w:val="20"/>
          <w:szCs w:val="20"/>
          <w:color w:val="auto"/>
        </w:rPr>
      </w:pPr>
      <w:r>
        <w:rPr>
          <w:rFonts w:ascii="Arial" w:cs="Arial" w:eastAsia="Arial" w:hAnsi="Arial"/>
          <w:sz w:val="18"/>
          <w:szCs w:val="18"/>
          <w:color w:val="auto"/>
        </w:rPr>
        <w:t>Customer service expenses include the personnel and other costs associated with handling the sale of services to customers and customer service activity. Customer service expenses increased in 2014 and 2013 primarily due to increases in total labor costs associated with increases in customer service activity. The increases in customer service activity were primarily due to sales and related support activities associated with the continued deployment of enhanced devices and services, which include our X1 platform, Cloud DVR technology, wireless gateways, and home security and automation services, and the continued growth in business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Franchise and Other Regulatory Fees</w:t>
      </w:r>
    </w:p>
    <w:p>
      <w:pPr>
        <w:jc w:val="both"/>
        <w:ind w:right="20"/>
        <w:spacing w:after="0" w:line="239" w:lineRule="auto"/>
        <w:rPr>
          <w:sz w:val="20"/>
          <w:szCs w:val="20"/>
          <w:color w:val="auto"/>
        </w:rPr>
      </w:pPr>
      <w:r>
        <w:rPr>
          <w:rFonts w:ascii="Arial" w:cs="Arial" w:eastAsia="Arial" w:hAnsi="Arial"/>
          <w:sz w:val="18"/>
          <w:szCs w:val="18"/>
          <w:color w:val="auto"/>
        </w:rPr>
        <w:t>Franchise and other regulatory fees increased in 2014 and 2013 primarily due to increases in revenue from residential cable services and business services related to the fees we are required to pay to federal, state and local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increased in 2014 and 2013 primarily due to increases in spending associated with attracting new residential and business services customers and encouraging existing customers to add additional or higher-tier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Costs and Expenses</w:t>
      </w:r>
    </w:p>
    <w:p>
      <w:pPr>
        <w:jc w:val="both"/>
        <w:spacing w:after="0" w:line="239" w:lineRule="auto"/>
        <w:rPr>
          <w:sz w:val="20"/>
          <w:szCs w:val="20"/>
          <w:color w:val="auto"/>
        </w:rPr>
      </w:pPr>
      <w:r>
        <w:rPr>
          <w:rFonts w:ascii="Arial" w:cs="Arial" w:eastAsia="Arial" w:hAnsi="Arial"/>
          <w:sz w:val="18"/>
          <w:szCs w:val="18"/>
          <w:color w:val="auto"/>
        </w:rPr>
        <w:t>Other costs and expenses increased in 2014 and 2013 primarily due to increases in costs to support our advertising sales business, as well as increases in other administrative costs.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0C6DFF"/>
        </w:rPr>
        <w:t>2014 NBCUniversal Segments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41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2013 to 2014</w:t>
            </w: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2012 to 2013</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9,563</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6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9,201</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8,727</w:t>
            </w:r>
          </w:p>
        </w:tc>
        <w:tc>
          <w:tcPr>
            <w:tcW w:w="1120" w:type="dxa"/>
            <w:vAlign w:val="bottom"/>
            <w:vMerge w:val="continue"/>
          </w:tcPr>
          <w:p>
            <w:pPr>
              <w:spacing w:after="0"/>
              <w:rPr>
                <w:sz w:val="15"/>
                <w:szCs w:val="15"/>
                <w:color w:val="auto"/>
              </w:rPr>
            </w:pPr>
          </w:p>
        </w:tc>
        <w:tc>
          <w:tcPr>
            <w:tcW w:w="1140" w:type="dxa"/>
            <w:vAlign w:val="bottom"/>
          </w:tcPr>
          <w:p>
            <w:pPr>
              <w:jc w:val="right"/>
              <w:ind w:right="35"/>
              <w:spacing w:after="0" w:line="18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8,542</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7,120</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8,200</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20.0</w:t>
            </w:r>
          </w:p>
        </w:tc>
        <w:tc>
          <w:tcPr>
            <w:tcW w:w="11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5,008</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5,452</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5,159</w:t>
            </w:r>
          </w:p>
        </w:tc>
        <w:tc>
          <w:tcPr>
            <w:tcW w:w="112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(8.2)</w:t>
            </w:r>
          </w:p>
        </w:tc>
        <w:tc>
          <w:tcPr>
            <w:tcW w:w="11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2,623</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2,235</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2,085</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17.3</w:t>
            </w:r>
          </w:p>
        </w:tc>
        <w:tc>
          <w:tcPr>
            <w:tcW w:w="11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NM</w:t>
            </w: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5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25,428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w w:val="98"/>
              </w:rPr>
              <w:t>23,650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w w:val="98"/>
              </w:rPr>
              <w:t>23,812</w:t>
            </w:r>
          </w:p>
        </w:tc>
        <w:tc>
          <w:tcPr>
            <w:tcW w:w="11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7.5%</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3,589</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6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3,501</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3,303</w:t>
            </w:r>
          </w:p>
        </w:tc>
        <w:tc>
          <w:tcPr>
            <w:tcW w:w="1120" w:type="dxa"/>
            <w:vAlign w:val="bottom"/>
            <w:vMerge w:val="continue"/>
          </w:tcPr>
          <w:p>
            <w:pPr>
              <w:spacing w:after="0"/>
              <w:rPr>
                <w:sz w:val="15"/>
                <w:szCs w:val="15"/>
                <w:color w:val="auto"/>
              </w:rPr>
            </w:pPr>
          </w:p>
        </w:tc>
        <w:tc>
          <w:tcPr>
            <w:tcW w:w="1140" w:type="dxa"/>
            <w:vAlign w:val="bottom"/>
          </w:tcPr>
          <w:p>
            <w:pPr>
              <w:jc w:val="right"/>
              <w:ind w:right="35"/>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734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345</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358</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112.5</w:t>
            </w:r>
          </w:p>
        </w:tc>
        <w:tc>
          <w:tcPr>
            <w:tcW w:w="114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711</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483</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79</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47.3</w:t>
            </w:r>
          </w:p>
        </w:tc>
        <w:tc>
          <w:tcPr>
            <w:tcW w:w="1140" w:type="dxa"/>
            <w:vAlign w:val="bottom"/>
          </w:tcPr>
          <w:p>
            <w:pPr>
              <w:jc w:val="right"/>
              <w:ind w:right="195"/>
              <w:spacing w:after="0" w:line="202" w:lineRule="exact"/>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8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1,168</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1,004</w:t>
            </w:r>
          </w:p>
        </w:tc>
        <w:tc>
          <w:tcPr>
            <w:tcW w:w="20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953</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16.4</w:t>
            </w:r>
          </w:p>
        </w:tc>
        <w:tc>
          <w:tcPr>
            <w:tcW w:w="11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(2.4)</w:t>
            </w: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5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operating income before depreciation and amortization</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5,588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4,732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4,107</w:t>
            </w:r>
          </w:p>
        </w:tc>
        <w:tc>
          <w:tcPr>
            <w:tcW w:w="11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18.1%</w:t>
            </w:r>
          </w:p>
        </w:tc>
        <w:tc>
          <w:tcPr>
            <w:tcW w:w="114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2014, 2013 and 2012, there were no changes to NBCUniversal’s accounting principles or practices that had a material effect on its net income.</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Networks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 to 2014</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2012 to 2013</w:t>
            </w:r>
          </w:p>
        </w:tc>
        <w:tc>
          <w:tcPr>
            <w:tcW w:w="0" w:type="dxa"/>
            <w:vAlign w:val="bottom"/>
          </w:tcPr>
          <w:p>
            <w:pPr>
              <w:spacing w:after="0"/>
              <w:rPr>
                <w:sz w:val="1"/>
                <w:szCs w:val="1"/>
                <w:color w:val="auto"/>
              </w:rPr>
            </w:pPr>
          </w:p>
        </w:tc>
      </w:tr>
      <w:tr>
        <w:trPr>
          <w:trHeight w:val="199"/>
        </w:trPr>
        <w:tc>
          <w:tcPr>
            <w:tcW w:w="57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$ 5,307</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00"/>
              <w:spacing w:after="0" w:line="181" w:lineRule="exact"/>
              <w:rPr>
                <w:sz w:val="20"/>
                <w:szCs w:val="20"/>
                <w:color w:val="auto"/>
              </w:rPr>
            </w:pPr>
            <w:r>
              <w:rPr>
                <w:rFonts w:ascii="Arial" w:cs="Arial" w:eastAsia="Arial" w:hAnsi="Arial"/>
                <w:sz w:val="18"/>
                <w:szCs w:val="18"/>
                <w:color w:val="auto"/>
              </w:rPr>
              <w:t>Distribution</w:t>
            </w:r>
          </w:p>
        </w:tc>
        <w:tc>
          <w:tcPr>
            <w:tcW w:w="1820" w:type="dxa"/>
            <w:vAlign w:val="bottom"/>
            <w:vMerge w:val="continue"/>
          </w:tcPr>
          <w:p>
            <w:pPr>
              <w:spacing w:after="0"/>
              <w:rPr>
                <w:sz w:val="15"/>
                <w:szCs w:val="15"/>
                <w:color w:val="auto"/>
              </w:rPr>
            </w:pP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$ 4,905</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$ 4,604</w:t>
            </w:r>
          </w:p>
        </w:tc>
        <w:tc>
          <w:tcPr>
            <w:tcW w:w="116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3,494</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3,536</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3,389</w:t>
            </w:r>
          </w:p>
        </w:tc>
        <w:tc>
          <w:tcPr>
            <w:tcW w:w="11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(1.2)</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Content licensing and other</w:t>
            </w: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762</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760</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734</w:t>
            </w:r>
          </w:p>
        </w:tc>
        <w:tc>
          <w:tcPr>
            <w:tcW w:w="11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0.3</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9,563</w:t>
            </w:r>
          </w:p>
        </w:tc>
        <w:tc>
          <w:tcPr>
            <w:tcW w:w="8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9,201</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8,727</w:t>
            </w:r>
          </w:p>
        </w:tc>
        <w:tc>
          <w:tcPr>
            <w:tcW w:w="116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3.9</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4,241</w:t>
            </w: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10.2</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820" w:type="dxa"/>
            <w:vAlign w:val="bottom"/>
            <w:vMerge w:val="continue"/>
          </w:tcPr>
          <w:p>
            <w:pPr>
              <w:spacing w:after="0"/>
              <w:rPr>
                <w:sz w:val="15"/>
                <w:szCs w:val="15"/>
                <w:color w:val="auto"/>
              </w:rPr>
            </w:pP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3,850</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3,659</w:t>
            </w:r>
          </w:p>
        </w:tc>
        <w:tc>
          <w:tcPr>
            <w:tcW w:w="1160" w:type="dxa"/>
            <w:vAlign w:val="bottom"/>
            <w:vMerge w:val="continue"/>
          </w:tcPr>
          <w:p>
            <w:pPr>
              <w:spacing w:after="0"/>
              <w:rPr>
                <w:sz w:val="15"/>
                <w:szCs w:val="15"/>
                <w:color w:val="auto"/>
              </w:rPr>
            </w:pPr>
          </w:p>
        </w:tc>
        <w:tc>
          <w:tcPr>
            <w:tcW w:w="108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8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1,232</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1,342</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1,306</w:t>
            </w:r>
          </w:p>
        </w:tc>
        <w:tc>
          <w:tcPr>
            <w:tcW w:w="116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(8.3)</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501</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508</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459</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(1.3)</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5,974</w:t>
            </w:r>
          </w:p>
        </w:tc>
        <w:tc>
          <w:tcPr>
            <w:tcW w:w="82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5,700</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5,424</w:t>
            </w:r>
          </w:p>
        </w:tc>
        <w:tc>
          <w:tcPr>
            <w:tcW w:w="116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4.8</w:t>
            </w: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8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$ 3,589</w:t>
            </w:r>
          </w:p>
        </w:tc>
        <w:tc>
          <w:tcPr>
            <w:tcW w:w="8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$ 3,501</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$ 3,303</w:t>
            </w:r>
          </w:p>
        </w:tc>
        <w:tc>
          <w:tcPr>
            <w:tcW w:w="1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2.5%</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Distribution</w:t>
      </w:r>
    </w:p>
    <w:p>
      <w:pPr>
        <w:jc w:val="both"/>
        <w:spacing w:after="0" w:line="239" w:lineRule="auto"/>
        <w:rPr>
          <w:sz w:val="20"/>
          <w:szCs w:val="20"/>
          <w:color w:val="auto"/>
        </w:rPr>
      </w:pPr>
      <w:r>
        <w:rPr>
          <w:rFonts w:ascii="Arial" w:cs="Arial" w:eastAsia="Arial" w:hAnsi="Arial"/>
          <w:sz w:val="18"/>
          <w:szCs w:val="18"/>
          <w:color w:val="auto"/>
        </w:rPr>
        <w:t>Distribution revenue is generated from distribution agreements with multichannel video providers and is affected by the number of subscribers receiving our cable networks and the fees we charge per subscriber.</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Distribution revenue increased in 2014 primarily due to our broadcast of the 2014 Sochi Olympics and increases in contractual rates charged under distribution agreements. Excluding $177 million of revenue associated with the 2014 Sochi Olympics, distribution revenue increased 4.6% in 2014. Distribution revenue increased in 2013 primarily due to increases in contractual rates charged under distribution agreements.</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2014, 2013 and 2012, 12%, 13% and 13%, respectively, of our Cable Networks segment revenue was generated from our Cable Communications segment. These amounts are eliminated in Comcast’s consolidated financial statements but are included in the amounts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70" w:lineRule="auto"/>
        <w:rPr>
          <w:sz w:val="20"/>
          <w:szCs w:val="20"/>
          <w:color w:val="auto"/>
        </w:rPr>
      </w:pPr>
      <w:r>
        <w:rPr>
          <w:rFonts w:ascii="Arial" w:cs="Arial" w:eastAsia="Arial" w:hAnsi="Arial"/>
          <w:sz w:val="16"/>
          <w:szCs w:val="16"/>
          <w:color w:val="auto"/>
        </w:rPr>
        <w:t>Advertising revenue is generated from the sale of advertising units sold on our cable networks and related digital media properties. Our advertising revenue is primarily based on the price we receive for each advertising unit, which is generally based on audience ratings and the value of our viewer demographics to advertisers, and the number of advertising units we can place in our cable networks’ programming schedules. Advertising revenue is affected by the strength of the national advertising market, general economic conditions, cyclicality related to political campaigns and issue-oriented advertising, and the success and ratings of our programming. Audience ratings at some of our cable networks have declined and may continue to decline as the number of programming choices, including choices on both linear television and digital platforms, continues to increase and as the use of DVRs and video on demand services that give viewers more control over when they view content continues to increase.</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Advertising revenue decreased slightly in 2014 primarily due to continued declines in audience ratings at our networks and the absence of the Style network and Fandango in the current year, partially offset by higher prices and an increase in the volume of advertising units sold and our broadcast of the 2014 Sochi Olympics. Excluding $80 million of revenue associated with the 2014 Sochi Olympics, advertising revenue decreased 3.5% in 2014 primarily due to continued declines in audience ratings at our networks. Advertising revenue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increased 4.3% in 2013 primarily due to higher prices and an increase in the volume of advertising units sold, which contributed to a combined increase of 8.9%. The increase in advertising revenue in 2013 was partially offset by continued declines in audience ratings at our networks.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 and Other</w:t>
      </w:r>
    </w:p>
    <w:p>
      <w:pPr>
        <w:jc w:val="both"/>
        <w:spacing w:after="0" w:line="239" w:lineRule="auto"/>
        <w:rPr>
          <w:sz w:val="20"/>
          <w:szCs w:val="20"/>
          <w:color w:val="auto"/>
        </w:rPr>
      </w:pPr>
      <w:r>
        <w:rPr>
          <w:rFonts w:ascii="Arial" w:cs="Arial" w:eastAsia="Arial" w:hAnsi="Arial"/>
          <w:sz w:val="18"/>
          <w:szCs w:val="18"/>
          <w:color w:val="auto"/>
        </w:rPr>
        <w:t>We also generate other revenue primarily from the licensing of our owned programming in the United States and internationally to various distribution platforms, including cable and broadcast networks and digital distributors.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and other revenue remained flat in 2014. Content licensing and other revenue increased in 2013 primarily due to the timing of availability of content under our licensing agreements with digital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8" w:lineRule="auto"/>
        <w:rPr>
          <w:sz w:val="20"/>
          <w:szCs w:val="20"/>
          <w:color w:val="auto"/>
        </w:rPr>
      </w:pPr>
      <w:r>
        <w:rPr>
          <w:rFonts w:ascii="Arial" w:cs="Arial" w:eastAsia="Arial" w:hAnsi="Arial"/>
          <w:sz w:val="18"/>
          <w:szCs w:val="18"/>
          <w:color w:val="auto"/>
        </w:rPr>
        <w:t>Programming and production 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Programming and production costs increased in 2014 primarily due to costs of $242 million associated with the 2014 Sochi Olympics, as well as our continued investment in programming, including original programming at our entertainment networks and sports programming rights costs. The increase in sports programming rights costs in 2014 included the impact of a new rights agreement with a professional sports team and the full year of English Premier League soccer. Programming and production costs increased in 2013 primarily due to our continued investment in programming, including sports programming rights costs. The increase in sports programming rights costs in 2013 included the impact from an increase in the number of NHL games compared to 2012 due to the NHL lockout in 2012, as well as costs associated with our broadcasts of English Premier League soccer, which began in August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and administrative costs and expenses decreased in 2014 primarily due to lower employee-related costs and the absence of the Style network and Fandango in the current year. Other operating and administrative costs and expenses increased in 2013 primarily due to an increase in employee-related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ind w:right="20"/>
        <w:spacing w:after="0" w:line="23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cable networks and costs associated with our related digital media properties.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Advertising, marketing and promotion expenses remained relatively flat in 2014. Advertising, marketing and promotion expenses increased in 2013 primarily due to increased spending on marketing related to the launch of new programming on our cable networks.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Broadcast Television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19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2013 to 2014</w:t>
            </w:r>
          </w:p>
        </w:tc>
        <w:tc>
          <w:tcPr>
            <w:tcW w:w="11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2012 to 2013</w:t>
            </w:r>
          </w:p>
        </w:tc>
        <w:tc>
          <w:tcPr>
            <w:tcW w:w="0" w:type="dxa"/>
            <w:vAlign w:val="bottom"/>
          </w:tcPr>
          <w:p>
            <w:pPr>
              <w:spacing w:after="0"/>
              <w:rPr>
                <w:sz w:val="1"/>
                <w:szCs w:val="1"/>
                <w:color w:val="auto"/>
              </w:rPr>
            </w:pPr>
          </w:p>
        </w:tc>
      </w:tr>
      <w:tr>
        <w:trPr>
          <w:trHeight w:val="199"/>
        </w:trPr>
        <w:tc>
          <w:tcPr>
            <w:tcW w:w="5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5,888</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Advertising</w:t>
            </w:r>
          </w:p>
        </w:tc>
        <w:tc>
          <w:tcPr>
            <w:tcW w:w="1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4,930</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5,876</w:t>
            </w:r>
          </w:p>
        </w:tc>
        <w:tc>
          <w:tcPr>
            <w:tcW w:w="1140" w:type="dxa"/>
            <w:vAlign w:val="bottom"/>
            <w:vMerge w:val="continue"/>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1,569</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1,447</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1,474</w:t>
            </w:r>
          </w:p>
        </w:tc>
        <w:tc>
          <w:tcPr>
            <w:tcW w:w="114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8.4</w:t>
            </w:r>
          </w:p>
        </w:tc>
        <w:tc>
          <w:tcPr>
            <w:tcW w:w="11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7"/>
              </w:rPr>
              <w:t>1,085</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743</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850</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46.0</w:t>
            </w: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22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7"/>
              </w:rPr>
              <w:t>8,542</w:t>
            </w:r>
          </w:p>
        </w:tc>
        <w:tc>
          <w:tcPr>
            <w:tcW w:w="220" w:type="dxa"/>
            <w:vAlign w:val="bottom"/>
          </w:tcPr>
          <w:p>
            <w:pPr>
              <w:spacing w:after="0"/>
              <w:rPr>
                <w:sz w:val="15"/>
                <w:szCs w:val="15"/>
                <w:color w:val="auto"/>
              </w:rPr>
            </w:pPr>
          </w:p>
        </w:tc>
        <w:tc>
          <w:tcPr>
            <w:tcW w:w="5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7,120</w:t>
            </w:r>
          </w:p>
        </w:tc>
        <w:tc>
          <w:tcPr>
            <w:tcW w:w="24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color w:val="auto"/>
                <w:w w:val="97"/>
              </w:rPr>
              <w:t>8,200</w:t>
            </w:r>
          </w:p>
        </w:tc>
        <w:tc>
          <w:tcPr>
            <w:tcW w:w="114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20.0</w:t>
            </w:r>
          </w:p>
        </w:tc>
        <w:tc>
          <w:tcPr>
            <w:tcW w:w="114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9"/>
                <w:szCs w:val="19"/>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6,127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18.0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5,192</w:t>
            </w:r>
          </w:p>
        </w:tc>
        <w:tc>
          <w:tcPr>
            <w:tcW w:w="240" w:type="dxa"/>
            <w:vAlign w:val="bottom"/>
          </w:tcPr>
          <w:p>
            <w:pPr>
              <w:spacing w:after="0"/>
              <w:rPr>
                <w:sz w:val="15"/>
                <w:szCs w:val="15"/>
                <w:color w:val="auto"/>
              </w:rPr>
            </w:pP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6,291</w:t>
            </w:r>
          </w:p>
        </w:tc>
        <w:tc>
          <w:tcPr>
            <w:tcW w:w="1140" w:type="dxa"/>
            <w:vAlign w:val="bottom"/>
            <w:vMerge w:val="continue"/>
          </w:tcPr>
          <w:p>
            <w:pPr>
              <w:spacing w:after="0"/>
              <w:rPr>
                <w:sz w:val="15"/>
                <w:szCs w:val="15"/>
                <w:color w:val="auto"/>
              </w:rPr>
            </w:pPr>
          </w:p>
        </w:tc>
        <w:tc>
          <w:tcPr>
            <w:tcW w:w="114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1,199</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1,204</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1,206</w:t>
            </w:r>
          </w:p>
        </w:tc>
        <w:tc>
          <w:tcPr>
            <w:tcW w:w="11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(0.4)</w:t>
            </w:r>
          </w:p>
        </w:tc>
        <w:tc>
          <w:tcPr>
            <w:tcW w:w="11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482</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379</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345</w:t>
            </w: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27.0</w:t>
            </w:r>
          </w:p>
        </w:tc>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w w:val="97"/>
              </w:rPr>
              <w:t>7,808</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6,775</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7"/>
              </w:rPr>
              <w:t>7,842</w:t>
            </w:r>
          </w:p>
        </w:tc>
        <w:tc>
          <w:tcPr>
            <w:tcW w:w="11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15.3</w:t>
            </w:r>
          </w:p>
        </w:tc>
        <w:tc>
          <w:tcPr>
            <w:tcW w:w="114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734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345</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358</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112.5%</w:t>
            </w:r>
          </w:p>
        </w:tc>
        <w:tc>
          <w:tcPr>
            <w:tcW w:w="1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Advertising revenue is generated from the sale of advertising units sold on our broadcast networks, our owned local television stations and our related digital media properties. Our advertising revenue is primarily based on the price we receive for each advertising unit, which is generally based on audience ratings and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cyclicality related to political campaigns and issue-oriented advertising, and the success and ratings of our programming.</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increased in 2014 primarily due to revenue associated with our broadcast of the 2014 Sochi Olympics. Excluding $730 million of revenue associated with our broadcast of the 2014 Sochi Olympics, advertising revenue increased 4.6% in 2014 primarily due to higher prices and an increase in the volume of advertising units sold. Advertising revenue decreased in 2013 primarily due to $1.2 billion of advertising revenue recorded in 2012 associated with our broadcasts of the 2012 Super Bowl and the 2012 London Olympics. Excluding the impact of these events, advertising revenue increased 5.0% in 2013 primarily due to higher prices and an increase in the volume of advertising units sold.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spacing w:after="0" w:line="237"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to various distribution platforms, including to cable and broadcast networks and digital distributors. The production and distribution costs related to our owned programming generally exceed the revenue generated from the initial network license, which means the subsequent licensing of our owned programming series following the initial network license is critical to their financial success.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revenue increased in 2014 primarily due to new content licensing agreements with digital distributors. Content licensing revenue decreased in 2013 primarily due to the timing of availability of content under our licensing agreements.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also generate other revenue primarily from fees for retransmission consent of our owned broadcast television stations and associated fees received from our affiliated local broadcast television stations, as well as from the sale of our owned programming on DVDs and electronically through digital distributors. The sale of our owned programming is driven primarily by the popularity of our broadcast networks and programming series, and therefore fluctuates based on consumer spending and acceptance. Other revenue also includes distribution revenue associated with our periodic broadcasts of the Olympic Games.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revenue increased in 2014 primarily due to $116 million of distribution revenue from multichannel video providers and fees recognized under our retransmission consent agreements associated with our broadcast of the 2014 Sochi Olympics. Other revenue decreased in 2013 primarily due to $266 million of distribution revenue from multichannel video providers in 2012 associated with our broadcast of the 2012 London Olympics. The decrease in 2013 was partially offset by an increase in fees recognized under our retransmission consent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7" w:lineRule="auto"/>
        <w:rPr>
          <w:sz w:val="20"/>
          <w:szCs w:val="20"/>
          <w:color w:val="auto"/>
        </w:rPr>
      </w:pPr>
      <w:r>
        <w:rPr>
          <w:rFonts w:ascii="Arial" w:cs="Arial" w:eastAsia="Arial" w:hAnsi="Arial"/>
          <w:sz w:val="18"/>
          <w:szCs w:val="18"/>
          <w:color w:val="auto"/>
        </w:rPr>
        <w:t>Programming and production costs relate to content originating on our broadcast networks and owned local broadcast television stations. They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Programming and production costs increased in 2014 primarily due to costs of $715 million associated with our broadcast of the 2014 Sochi Olympics, as well as our continued investment in original programming. Programming and production costs decreased in 2013 primarily due to costs of $1.3 billion associated with our broadcasts of the 2012 London Olympics and the 2012 Super Bowl. Excluding the impact of these events, programming and production costs increased in 2013 primarily due to our continued investment in original programming.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costs and expenses remained flat in 2014 and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owned television programming, as well as the marketing of DVDs and costs associated with our related digital media properties.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Advertising, marketing and promotion expenses increased in 2014 and 2013 primarily due to increased spending on marketing associated with our primetime lineup.</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Filmed Entertainment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6"/>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 to 2014</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2012 to 2013</w:t>
            </w:r>
          </w:p>
        </w:tc>
        <w:tc>
          <w:tcPr>
            <w:tcW w:w="0" w:type="dxa"/>
            <w:vAlign w:val="bottom"/>
          </w:tcPr>
          <w:p>
            <w:pPr>
              <w:spacing w:after="0"/>
              <w:rPr>
                <w:sz w:val="1"/>
                <w:szCs w:val="1"/>
                <w:color w:val="auto"/>
              </w:rPr>
            </w:pPr>
          </w:p>
        </w:tc>
      </w:tr>
      <w:tr>
        <w:trPr>
          <w:trHeight w:val="199"/>
        </w:trPr>
        <w:tc>
          <w:tcPr>
            <w:tcW w:w="57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1,101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Theatrical</w:t>
            </w:r>
          </w:p>
        </w:tc>
        <w:tc>
          <w:tcPr>
            <w:tcW w:w="1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1,568</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1,390</w:t>
            </w:r>
          </w:p>
        </w:tc>
        <w:tc>
          <w:tcPr>
            <w:tcW w:w="120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1,792</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1,654</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1,540</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8.3</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w w:val="97"/>
              </w:rPr>
              <w:t>1,457</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1,828</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1,834</w:t>
            </w:r>
          </w:p>
        </w:tc>
        <w:tc>
          <w:tcPr>
            <w:tcW w:w="1200" w:type="dxa"/>
            <w:vAlign w:val="bottom"/>
          </w:tcPr>
          <w:p>
            <w:pPr>
              <w:jc w:val="right"/>
              <w:ind w:right="156"/>
              <w:spacing w:after="0" w:line="202" w:lineRule="exact"/>
              <w:rPr>
                <w:sz w:val="20"/>
                <w:szCs w:val="20"/>
                <w:color w:val="auto"/>
              </w:rPr>
            </w:pPr>
            <w:r>
              <w:rPr>
                <w:rFonts w:ascii="Arial" w:cs="Arial" w:eastAsia="Arial" w:hAnsi="Arial"/>
                <w:sz w:val="18"/>
                <w:szCs w:val="18"/>
                <w:b w:val="1"/>
                <w:bCs w:val="1"/>
                <w:color w:val="auto"/>
              </w:rPr>
              <w:t>(20.3)</w:t>
            </w:r>
          </w:p>
        </w:tc>
        <w:tc>
          <w:tcPr>
            <w:tcW w:w="10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658</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402</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395</w:t>
            </w: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63.7</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22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w w:val="97"/>
              </w:rPr>
              <w:t>5,008</w:t>
            </w:r>
          </w:p>
        </w:tc>
        <w:tc>
          <w:tcPr>
            <w:tcW w:w="220" w:type="dxa"/>
            <w:vAlign w:val="bottom"/>
          </w:tcPr>
          <w:p>
            <w:pPr>
              <w:spacing w:after="0"/>
              <w:rPr>
                <w:sz w:val="15"/>
                <w:szCs w:val="15"/>
                <w:color w:val="auto"/>
              </w:rPr>
            </w:pPr>
          </w:p>
        </w:tc>
        <w:tc>
          <w:tcPr>
            <w:tcW w:w="5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5,452</w:t>
            </w:r>
          </w:p>
        </w:tc>
        <w:tc>
          <w:tcPr>
            <w:tcW w:w="240" w:type="dxa"/>
            <w:vAlign w:val="bottom"/>
          </w:tcPr>
          <w:p>
            <w:pPr>
              <w:spacing w:after="0"/>
              <w:rPr>
                <w:sz w:val="15"/>
                <w:szCs w:val="15"/>
                <w:color w:val="auto"/>
              </w:rPr>
            </w:pPr>
          </w:p>
        </w:tc>
        <w:tc>
          <w:tcPr>
            <w:tcW w:w="580" w:type="dxa"/>
            <w:vAlign w:val="bottom"/>
          </w:tcPr>
          <w:p>
            <w:pPr>
              <w:jc w:val="right"/>
              <w:ind w:right="34"/>
              <w:spacing w:after="0" w:line="177" w:lineRule="exact"/>
              <w:rPr>
                <w:sz w:val="20"/>
                <w:szCs w:val="20"/>
                <w:color w:val="auto"/>
              </w:rPr>
            </w:pPr>
            <w:r>
              <w:rPr>
                <w:rFonts w:ascii="Arial" w:cs="Arial" w:eastAsia="Arial" w:hAnsi="Arial"/>
                <w:sz w:val="18"/>
                <w:szCs w:val="18"/>
                <w:color w:val="auto"/>
                <w:w w:val="97"/>
              </w:rPr>
              <w:t>5,159</w:t>
            </w:r>
          </w:p>
        </w:tc>
        <w:tc>
          <w:tcPr>
            <w:tcW w:w="1200" w:type="dxa"/>
            <w:vAlign w:val="bottom"/>
          </w:tcPr>
          <w:p>
            <w:pPr>
              <w:jc w:val="right"/>
              <w:ind w:right="156"/>
              <w:spacing w:after="0" w:line="177" w:lineRule="exact"/>
              <w:rPr>
                <w:sz w:val="20"/>
                <w:szCs w:val="20"/>
                <w:color w:val="auto"/>
              </w:rPr>
            </w:pPr>
            <w:r>
              <w:rPr>
                <w:rFonts w:ascii="Arial" w:cs="Arial" w:eastAsia="Arial" w:hAnsi="Arial"/>
                <w:sz w:val="18"/>
                <w:szCs w:val="18"/>
                <w:b w:val="1"/>
                <w:bCs w:val="1"/>
                <w:color w:val="auto"/>
              </w:rPr>
              <w:t>(8.2)</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5"/>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9"/>
                <w:szCs w:val="19"/>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w w:val="97"/>
              </w:rPr>
              <w:t>2,331</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(21.8)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2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2,982</w:t>
            </w:r>
          </w:p>
        </w:tc>
        <w:tc>
          <w:tcPr>
            <w:tcW w:w="240" w:type="dxa"/>
            <w:vAlign w:val="bottom"/>
          </w:tcPr>
          <w:p>
            <w:pPr>
              <w:spacing w:after="0"/>
              <w:rPr>
                <w:sz w:val="15"/>
                <w:szCs w:val="15"/>
                <w:color w:val="auto"/>
              </w:rPr>
            </w:pPr>
          </w:p>
        </w:tc>
        <w:tc>
          <w:tcPr>
            <w:tcW w:w="580" w:type="dxa"/>
            <w:vAlign w:val="bottom"/>
          </w:tcPr>
          <w:p>
            <w:pPr>
              <w:jc w:val="right"/>
              <w:ind w:right="34"/>
              <w:spacing w:after="0" w:line="181" w:lineRule="exact"/>
              <w:rPr>
                <w:sz w:val="20"/>
                <w:szCs w:val="20"/>
                <w:color w:val="auto"/>
              </w:rPr>
            </w:pPr>
            <w:r>
              <w:rPr>
                <w:rFonts w:ascii="Arial" w:cs="Arial" w:eastAsia="Arial" w:hAnsi="Arial"/>
                <w:sz w:val="18"/>
                <w:szCs w:val="18"/>
                <w:color w:val="auto"/>
                <w:w w:val="97"/>
              </w:rPr>
              <w:t>3,002</w:t>
            </w:r>
          </w:p>
        </w:tc>
        <w:tc>
          <w:tcPr>
            <w:tcW w:w="1200" w:type="dxa"/>
            <w:vAlign w:val="bottom"/>
            <w:vMerge w:val="continue"/>
          </w:tcPr>
          <w:p>
            <w:pPr>
              <w:spacing w:after="0"/>
              <w:rPr>
                <w:sz w:val="15"/>
                <w:szCs w:val="15"/>
                <w:color w:val="auto"/>
              </w:rPr>
            </w:pPr>
          </w:p>
        </w:tc>
        <w:tc>
          <w:tcPr>
            <w:tcW w:w="1080" w:type="dxa"/>
            <w:vAlign w:val="bottom"/>
          </w:tcPr>
          <w:p>
            <w:pPr>
              <w:jc w:val="right"/>
              <w:ind w:right="76"/>
              <w:spacing w:after="0" w:line="181"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22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849</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716</w:t>
            </w:r>
          </w:p>
        </w:tc>
        <w:tc>
          <w:tcPr>
            <w:tcW w:w="24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652</w:t>
            </w:r>
          </w:p>
        </w:tc>
        <w:tc>
          <w:tcPr>
            <w:tcW w:w="1200" w:type="dxa"/>
            <w:vAlign w:val="bottom"/>
          </w:tcPr>
          <w:p>
            <w:pPr>
              <w:jc w:val="right"/>
              <w:ind w:right="216"/>
              <w:spacing w:after="0" w:line="202" w:lineRule="exact"/>
              <w:rPr>
                <w:sz w:val="20"/>
                <w:szCs w:val="20"/>
                <w:color w:val="auto"/>
              </w:rPr>
            </w:pPr>
            <w:r>
              <w:rPr>
                <w:rFonts w:ascii="Arial" w:cs="Arial" w:eastAsia="Arial" w:hAnsi="Arial"/>
                <w:sz w:val="18"/>
                <w:szCs w:val="18"/>
                <w:b w:val="1"/>
                <w:bCs w:val="1"/>
                <w:color w:val="auto"/>
              </w:rPr>
              <w:t>18.5</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7"/>
              </w:rPr>
              <w:t>1,117</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1,271</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1,426</w:t>
            </w: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(12.2)</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w w:val="97"/>
              </w:rPr>
              <w:t>4,297</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4,969</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7"/>
              </w:rPr>
              <w:t>5,080</w:t>
            </w:r>
          </w:p>
        </w:tc>
        <w:tc>
          <w:tcPr>
            <w:tcW w:w="120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b w:val="1"/>
                <w:bCs w:val="1"/>
                <w:color w:val="auto"/>
              </w:rPr>
              <w:t>(13.5)</w:t>
            </w:r>
          </w:p>
        </w:tc>
        <w:tc>
          <w:tcPr>
            <w:tcW w:w="108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711</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483</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79</w:t>
            </w:r>
          </w:p>
        </w:tc>
        <w:tc>
          <w:tcPr>
            <w:tcW w:w="120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47.3%</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Theatrical</w:t>
      </w:r>
    </w:p>
    <w:p>
      <w:pPr>
        <w:jc w:val="both"/>
        <w:spacing w:after="0" w:line="236"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for exhibition in movie theaters and is significantly affected by the timing of each release and the number of films we distribute, as well as their acceptance by consumers.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Theatrical revenue decreased in 2014 and increased in 2013 primarily due to the strong performance of our major films in 2013, including </w:t>
      </w:r>
      <w:r>
        <w:rPr>
          <w:rFonts w:ascii="Arial" w:cs="Arial" w:eastAsia="Arial" w:hAnsi="Arial"/>
          <w:sz w:val="18"/>
          <w:szCs w:val="18"/>
          <w:i w:val="1"/>
          <w:iCs w:val="1"/>
          <w:color w:val="auto"/>
        </w:rPr>
        <w:t xml:space="preserve">Despicable Me 2 </w:t>
      </w:r>
      <w:r>
        <w:rPr>
          <w:rFonts w:ascii="Arial" w:cs="Arial" w:eastAsia="Arial" w:hAnsi="Arial"/>
          <w:sz w:val="18"/>
          <w:szCs w:val="18"/>
          <w:color w:val="auto"/>
        </w:rPr>
        <w:t>and</w:t>
      </w:r>
      <w:r>
        <w:rPr>
          <w:rFonts w:ascii="Arial" w:cs="Arial" w:eastAsia="Arial" w:hAnsi="Arial"/>
          <w:sz w:val="18"/>
          <w:szCs w:val="18"/>
          <w:i w:val="1"/>
          <w:iCs w:val="1"/>
          <w:color w:val="auto"/>
        </w:rPr>
        <w:t xml:space="preserve"> Fast and Furious 6. </w:t>
      </w:r>
      <w:r>
        <w:rPr>
          <w:rFonts w:ascii="Arial" w:cs="Arial" w:eastAsia="Arial" w:hAnsi="Arial"/>
          <w:sz w:val="18"/>
          <w:szCs w:val="18"/>
          <w:color w:val="auto"/>
        </w:rPr>
        <w:t>The decrease in theatrical revenue in 2014 was partially offset by the performance of our current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releases, including </w:t>
      </w:r>
      <w:r>
        <w:rPr>
          <w:rFonts w:ascii="Arial" w:cs="Arial" w:eastAsia="Arial" w:hAnsi="Arial"/>
          <w:sz w:val="18"/>
          <w:szCs w:val="18"/>
          <w:i w:val="1"/>
          <w:iCs w:val="1"/>
          <w:color w:val="auto"/>
        </w:rPr>
        <w:t>Lucy</w:t>
      </w:r>
      <w:r>
        <w:rPr>
          <w:rFonts w:ascii="Arial" w:cs="Arial" w:eastAsia="Arial" w:hAnsi="Arial"/>
          <w:sz w:val="18"/>
          <w:szCs w:val="18"/>
          <w:color w:val="auto"/>
        </w:rPr>
        <w:t xml:space="preserve"> and </w:t>
      </w:r>
      <w:r>
        <w:rPr>
          <w:rFonts w:ascii="Arial" w:cs="Arial" w:eastAsia="Arial" w:hAnsi="Arial"/>
          <w:sz w:val="18"/>
          <w:szCs w:val="18"/>
          <w:i w:val="1"/>
          <w:iCs w:val="1"/>
          <w:color w:val="auto"/>
        </w:rPr>
        <w:t>Neighbors</w:t>
      </w:r>
      <w:r>
        <w:rPr>
          <w:rFonts w:ascii="Arial" w:cs="Arial" w:eastAsia="Arial" w:hAnsi="Arial"/>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ind w:right="2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cable, broadcast and premium networks, as well as to digital distributors.</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Content licensing revenue increased in 2014 primarily due to the timing of availability of content under licensing agreements related to our film library. Content licensing revenue increased in 2013 primarily due to the international licensing of our 2012 theatrical releases, as well as from the licensing of our 2013 theatrical releases to digital distributors.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Home Entertainment</w:t>
      </w:r>
    </w:p>
    <w:p>
      <w:pPr>
        <w:jc w:val="both"/>
        <w:spacing w:after="0" w:line="237" w:lineRule="auto"/>
        <w:rPr>
          <w:sz w:val="20"/>
          <w:szCs w:val="20"/>
          <w:color w:val="auto"/>
        </w:rPr>
      </w:pPr>
      <w:r>
        <w:rPr>
          <w:rFonts w:ascii="Arial" w:cs="Arial" w:eastAsia="Arial" w:hAnsi="Arial"/>
          <w:sz w:val="18"/>
          <w:szCs w:val="18"/>
          <w:color w:val="auto"/>
        </w:rPr>
        <w:t>Home entertainment revenue is generated from the sale of our owned and acquired films on DVDs to retail stores, rental kiosks and subscription by mail services, and electronically through digital distributors.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Home entertainment revenue decreased in 2014 primarily due to the strong performance of our 2013 releases, including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w:t>
      </w:r>
      <w:r>
        <w:rPr>
          <w:rFonts w:ascii="Arial" w:cs="Arial" w:eastAsia="Arial" w:hAnsi="Arial"/>
          <w:sz w:val="18"/>
          <w:szCs w:val="18"/>
          <w:color w:val="auto"/>
        </w:rPr>
        <w:t xml:space="preserve"> </w:t>
      </w:r>
      <w:r>
        <w:rPr>
          <w:rFonts w:ascii="Arial" w:cs="Arial" w:eastAsia="Arial" w:hAnsi="Arial"/>
          <w:sz w:val="18"/>
          <w:szCs w:val="18"/>
          <w:i w:val="1"/>
          <w:iCs w:val="1"/>
          <w:color w:val="auto"/>
        </w:rPr>
        <w:t>and Furious 6</w:t>
      </w:r>
      <w:r>
        <w:rPr>
          <w:rFonts w:ascii="Arial" w:cs="Arial" w:eastAsia="Arial" w:hAnsi="Arial"/>
          <w:sz w:val="18"/>
          <w:szCs w:val="18"/>
          <w:color w:val="auto"/>
        </w:rPr>
        <w:t>. Home entertainment revenue remained flat in 2013 primarily due to a decrease in the number of releases in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2012 offset by the strong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p>
    <w:p>
      <w:pPr>
        <w:spacing w:after="0" w:line="1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overall DVD market continues to experience declines due to the maturation of the standard-definition DVD format, piracy, and increasing shifts in consumer behavior toward digital distributors, and subscription rental services, all of which generate less revenue per transaction than DVD sales.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9" w:lineRule="auto"/>
        <w:rPr>
          <w:sz w:val="20"/>
          <w:szCs w:val="20"/>
          <w:color w:val="auto"/>
        </w:rPr>
      </w:pPr>
      <w:r>
        <w:rPr>
          <w:rFonts w:ascii="Arial" w:cs="Arial" w:eastAsia="Arial" w:hAnsi="Arial"/>
          <w:sz w:val="18"/>
          <w:szCs w:val="18"/>
          <w:color w:val="auto"/>
        </w:rPr>
        <w:t>We also generate revenue from producing and licensing live stage plays, from distributing filmed entertainment produced by third parties and from a movie ticketing and entertainment business.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increased in 2014 primarily due to the inclusion of Fandango in 2014, which was previously presented in our Cable Networks segment. Other revenue increased slightly in 2013 primarily due to an increase in revenue generated from our stage plays.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 Costs</w:t>
      </w:r>
    </w:p>
    <w:p>
      <w:pPr>
        <w:jc w:val="both"/>
        <w:spacing w:after="0" w:line="236" w:lineRule="auto"/>
        <w:rPr>
          <w:sz w:val="20"/>
          <w:szCs w:val="20"/>
          <w:color w:val="auto"/>
        </w:rPr>
      </w:pPr>
      <w:r>
        <w:rPr>
          <w:rFonts w:ascii="Arial" w:cs="Arial" w:eastAsia="Arial" w:hAnsi="Arial"/>
          <w:sz w:val="18"/>
          <w:szCs w:val="18"/>
          <w:color w:val="auto"/>
        </w:rPr>
        <w:t>Programming and production costs include the amortization of capitalized film production and acquisition costs, residual and participation payments, and distribution expenses. Residual payments represent amounts payable to certain of our employees, including freelance and temporary employees, who are represented by labor unions or guilds and are based on post-theatrical revenue. Participation payments are primarily based on film performance and represent contingent consideration payable to creative talent, third parties that have entered into cofinancing agreements with us and other parties involved in the production of a film.</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Programming and production costs decreased in 2014 and 2013 primarily due to lower amortization of film costs associated with the lower costs of our 2014 and 2013 film slates compared to their respective prior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 Costs and Expenses</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and administrative expenses increased in 2014 primarily due to the inclusion of Fandango in 2014, which was previously presented in our Cable Networks segment. Other operating and administrative expenses increased in 2013 primarily due to the realization of a receivable in 2012 that was previously reserved for as uncollectible.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6" w:lineRule="auto"/>
        <w:rPr>
          <w:sz w:val="20"/>
          <w:szCs w:val="20"/>
          <w:color w:val="auto"/>
        </w:rPr>
      </w:pPr>
      <w:r>
        <w:rPr>
          <w:rFonts w:ascii="Arial" w:cs="Arial" w:eastAsia="Arial" w:hAnsi="Arial"/>
          <w:sz w:val="18"/>
          <w:szCs w:val="18"/>
          <w:color w:val="auto"/>
        </w:rPr>
        <w:t>Advertising, marketing and promotion expenses consist primarily of expenses associated with advertising for our theatrical releases and the marketing of DVDs. We incur significant marketing expenses before and throughout the release of a film in movie theaters. As a result, we typically incur losses on a film prior to and during the film’s exhibition in movie theaters and may not realize profits, if any, until the film generates home entertainment and content licensing revenue. The costs associated with producing and marketing films have generally increased in recent years and may continue to increase in the future.</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Advertising, marketing and promotion expenses decreased in 2014 and 2013 primarily due to fewer significant theatrical releases compared to their respective prior years.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Theme Parks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40"/>
              <w:spacing w:after="0"/>
              <w:rPr>
                <w:sz w:val="20"/>
                <w:szCs w:val="20"/>
                <w:color w:val="auto"/>
              </w:rPr>
            </w:pPr>
            <w:r>
              <w:rPr>
                <w:rFonts w:ascii="Arial" w:cs="Arial" w:eastAsia="Arial" w:hAnsi="Arial"/>
                <w:sz w:val="14"/>
                <w:szCs w:val="14"/>
                <w:color w:val="auto"/>
              </w:rPr>
              <w:t>% Change</w:t>
            </w:r>
          </w:p>
        </w:tc>
      </w:tr>
      <w:tr>
        <w:trPr>
          <w:trHeight w:val="179"/>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 to 2014</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 to 2013</w:t>
            </w:r>
          </w:p>
        </w:tc>
      </w:tr>
      <w:tr>
        <w:trPr>
          <w:trHeight w:val="177"/>
        </w:trPr>
        <w:tc>
          <w:tcPr>
            <w:tcW w:w="574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820" w:type="dxa"/>
            <w:vAlign w:val="bottom"/>
          </w:tcPr>
          <w:p>
            <w:pPr>
              <w:jc w:val="right"/>
              <w:ind w:right="17"/>
              <w:spacing w:after="0" w:line="177" w:lineRule="exact"/>
              <w:rPr>
                <w:sz w:val="20"/>
                <w:szCs w:val="20"/>
                <w:color w:val="auto"/>
              </w:rPr>
            </w:pPr>
            <w:r>
              <w:rPr>
                <w:rFonts w:ascii="Arial" w:cs="Arial" w:eastAsia="Arial" w:hAnsi="Arial"/>
                <w:sz w:val="18"/>
                <w:szCs w:val="18"/>
                <w:b w:val="1"/>
                <w:bCs w:val="1"/>
                <w:color w:val="auto"/>
              </w:rPr>
              <w:t>$ 2,623</w:t>
            </w:r>
          </w:p>
        </w:tc>
        <w:tc>
          <w:tcPr>
            <w:tcW w:w="820" w:type="dxa"/>
            <w:vAlign w:val="bottom"/>
          </w:tcPr>
          <w:p>
            <w:pPr>
              <w:jc w:val="right"/>
              <w:ind w:right="17"/>
              <w:spacing w:after="0" w:line="177" w:lineRule="exact"/>
              <w:rPr>
                <w:sz w:val="20"/>
                <w:szCs w:val="20"/>
                <w:color w:val="auto"/>
              </w:rPr>
            </w:pPr>
            <w:r>
              <w:rPr>
                <w:rFonts w:ascii="Arial" w:cs="Arial" w:eastAsia="Arial" w:hAnsi="Arial"/>
                <w:sz w:val="18"/>
                <w:szCs w:val="18"/>
                <w:color w:val="auto"/>
              </w:rPr>
              <w:t>$ 2,235</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2,085</w:t>
            </w:r>
          </w:p>
        </w:tc>
        <w:tc>
          <w:tcPr>
            <w:tcW w:w="1160" w:type="dxa"/>
            <w:vAlign w:val="bottom"/>
          </w:tcPr>
          <w:p>
            <w:pPr>
              <w:ind w:left="580"/>
              <w:spacing w:after="0" w:line="177" w:lineRule="exact"/>
              <w:rPr>
                <w:sz w:val="20"/>
                <w:szCs w:val="20"/>
                <w:color w:val="auto"/>
              </w:rPr>
            </w:pPr>
            <w:r>
              <w:rPr>
                <w:rFonts w:ascii="Arial" w:cs="Arial" w:eastAsia="Arial" w:hAnsi="Arial"/>
                <w:sz w:val="18"/>
                <w:szCs w:val="18"/>
                <w:b w:val="1"/>
                <w:bCs w:val="1"/>
                <w:color w:val="auto"/>
              </w:rPr>
              <w:t>17.3%</w:t>
            </w:r>
          </w:p>
        </w:tc>
        <w:tc>
          <w:tcPr>
            <w:tcW w:w="1080" w:type="dxa"/>
            <w:vAlign w:val="bottom"/>
          </w:tcPr>
          <w:p>
            <w:pPr>
              <w:ind w:left="620"/>
              <w:spacing w:after="0" w:line="177" w:lineRule="exact"/>
              <w:rPr>
                <w:sz w:val="20"/>
                <w:szCs w:val="20"/>
                <w:color w:val="auto"/>
              </w:rPr>
            </w:pPr>
            <w:r>
              <w:rPr>
                <w:rFonts w:ascii="Arial" w:cs="Arial" w:eastAsia="Arial" w:hAnsi="Arial"/>
                <w:sz w:val="18"/>
                <w:szCs w:val="18"/>
                <w:color w:val="auto"/>
              </w:rPr>
              <w:t>7.2%</w:t>
            </w:r>
          </w:p>
        </w:tc>
      </w:tr>
      <w:tr>
        <w:trPr>
          <w:trHeight w:val="221"/>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1,455</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1,231</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1,132</w:t>
            </w: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18.1</w:t>
            </w: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8.8</w:t>
            </w:r>
          </w:p>
        </w:tc>
      </w:tr>
      <w:tr>
        <w:trPr>
          <w:trHeight w:val="196"/>
        </w:trPr>
        <w:tc>
          <w:tcPr>
            <w:tcW w:w="57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82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$ 1,168</w:t>
            </w:r>
          </w:p>
        </w:tc>
        <w:tc>
          <w:tcPr>
            <w:tcW w:w="82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$ 1,004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953</w:t>
            </w:r>
          </w:p>
        </w:tc>
        <w:tc>
          <w:tcPr>
            <w:tcW w:w="1160" w:type="dxa"/>
            <w:vAlign w:val="bottom"/>
            <w:tcBorders>
              <w:bottom w:val="single" w:sz="8" w:color="0C6DFF"/>
            </w:tcBorders>
          </w:tcPr>
          <w:p>
            <w:pPr>
              <w:ind w:left="580"/>
              <w:spacing w:after="0" w:line="196" w:lineRule="exact"/>
              <w:rPr>
                <w:sz w:val="20"/>
                <w:szCs w:val="20"/>
                <w:color w:val="auto"/>
              </w:rPr>
            </w:pPr>
            <w:r>
              <w:rPr>
                <w:rFonts w:ascii="Arial" w:cs="Arial" w:eastAsia="Arial" w:hAnsi="Arial"/>
                <w:sz w:val="18"/>
                <w:szCs w:val="18"/>
                <w:b w:val="1"/>
                <w:bCs w:val="1"/>
                <w:color w:val="auto"/>
              </w:rPr>
              <w:t>16.4%</w:t>
            </w:r>
          </w:p>
        </w:tc>
        <w:tc>
          <w:tcPr>
            <w:tcW w:w="1080" w:type="dxa"/>
            <w:vAlign w:val="bottom"/>
            <w:tcBorders>
              <w:bottom w:val="single" w:sz="8" w:color="0C6DFF"/>
            </w:tcBorders>
          </w:tcPr>
          <w:p>
            <w:pPr>
              <w:ind w:left="620"/>
              <w:spacing w:after="0" w:line="196" w:lineRule="exact"/>
              <w:rPr>
                <w:sz w:val="20"/>
                <w:szCs w:val="20"/>
                <w:color w:val="auto"/>
              </w:rPr>
            </w:pPr>
            <w:r>
              <w:rPr>
                <w:rFonts w:ascii="Arial" w:cs="Arial" w:eastAsia="Arial" w:hAnsi="Arial"/>
                <w:sz w:val="18"/>
                <w:szCs w:val="18"/>
                <w:color w:val="auto"/>
              </w:rPr>
              <w:t>5.3%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Theme Parks segment revenue is generated primarily from theme park attendance and per capita spending at our Universal theme parks in Orlando, Florida and Hollywood, California, as well as from licensing and other fees. Attendance at our theme parks and per capita spending depend heavily on the general environment for travel and tourism, including consumer spending on travel and other recreational activities. Licensing and other fees relate primarily to our agreements with third parties that operate the Universal Studios Japan and the Universal Studios Singapore theme parks to license the Universal Studios brand name and other intellectual property.</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revenue increased in 2014 and 2013 primarily due to higher guest attendance and increases in per capita spending at our Orlando and Hollywood theme parks. The increase in 2014 was primarily due to new attractions, such as </w:t>
      </w:r>
      <w:r>
        <w:rPr>
          <w:rFonts w:ascii="Arial" w:cs="Arial" w:eastAsia="Arial" w:hAnsi="Arial"/>
          <w:sz w:val="18"/>
          <w:szCs w:val="18"/>
          <w:i w:val="1"/>
          <w:iCs w:val="1"/>
          <w:color w:val="auto"/>
        </w:rPr>
        <w:t>The Wizarding World of Harry Potter™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Diagon Alley™ </w:t>
      </w:r>
      <w:r>
        <w:rPr>
          <w:rFonts w:ascii="Arial" w:cs="Arial" w:eastAsia="Arial" w:hAnsi="Arial"/>
          <w:sz w:val="18"/>
          <w:szCs w:val="18"/>
          <w:color w:val="auto"/>
        </w:rPr>
        <w:t>in Orlando and</w:t>
      </w:r>
      <w:r>
        <w:rPr>
          <w:rFonts w:ascii="Arial" w:cs="Arial" w:eastAsia="Arial" w:hAnsi="Arial"/>
          <w:sz w:val="18"/>
          <w:szCs w:val="18"/>
          <w:i w:val="1"/>
          <w:iCs w:val="1"/>
          <w:color w:val="auto"/>
        </w:rPr>
        <w:t xml:space="preserve"> Despicable Me: Minion Mayhem </w:t>
      </w:r>
      <w:r>
        <w:rPr>
          <w:rFonts w:ascii="Arial" w:cs="Arial" w:eastAsia="Arial" w:hAnsi="Arial"/>
          <w:sz w:val="18"/>
          <w:szCs w:val="18"/>
          <w:color w:val="auto"/>
        </w:rPr>
        <w:t>in Hollywood. The increase in 2013 was primarily due to the continued success of</w:t>
      </w:r>
      <w:r>
        <w:rPr>
          <w:rFonts w:ascii="Arial" w:cs="Arial" w:eastAsia="Arial" w:hAnsi="Arial"/>
          <w:sz w:val="18"/>
          <w:szCs w:val="18"/>
          <w:i w:val="1"/>
          <w:iCs w:val="1"/>
          <w:color w:val="auto"/>
        </w:rPr>
        <w:t xml:space="preserve"> The Wizarding World of Harry Potter™ </w:t>
      </w:r>
      <w:r>
        <w:rPr>
          <w:rFonts w:ascii="Arial" w:cs="Arial" w:eastAsia="Arial" w:hAnsi="Arial"/>
          <w:sz w:val="18"/>
          <w:szCs w:val="18"/>
          <w:color w:val="auto"/>
        </w:rPr>
        <w:t>attraction in Orlando and the</w:t>
      </w:r>
      <w:r>
        <w:rPr>
          <w:rFonts w:ascii="Arial" w:cs="Arial" w:eastAsia="Arial" w:hAnsi="Arial"/>
          <w:sz w:val="18"/>
          <w:szCs w:val="18"/>
          <w:i w:val="1"/>
          <w:iCs w:val="1"/>
          <w:color w:val="auto"/>
        </w:rPr>
        <w:t xml:space="preserve"> Transformers </w:t>
      </w:r>
      <w:r>
        <w:rPr>
          <w:rFonts w:ascii="Arial" w:cs="Arial" w:eastAsia="Arial" w:hAnsi="Arial"/>
          <w:sz w:val="18"/>
          <w:szCs w:val="18"/>
          <w:color w:val="auto"/>
        </w:rPr>
        <w:t>attractions in Orlando and Hollywood.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Theme Parks segment operating costs and expenses increased in 2014 and 2013 primarily due to additional costs at our Orlando and Hollywood theme parks associated with new attractions, such as </w:t>
      </w:r>
      <w:r>
        <w:rPr>
          <w:rFonts w:ascii="Arial" w:cs="Arial" w:eastAsia="Arial" w:hAnsi="Arial"/>
          <w:sz w:val="18"/>
          <w:szCs w:val="18"/>
          <w:i w:val="1"/>
          <w:iCs w:val="1"/>
          <w:color w:val="auto"/>
        </w:rPr>
        <w:t>The Wizarding World of Harry Potter™ – Diagon Alley™</w:t>
      </w:r>
      <w:r>
        <w:rPr>
          <w:rFonts w:ascii="Arial" w:cs="Arial" w:eastAsia="Arial" w:hAnsi="Arial"/>
          <w:sz w:val="18"/>
          <w:szCs w:val="18"/>
          <w:color w:val="auto"/>
        </w:rPr>
        <w:t xml:space="preserve"> in Orlando in 2014 and increases in food, beverage and merchandise costs associated with the increases in attendance in both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Headquarters and Other operating costs and expenses incurred by our NBCUniversal businesses include overhead, personnel costs and costs associated with corporate initiatives. Operating costs and expenses increased in 2014 and 2013 primarily due to higher employee-related costs, including severance costs in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jc w:val="right"/>
              <w:ind w:right="132"/>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spacing w:after="0"/>
              <w:rPr>
                <w:sz w:val="20"/>
                <w:szCs w:val="20"/>
                <w:color w:val="auto"/>
              </w:rPr>
            </w:pPr>
            <w:r>
              <w:rPr>
                <w:rFonts w:ascii="Arial" w:cs="Arial" w:eastAsia="Arial" w:hAnsi="Arial"/>
                <w:sz w:val="14"/>
                <w:szCs w:val="14"/>
                <w:color w:val="auto"/>
              </w:rPr>
              <w:t>% Change</w:t>
            </w:r>
          </w:p>
        </w:tc>
      </w:tr>
      <w:tr>
        <w:trPr>
          <w:trHeight w:val="165"/>
        </w:trPr>
        <w:tc>
          <w:tcPr>
            <w:tcW w:w="4720" w:type="dxa"/>
            <w:vAlign w:val="bottom"/>
          </w:tcPr>
          <w:p>
            <w:pPr>
              <w:spacing w:after="0"/>
              <w:rPr>
                <w:sz w:val="20"/>
                <w:szCs w:val="20"/>
                <w:color w:val="auto"/>
              </w:rPr>
            </w:pPr>
            <w:r>
              <w:rPr>
                <w:rFonts w:ascii="Arial" w:cs="Arial" w:eastAsia="Arial" w:hAnsi="Arial"/>
                <w:sz w:val="14"/>
                <w:szCs w:val="14"/>
                <w:color w:val="auto"/>
              </w:rPr>
              <w:t>Year ended December 31 (in millions)</w:t>
            </w:r>
          </w:p>
        </w:tc>
        <w:tc>
          <w:tcPr>
            <w:tcW w:w="29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2013</w:t>
            </w:r>
          </w:p>
        </w:tc>
        <w:tc>
          <w:tcPr>
            <w:tcW w:w="1740" w:type="dxa"/>
            <w:vAlign w:val="bottom"/>
          </w:tcPr>
          <w:p>
            <w:pPr>
              <w:jc w:val="right"/>
              <w:ind w:right="132"/>
              <w:spacing w:after="0"/>
              <w:rPr>
                <w:sz w:val="20"/>
                <w:szCs w:val="20"/>
                <w:color w:val="auto"/>
              </w:rPr>
            </w:pPr>
            <w:r>
              <w:rPr>
                <w:rFonts w:ascii="Arial" w:cs="Arial" w:eastAsia="Arial" w:hAnsi="Arial"/>
                <w:sz w:val="14"/>
                <w:szCs w:val="14"/>
                <w:color w:val="auto"/>
              </w:rPr>
              <w:t xml:space="preserve">2012   </w:t>
            </w:r>
            <w:r>
              <w:rPr>
                <w:rFonts w:ascii="Arial" w:cs="Arial" w:eastAsia="Arial" w:hAnsi="Arial"/>
                <w:sz w:val="14"/>
                <w:szCs w:val="14"/>
                <w:b w:val="1"/>
                <w:bCs w:val="1"/>
                <w:color w:val="auto"/>
              </w:rPr>
              <w:t>2013 to 2014</w:t>
            </w:r>
          </w:p>
        </w:tc>
        <w:tc>
          <w:tcPr>
            <w:tcW w:w="980" w:type="dxa"/>
            <w:vAlign w:val="bottom"/>
          </w:tcPr>
          <w:p>
            <w:pPr>
              <w:jc w:val="right"/>
              <w:spacing w:after="0"/>
              <w:rPr>
                <w:sz w:val="20"/>
                <w:szCs w:val="20"/>
                <w:color w:val="auto"/>
              </w:rPr>
            </w:pPr>
            <w:r>
              <w:rPr>
                <w:rFonts w:ascii="Arial" w:cs="Arial" w:eastAsia="Arial" w:hAnsi="Arial"/>
                <w:sz w:val="14"/>
                <w:szCs w:val="14"/>
                <w:color w:val="auto"/>
              </w:rPr>
              <w:t>2012 to 2013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9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b w:val="1"/>
                <w:bCs w:val="1"/>
                <w:color w:val="auto"/>
              </w:rPr>
              <w:t>709</w:t>
            </w:r>
          </w:p>
        </w:tc>
        <w:tc>
          <w:tcPr>
            <w:tcW w:w="1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52"/>
              <w:spacing w:after="0" w:line="177" w:lineRule="exact"/>
              <w:rPr>
                <w:sz w:val="20"/>
                <w:szCs w:val="20"/>
                <w:color w:val="auto"/>
              </w:rPr>
            </w:pPr>
            <w:r>
              <w:rPr>
                <w:rFonts w:ascii="Arial" w:cs="Arial" w:eastAsia="Arial" w:hAnsi="Arial"/>
                <w:sz w:val="18"/>
                <w:szCs w:val="18"/>
                <w:color w:val="auto"/>
              </w:rPr>
              <w:t>600</w:t>
            </w:r>
          </w:p>
        </w:tc>
        <w:tc>
          <w:tcPr>
            <w:tcW w:w="2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252"/>
              <w:spacing w:after="0" w:line="177" w:lineRule="exact"/>
              <w:rPr>
                <w:sz w:val="20"/>
                <w:szCs w:val="20"/>
                <w:color w:val="auto"/>
              </w:rPr>
            </w:pPr>
            <w:r>
              <w:rPr>
                <w:rFonts w:ascii="Arial" w:cs="Arial" w:eastAsia="Arial" w:hAnsi="Arial"/>
                <w:sz w:val="18"/>
                <w:szCs w:val="18"/>
                <w:color w:val="auto"/>
              </w:rPr>
              <w:t>498</w:t>
            </w:r>
          </w:p>
        </w:tc>
        <w:tc>
          <w:tcPr>
            <w:tcW w:w="1180" w:type="dxa"/>
            <w:vAlign w:val="bottom"/>
            <w:tcBorders>
              <w:top w:val="single" w:sz="8" w:color="auto"/>
            </w:tcBorders>
          </w:tcPr>
          <w:p>
            <w:pPr>
              <w:jc w:val="right"/>
              <w:ind w:right="252"/>
              <w:spacing w:after="0" w:line="177" w:lineRule="exact"/>
              <w:rPr>
                <w:sz w:val="20"/>
                <w:szCs w:val="20"/>
                <w:color w:val="auto"/>
              </w:rPr>
            </w:pPr>
            <w:r>
              <w:rPr>
                <w:rFonts w:ascii="Arial" w:cs="Arial" w:eastAsia="Arial" w:hAnsi="Arial"/>
                <w:sz w:val="18"/>
                <w:szCs w:val="18"/>
                <w:b w:val="1"/>
                <w:bCs w:val="1"/>
                <w:color w:val="auto"/>
              </w:rPr>
              <w:t>18.1%</w:t>
            </w:r>
          </w:p>
        </w:tc>
        <w:tc>
          <w:tcPr>
            <w:tcW w:w="940" w:type="dxa"/>
            <w:vAlign w:val="bottom"/>
            <w:tcBorders>
              <w:top w:val="single" w:sz="8" w:color="auto"/>
            </w:tcBorders>
          </w:tcPr>
          <w:p>
            <w:pPr>
              <w:jc w:val="right"/>
              <w:ind w:right="32"/>
              <w:spacing w:after="0" w:line="177" w:lineRule="exact"/>
              <w:rPr>
                <w:sz w:val="20"/>
                <w:szCs w:val="20"/>
                <w:color w:val="auto"/>
              </w:rPr>
            </w:pPr>
            <w:r>
              <w:rPr>
                <w:rFonts w:ascii="Arial" w:cs="Arial" w:eastAsia="Arial" w:hAnsi="Arial"/>
                <w:sz w:val="18"/>
                <w:szCs w:val="18"/>
                <w:color w:val="auto"/>
              </w:rPr>
              <w:t>20.6%</w:t>
            </w: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1,487</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1,089</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874</w:t>
            </w: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36.5</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24.7</w:t>
            </w:r>
          </w:p>
        </w:tc>
      </w:tr>
      <w:tr>
        <w:trPr>
          <w:trHeight w:val="196"/>
        </w:trPr>
        <w:tc>
          <w:tcPr>
            <w:tcW w:w="50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Operating loss before depreciation and amortization</w:t>
            </w:r>
          </w:p>
        </w:tc>
        <w:tc>
          <w:tcPr>
            <w:tcW w:w="19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(778)</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(489)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192"/>
              <w:spacing w:after="0" w:line="196" w:lineRule="exact"/>
              <w:rPr>
                <w:sz w:val="20"/>
                <w:szCs w:val="20"/>
                <w:color w:val="auto"/>
              </w:rPr>
            </w:pPr>
            <w:r>
              <w:rPr>
                <w:rFonts w:ascii="Arial" w:cs="Arial" w:eastAsia="Arial" w:hAnsi="Arial"/>
                <w:sz w:val="18"/>
                <w:szCs w:val="18"/>
                <w:color w:val="auto"/>
                <w:w w:val="99"/>
              </w:rPr>
              <w:t>(376)</w:t>
            </w:r>
          </w:p>
        </w:tc>
        <w:tc>
          <w:tcPr>
            <w:tcW w:w="1180" w:type="dxa"/>
            <w:vAlign w:val="bottom"/>
            <w:tcBorders>
              <w:bottom w:val="single" w:sz="8" w:color="0C6DFF"/>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(59.1)%</w:t>
            </w:r>
          </w:p>
        </w:tc>
        <w:tc>
          <w:tcPr>
            <w:tcW w:w="9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(30.2)%</w:t>
            </w:r>
          </w:p>
        </w:tc>
      </w:tr>
      <w:tr>
        <w:trPr>
          <w:trHeight w:val="506"/>
        </w:trPr>
        <w:tc>
          <w:tcPr>
            <w:tcW w:w="504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940" w:type="dxa"/>
            <w:vAlign w:val="bottom"/>
          </w:tcPr>
          <w:p>
            <w:pPr>
              <w:jc w:val="right"/>
              <w:ind w:right="1059"/>
              <w:spacing w:after="0"/>
              <w:rPr>
                <w:sz w:val="20"/>
                <w:szCs w:val="20"/>
                <w:color w:val="auto"/>
              </w:rPr>
            </w:pPr>
            <w:r>
              <w:rPr>
                <w:rFonts w:ascii="Arial" w:cs="Arial" w:eastAsia="Arial" w:hAnsi="Arial"/>
                <w:sz w:val="14"/>
                <w:szCs w:val="14"/>
                <w:b w:val="1"/>
                <w:bCs w:val="1"/>
                <w:color w:val="auto"/>
              </w:rPr>
              <w:t>68</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Pennsylvania and operates arena management-related businesses.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increased in 2014 primarily due to an increase in revenue from food services associated with new contracts entered into by one of our Comcast-Spectacor businesses, as well as an increase in revenue associated with newly acquired businesses. Other revenue increased in 2013 primarily due to an increase in the number of NHL games compared to 2012 due to the NHL lockout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 of corporate initiatives and branding, and operating costs and expenses associated with Comcast-Spectacor.</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Corporate and Other operating costs and expenses increased in 2014 primarily due to $237 million of transaction-related costs associated with the Time Warner Cable merger and the divestiture transactions, as well as an increase in operating costs and expenses associated with new contracts entered into by one of our Comcast-Spectacor businesses. Corporate and Other operating costs and expenses also increased due to $25 million of costs associated with the 2014 Sochi Olympics. Corporate and Other operating costs and expenses increased in 2013 primarily due to $74 million of expenses associated with the final settlement of the terminated qualified pension plan that provided benefits to former employees of a company we acquired as part of the AT&amp;T Broadband transaction in 2002, as well as an increase in labor costs in our Comcast-Spectacor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Other Income (Expense)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r>
      <w:tr>
        <w:trPr>
          <w:trHeight w:val="177"/>
        </w:trPr>
        <w:tc>
          <w:tcPr>
            <w:tcW w:w="62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4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(2,617)</w:t>
            </w:r>
          </w:p>
        </w:tc>
        <w:tc>
          <w:tcPr>
            <w:tcW w:w="880" w:type="dxa"/>
            <w:vAlign w:val="bottom"/>
          </w:tcPr>
          <w:p>
            <w:pPr>
              <w:jc w:val="right"/>
              <w:spacing w:after="0" w:line="177" w:lineRule="exact"/>
              <w:rPr>
                <w:sz w:val="20"/>
                <w:szCs w:val="20"/>
                <w:color w:val="auto"/>
              </w:rPr>
            </w:pPr>
            <w:r>
              <w:rPr>
                <w:rFonts w:ascii="Arial" w:cs="Arial" w:eastAsia="Arial" w:hAnsi="Arial"/>
                <w:sz w:val="18"/>
                <w:szCs w:val="18"/>
                <w:color w:val="auto"/>
              </w:rPr>
              <w:t>$ (2,574)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rPr>
              <w:t>(2,521)</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Investment income (loss), net</w:t>
            </w:r>
          </w:p>
        </w:tc>
        <w:tc>
          <w:tcPr>
            <w:tcW w:w="346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296</w:t>
            </w:r>
          </w:p>
        </w:tc>
        <w:tc>
          <w:tcPr>
            <w:tcW w:w="8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576</w:t>
            </w:r>
          </w:p>
        </w:tc>
        <w:tc>
          <w:tcPr>
            <w:tcW w:w="200" w:type="dxa"/>
            <w:vAlign w:val="bottom"/>
          </w:tcPr>
          <w:p>
            <w:pPr>
              <w:spacing w:after="0"/>
              <w:rPr>
                <w:sz w:val="17"/>
                <w:szCs w:val="17"/>
                <w:color w:val="auto"/>
              </w:rPr>
            </w:pPr>
          </w:p>
        </w:tc>
        <w:tc>
          <w:tcPr>
            <w:tcW w:w="6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219</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46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97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6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959</w:t>
            </w:r>
          </w:p>
        </w:tc>
      </w:tr>
      <w:tr>
        <w:trPr>
          <w:trHeight w:val="221"/>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773</w:t>
            </w:r>
          </w:p>
        </w:tc>
      </w:tr>
      <w:tr>
        <w:trPr>
          <w:trHeight w:val="196"/>
        </w:trPr>
        <w:tc>
          <w:tcPr>
            <w:tcW w:w="62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(2,439)</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(2,448)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(570)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expense increased in 2014 primarily due to the effects of our interest rate derivative financial instruments. Interest expense increased in 2013 primarily due to an increase in our debt outstanding, partially offset by a lower average cost of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changes in investment income (loss), net in 2014 and 2013 were primarily due to the $443 million gain that was recorded in 2013 related to the sale of our investment in Clearwire Corporation in July 2013. The components of investment income (loss), net in 2014, 2013 and 2012 are presented in a table in Note 7 to Comcast’s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 in equity in net income (loss) of investees, net in 2014 was primarily due to $142 million of total equity losses recorded in 2013 attributable to our investment in Hulu, LLC (“Hulu”). In July 2013, we entered into an agreement to provide capital contributions totaling $247 million to Hulu, which we had previously accounted for as a cost method investment. This represented an agreement to provide our first capital contribution to Hulu since we acquired our interest in it as part of our acquisition of a controlling interest in NBCUniversal, LLC (“NBCUniversal Holdings”) in 2011 (the “NBCUniversal transaction”); therefore, we began</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apply the equity method of accounting for this investment. The change in the method of accounting for this investment required us to recognize our proportionate share of Hulu’s accumulated losses from the date of the NBCUniversal transaction through July 2013. The change in equity in net income (loss), net in 2013 was primarily due to $876 million of income that was recorded in 2012 related to our portion of a gain on the sale of advanced wireless services spectrum licenses through our investment in SpectrumCo, as well as $142 million of total equity losses recorded in 2013 attributable to our investment in Hulu.</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 in other income (expense), net in 2014 was primarily due to the net impact of an impairment of $236 million of our equity method investment in, and loans with, a regional sports cable network based in Houston, Texas and a $108 million gain related to our sale of wireless communications spectrum licenses in 2013, as well as a $27 million favorable settlement of a contingency recorded in 2014 related to the AT&amp;T Broadband transaction in 2002. The change in other income (expense), net in 2013 was primarily due to a $1 billion gain recorded in 2012 related to the sale of our investment in A&amp;E Television Networks LLC (“A&amp;E Television Networks”), as well as the net impact of the $236 million impairment related to our equity method investment in a regional sports cable network and a $108 million gain related to our sale of wireless communications spectrum licenses in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 expense reflects federal and state income taxes, adjustments associated with uncertain tax positions and, until we acquired General Electric Company’s (“GE”) 49% common equity interest in NBCUniversal Holdings that we did not already own in March 2013 (the “NBCUniversal redemption transaction”), the partnership structure of NBCUniversal Holdings whereby income tax expense was not recorded on the portion of its consolidated income that was attributable to GE’s noncontrolling interest. Our effective income tax rate in 2014, 2013 and 2012 was 31.1%, 35.8% and 32.3%, respectively.</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September 2014, we reduced our accruals for uncertain tax positions and the related accrued interest on these tax positions and, as a result, our income tax expense decreased by $724 million. See Note 15 to Comcast’s consolidated financial statements for additional information on the changes in our accruals for uncertain tax positions and related interest on these tax positions. In 2013, our effective income tax rate increased compared to 2012 due to the NBCUniversal redemption transaction, following which we recorded income tax expense on all of NBCUniversal’s consolidated income. In addition, our 2013 income tax expense was reduced by $158 million due to the nontaxable portion of the increase in tax basis associated with the redemption of Liberty Media Series A common stock in October 2013.</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income tax expense in the future may continue to be impacted by adjustments to uncertain tax positions and related interest, and changes in tax laws. We expect our 2015 annual effective tax rate to be in the range of 37% to 39%, absent changes in tax laws or significant changes in uncertain tax positions. In addition, the Time Warner Cable merger and the divestiture transactions may result in changes to our existing deferred income tax liabilities due to changes in the apportionment factors related to state income taxes. Any such changes will be reflected in income tax expense as of the respective closing dates.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Net (Income) Loss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decreases in net income attributable to noncontrolling interests and redeemable subsidiary preferred stock in 2014 and 2013 were primarily due to the NBCUniversal redemption transaction.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programs to meet our short-term liquidity requirements.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commercial paper programs provide a lower-cost source of borrowing to fund our short-term working capital requirements. These commercial paper programs are fully and unconditionally guaranteed by us and our 100% owned cable holding company subsidiaries, Comcast Cable Communications, LLC (“CCCL Parent”), Comcast MO Group, Inc. (“Comcast MO Group”), Comcast Cable Holdings, LLC (“CCH”) and Comcast MO of Delaware, LLC (“Comcast MO of Delaware”) (collectively, the “cable guarantors”), as well as by NBCUniversal. The Comcast commercial paper program is supported by the Comcast and Comcast Cable Communications, LLC $6.25 billion revolving credit facility due June 2017.</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2014, NBCUniversal Enterprise, Inc. (“NBCUniversal Enterprise”) entered into a commercial paper program. The maximum borrowing capacity under this commercial paper program is $1.35 billion, and it is supported by NBCUniversal Enterprise’s $1.35 billion revolving credit facility due March 2018.</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amounts available under our consolidated revolving credit facilities, net of amounts outstanding under our commercial paper programs and outstanding letters of credit, totaled $6.5 billion, which included $505 million available under the NBCUniversal Enterprise revolving credit facility.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NBCUniversal and the cable guarantors that have provided guarantees are subject to the covenants and restrictions set forth in the indentures governing our public debt securities and in the credit agreements governing the Comcast and Comcast Cable Communications, LLC revolving credit facility. We test for compliance with the covenants for this credit facility on an ongoing basis. The only financial covenant is in this credit facility and pertains to leverage, which is the ratio of debt to operating income before depreciation and amortization, as defined in the credit facility. As of December 31, 2014, we met this financial covenant by a significant margin. We do not expect to have to reduce debt or improve operating results in order to continue to comply with this financial covenant.</w:t>
      </w:r>
    </w:p>
    <w:p>
      <w:pPr>
        <w:spacing w:after="0" w:line="32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Cash Provided by Operating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r>
      <w:tr>
        <w:trPr>
          <w:trHeight w:val="177"/>
        </w:trPr>
        <w:tc>
          <w:tcPr>
            <w:tcW w:w="664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$ 14,904</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$ 13,563</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$ 12,179</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8,019</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7,871</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7,798</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Operating income before depreciation and amortization</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22,923</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21,434</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19,977</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513</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419</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371</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Termination of receivables monetization programs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(1,442)</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operating assets and liabilities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Cash basis 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23,079</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20,504</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19,930</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(2,389)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(3,668)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(3,946)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(2,841)</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Proceeds from investments and other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190</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162</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213</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196"/>
        </w:trPr>
        <w:tc>
          <w:tcPr>
            <w:tcW w:w="66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$ 16,945</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$ 14,160</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$ 14,854</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changes in operating assets and liabilities in 2014 compared to the changes in 2013 were primarily related to the timing of film and television production spending and related costs, net of amortization of approximately $600 million.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changes in operating assets and liabilities in 2013 compared to the changes in 2012 were primarily due to the timing of receipts for our accounts receivable, increases in deferred revenue associated with our Olympics broadcasts, and a decrease in film and television costs. The increases were partially offset by payments made in 2013 related to the termination of a film financing arrangement and payments of our accounts payable and accrued expenses related to trade creditors, as well as the timing of other operating items.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remained relatively flat in 2014 and 2013.</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decrease in income tax payments in 2014 was primarily due to the settlement of tax disputes and the repatriation of foreign earnings in 2013. The decrease was partially offset by higher taxable income from operations and the net impact of the economic stimulus legislation in 2014. The increase in income tax payments in 2013 was primarily due to higher taxable income from operations, the net impact of the economic stimulus legislation, the settlement of tax disputes and the repatriation of foreign earnings. We expect income tax payments to increase in 2015 primarily due to higher taxable income from operations and the net impact of economic stimulus legislation.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cash used in investing activities in 2014 consisted primarily of cash paid for capital expenditures and intangible assets. Net cash used in investing activities in 2013 consisted primarily of cash paid for capital expenditures, acquisitions and construction of real estate properties, purchases of investments and cash paid for intangible assets. Net cash used in investing activities in 2012 consisted primarily of cash paid for capital expenditures, intangible assets and purchases of investments, which was substantially offset by proceeds from the sale of investments and return of capital from investees.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Capital Expenditures</w:t>
      </w:r>
    </w:p>
    <w:p>
      <w:pPr>
        <w:jc w:val="both"/>
        <w:spacing w:after="0" w:line="238" w:lineRule="auto"/>
        <w:rPr>
          <w:sz w:val="20"/>
          <w:szCs w:val="20"/>
          <w:color w:val="auto"/>
        </w:rPr>
      </w:pPr>
      <w:r>
        <w:rPr>
          <w:rFonts w:ascii="Arial" w:cs="Arial" w:eastAsia="Arial" w:hAnsi="Arial"/>
          <w:sz w:val="18"/>
          <w:szCs w:val="18"/>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2014, 2013 and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8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2013</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2012</w:t>
            </w:r>
          </w:p>
        </w:tc>
      </w:tr>
      <w:tr>
        <w:trPr>
          <w:trHeight w:val="177"/>
        </w:trPr>
        <w:tc>
          <w:tcPr>
            <w:tcW w:w="596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382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rPr>
              <w:t>$ 2,047</w:t>
            </w:r>
          </w:p>
        </w:tc>
        <w:tc>
          <w:tcPr>
            <w:tcW w:w="820" w:type="dxa"/>
            <w:vAlign w:val="bottom"/>
          </w:tcPr>
          <w:p>
            <w:pPr>
              <w:jc w:val="right"/>
              <w:ind w:right="35"/>
              <w:spacing w:after="0" w:line="177" w:lineRule="exact"/>
              <w:rPr>
                <w:sz w:val="20"/>
                <w:szCs w:val="20"/>
                <w:color w:val="auto"/>
              </w:rPr>
            </w:pPr>
            <w:r>
              <w:rPr>
                <w:rFonts w:ascii="Arial" w:cs="Arial" w:eastAsia="Arial" w:hAnsi="Arial"/>
                <w:sz w:val="18"/>
                <w:szCs w:val="18"/>
                <w:color w:val="auto"/>
              </w:rPr>
              <w:t>$ 1,819</w:t>
            </w:r>
          </w:p>
        </w:tc>
        <w:tc>
          <w:tcPr>
            <w:tcW w:w="8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$ 1,720</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38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3,397</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2,990</w:t>
            </w: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2,678</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38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613</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527</w:t>
            </w: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462</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382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97</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67</w:t>
            </w: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57</w:t>
            </w:r>
          </w:p>
        </w:tc>
      </w:tr>
      <w:tr>
        <w:trPr>
          <w:trHeight w:val="221"/>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3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r>
      <w:tr>
        <w:trPr>
          <w:trHeight w:val="196"/>
        </w:trPr>
        <w:tc>
          <w:tcPr>
            <w:tcW w:w="59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82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$ 6,154</w:t>
            </w:r>
          </w:p>
        </w:tc>
        <w:tc>
          <w:tcPr>
            <w:tcW w:w="82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$ 5,403</w:t>
            </w:r>
          </w:p>
        </w:tc>
        <w:tc>
          <w:tcPr>
            <w:tcW w:w="8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$ 4,921</w:t>
            </w:r>
          </w:p>
        </w:tc>
      </w:tr>
    </w:tbl>
    <w:p>
      <w:pPr>
        <w:spacing w:after="0" w:line="16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Cable Communications capital expenditures increased in 2014 and 2013 primarily due to an increase in customer premise equipment purchases, including purchases related to our X1 platform and Cloud DVR technology, as well as purchases related to our wireless gateways in 2013, and increased investment in business services and network infrastructure to increase network capacity.</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Capital expenditures in our NBCUniversal segments increased 5.3% to $1.2 billion in 2014 and 52.0% to $1.2 billion in 2013 primarily due to continued investment in our Universal theme parks.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capital expenditures for 2015 are expected to increase as we continue to invest in the deployment of our X1 platform and Cloud DVR technology, and the expansion of business services and our home security and automation services. We also expect capital expenditures to increase in 2015 as a result of integration efforts following the close of the Time Warner Cable merger. Capital expenditures for subsequent years will depend on numerous factors, including acquisitions, competition, changes in technology, regulatory changes, the timing and rate of deployment of new services, and the capacity required for existing services. In addition, we expect to continue to invest in existing and new attractions at our Universal theme parks.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Cash Paid for Intangible Assets</w:t>
      </w:r>
    </w:p>
    <w:p>
      <w:pPr>
        <w:spacing w:after="0"/>
        <w:rPr>
          <w:sz w:val="20"/>
          <w:szCs w:val="20"/>
          <w:color w:val="auto"/>
        </w:rPr>
      </w:pPr>
      <w:r>
        <w:rPr>
          <w:rFonts w:ascii="Arial" w:cs="Arial" w:eastAsia="Arial" w:hAnsi="Arial"/>
          <w:sz w:val="18"/>
          <w:szCs w:val="18"/>
          <w:color w:val="auto"/>
        </w:rPr>
        <w:t>In 2014, 2013 and 2012, cash paid for intangible assets consisted primarily of expenditures for software.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Acquisitions and Construction of Real Estate Properties</w:t>
      </w:r>
    </w:p>
    <w:p>
      <w:pPr>
        <w:jc w:val="both"/>
        <w:spacing w:after="0" w:line="237" w:lineRule="auto"/>
        <w:rPr>
          <w:sz w:val="20"/>
          <w:szCs w:val="20"/>
          <w:color w:val="auto"/>
        </w:rPr>
      </w:pPr>
      <w:r>
        <w:rPr>
          <w:rFonts w:ascii="Arial" w:cs="Arial" w:eastAsia="Arial" w:hAnsi="Arial"/>
          <w:sz w:val="18"/>
          <w:szCs w:val="18"/>
          <w:color w:val="auto"/>
        </w:rPr>
        <w:t>Acquisitions and construction of real estate properties in 2014 was not significant. In 2013, acquisitions and construction of real estate properties included NBCUniversal’s purchases of the 30 Rockefeller Plaza properties it occupies and the property located at 10 Universal City Plaza, which is adjacent to Universal Studios Hollywood in University City, California, and our purchase of an 80% interest in a business whose primary asset is our corporate headquarters located in Philadelphia, Pennsylvania.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Proceeds from Sales of Businesses and Investments</w:t>
      </w:r>
    </w:p>
    <w:p>
      <w:pPr>
        <w:jc w:val="both"/>
        <w:spacing w:after="0" w:line="236" w:lineRule="auto"/>
        <w:rPr>
          <w:sz w:val="20"/>
          <w:szCs w:val="20"/>
          <w:color w:val="auto"/>
        </w:rPr>
      </w:pPr>
      <w:r>
        <w:rPr>
          <w:rFonts w:ascii="Arial" w:cs="Arial" w:eastAsia="Arial" w:hAnsi="Arial"/>
          <w:sz w:val="18"/>
          <w:szCs w:val="18"/>
          <w:color w:val="auto"/>
        </w:rPr>
        <w:t>In 2014, proceeds from sales of businesses and investments were primarily related to the sale of our investment in Arris Group and the sale of equity securities following the settlement of certain of our prepaid forward sale agreements. In 2013, proceeds from sales of businesses and investments were primarily related to the redemption of our Liberty Media Series A common stock by Liberty Media Corporation and the sale of our investment in Clearwire. In 2012, proceeds from sales of businesses and investments were primarily related to the sale of our investment in A&amp;E Television Networks. Following the sale of our investment in A&amp;E Television Networks, NBCUniversal no longer receives dividends from A&amp;E Television Networks. In 2012, NBCUniversal received $129 million in dividends from A&amp;E Television Networks, which were included in net cash provided by operating activities.</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Return of Capital from Investees</w:t>
      </w:r>
    </w:p>
    <w:p>
      <w:pPr>
        <w:jc w:val="both"/>
        <w:spacing w:after="0" w:line="238" w:lineRule="auto"/>
        <w:rPr>
          <w:sz w:val="20"/>
          <w:szCs w:val="20"/>
          <w:color w:val="auto"/>
        </w:rPr>
      </w:pPr>
      <w:r>
        <w:rPr>
          <w:rFonts w:ascii="Arial" w:cs="Arial" w:eastAsia="Arial" w:hAnsi="Arial"/>
          <w:sz w:val="18"/>
          <w:szCs w:val="18"/>
          <w:color w:val="auto"/>
        </w:rPr>
        <w:t>Our return of capital from investees in 2014 was not significant. In 2013, our return of capital from investees consisted primarily of a distribution received from The Weather Channel Holding Corp. In 2012, our return of capital from investees consisted primarily of distributions received from the SpectrumCo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Purchases of Investments</w:t>
      </w:r>
    </w:p>
    <w:p>
      <w:pPr>
        <w:jc w:val="both"/>
        <w:spacing w:after="0" w:line="239" w:lineRule="auto"/>
        <w:rPr>
          <w:sz w:val="20"/>
          <w:szCs w:val="20"/>
          <w:color w:val="auto"/>
        </w:rPr>
      </w:pPr>
      <w:r>
        <w:rPr>
          <w:rFonts w:ascii="Arial" w:cs="Arial" w:eastAsia="Arial" w:hAnsi="Arial"/>
          <w:sz w:val="18"/>
          <w:szCs w:val="18"/>
          <w:color w:val="auto"/>
        </w:rPr>
        <w:t>Our purchases of investments in 2014 were not significant. In 2013, our purchases of investments were primarily related to equity securities that were held as collateral for our prepaid forward sale agreements. Our purchases of investments in 2012 were not significant.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used in financing activities consisted primarily of repurchases of our common stock, repayments of debt and dividend payments, which were partially offset by proceeds from new borrowings. Proceeds from borrowings fluctuate from year to year based on the amounts paid to fund acquisitions and debt repayments.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10 to Comcast’s consolidated financial statements for additional information on our financing activities, including details of our debt repayments and borrowings.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 and Dividends</w:t>
      </w:r>
    </w:p>
    <w:p>
      <w:pPr>
        <w:jc w:val="both"/>
        <w:spacing w:after="0" w:line="236" w:lineRule="auto"/>
        <w:rPr>
          <w:sz w:val="20"/>
          <w:szCs w:val="20"/>
          <w:color w:val="auto"/>
        </w:rPr>
      </w:pPr>
      <w:r>
        <w:rPr>
          <w:rFonts w:ascii="Arial" w:cs="Arial" w:eastAsia="Arial" w:hAnsi="Arial"/>
          <w:sz w:val="18"/>
          <w:szCs w:val="18"/>
          <w:color w:val="auto"/>
        </w:rPr>
        <w:t>In January 2014, our Board of Directors increased our share repurchase program authorization to $7.5 billion. The authorization allows us to repurchase shares in the open market or in private transactions and does not have an expiration date. In 2014, we repurchased a total of 81 million shares of our Class A Special and Class A common stock for $4.25 billion, which includes $1.25 billion of the additional $2.5 billion of shares we committed to repurchase following the shareholder approvals for the Time Warner Cable merger. In addition, because we and Time Warner Cable have received shareholder approval for the merger, we intend to repurchase an additional $1.25 billion of shares through the close of the Time Warner Cable merger in early 2015, subject to market conditions. As of December 31, 2014, we had $3.25 billion remaining under the Board’s authorization.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our Board of Directors increased our share repurchase program authorization to $10 billion, which does not have an expiration date. Under this authorization, we may repurchase shares in the open market or in private transactions. We expect to repurchase $4.25 billion of shares during 2015, including the remaining $1.25 billion of additional shares we committed to repurchase in connection with the Time Warner Cable merger, subject to market conditions. Additional share repurchases above the $4.25 billion commitment in 2015 will be determined following the close of the Time Warner Cable merger and the related divestiture transactions with Charter.</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declared quarterly dividends totaling $2.3 billion in 2014. We paid dividends of $2.3 billion in 2014. In February 2015, our Board of Directors approved an 11.1% increase in our dividend to $1.00 per share on an annualized basis and approved our first quarter dividend of $0.25 per share to be paid in April 2015. We expect to continue to pay quarterly dividends, although each dividend is subject to approval by our Board of Directors.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our share repurchases and dividends paid in 2014,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5145405" cy="1783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Arial" w:cs="Arial" w:eastAsia="Arial" w:hAnsi="Arial"/>
                <w:sz w:val="14"/>
                <w:szCs w:val="14"/>
                <w:color w:val="auto"/>
              </w:rPr>
              <w:t>As of December 31, 2014 (in millions)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Payment Due by Period</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Year 1</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2-3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color w:val="auto"/>
                <w:w w:val="92"/>
              </w:rPr>
              <w:t>Years 4-5</w:t>
            </w:r>
          </w:p>
        </w:tc>
        <w:tc>
          <w:tcPr>
            <w:tcW w:w="9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672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48,203</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7"/>
              <w:spacing w:after="0" w:line="200" w:lineRule="exact"/>
              <w:rPr>
                <w:sz w:val="20"/>
                <w:szCs w:val="20"/>
                <w:color w:val="auto"/>
              </w:rPr>
            </w:pPr>
            <w:r>
              <w:rPr>
                <w:rFonts w:ascii="Arial" w:cs="Arial" w:eastAsia="Arial" w:hAnsi="Arial"/>
                <w:sz w:val="18"/>
                <w:szCs w:val="18"/>
                <w:color w:val="auto"/>
              </w:rPr>
              <w:t>4,211</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6,079</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6,318</w:t>
            </w:r>
          </w:p>
        </w:tc>
        <w:tc>
          <w:tcPr>
            <w:tcW w:w="24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31,595</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2,261</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399</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658</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450</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03"/>
        </w:trPr>
        <w:tc>
          <w:tcPr>
            <w:tcW w:w="672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220" w:type="dxa"/>
            <w:vAlign w:val="bottom"/>
          </w:tcPr>
          <w:p>
            <w:pPr>
              <w:spacing w:after="0"/>
              <w:rPr>
                <w:sz w:val="17"/>
                <w:szCs w:val="17"/>
                <w:color w:val="auto"/>
              </w:rPr>
            </w:pPr>
          </w:p>
        </w:tc>
        <w:tc>
          <w:tcPr>
            <w:tcW w:w="7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53,415</w:t>
            </w:r>
          </w:p>
        </w:tc>
        <w:tc>
          <w:tcPr>
            <w:tcW w:w="240" w:type="dxa"/>
            <w:vAlign w:val="bottom"/>
          </w:tcPr>
          <w:p>
            <w:pPr>
              <w:spacing w:after="0"/>
              <w:rPr>
                <w:sz w:val="17"/>
                <w:szCs w:val="17"/>
                <w:color w:val="auto"/>
              </w:rPr>
            </w:pPr>
          </w:p>
        </w:tc>
        <w:tc>
          <w:tcPr>
            <w:tcW w:w="6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8,882</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10,010</w:t>
            </w:r>
          </w:p>
        </w:tc>
        <w:tc>
          <w:tcPr>
            <w:tcW w:w="220" w:type="dxa"/>
            <w:vAlign w:val="bottom"/>
          </w:tcPr>
          <w:p>
            <w:pPr>
              <w:spacing w:after="0"/>
              <w:rPr>
                <w:sz w:val="17"/>
                <w:szCs w:val="17"/>
                <w:color w:val="auto"/>
              </w:rPr>
            </w:pPr>
          </w:p>
        </w:tc>
        <w:tc>
          <w:tcPr>
            <w:tcW w:w="7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7,869</w:t>
            </w:r>
          </w:p>
        </w:tc>
        <w:tc>
          <w:tcPr>
            <w:tcW w:w="24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26,654</w:t>
            </w:r>
          </w:p>
        </w:tc>
        <w:tc>
          <w:tcPr>
            <w:tcW w:w="0" w:type="dxa"/>
            <w:vAlign w:val="bottom"/>
          </w:tcPr>
          <w:p>
            <w:pPr>
              <w:spacing w:after="0"/>
              <w:rPr>
                <w:sz w:val="1"/>
                <w:szCs w:val="1"/>
                <w:color w:val="auto"/>
              </w:rPr>
            </w:pPr>
          </w:p>
        </w:tc>
      </w:tr>
      <w:tr>
        <w:trPr>
          <w:trHeight w:val="199"/>
        </w:trPr>
        <w:tc>
          <w:tcPr>
            <w:tcW w:w="6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7,787</w:t>
            </w: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960</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1,574</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933</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0C6DFF"/>
            </w:tcBorders>
          </w:tcPr>
          <w:p>
            <w:pPr>
              <w:spacing w:after="0" w:line="197" w:lineRule="exact"/>
              <w:rPr>
                <w:sz w:val="20"/>
                <w:szCs w:val="20"/>
                <w:color w:val="auto"/>
              </w:rPr>
            </w:pPr>
            <w:r>
              <w:rPr>
                <w:rFonts w:ascii="Arial" w:cs="Arial" w:eastAsia="Arial" w:hAnsi="Arial"/>
                <w:sz w:val="18"/>
                <w:szCs w:val="18"/>
                <w:color w:val="auto"/>
              </w:rPr>
              <w:t>Total</w:t>
            </w:r>
            <w:r>
              <w:rPr>
                <w:rFonts w:ascii="Arial" w:cs="Arial" w:eastAsia="Arial" w:hAnsi="Arial"/>
                <w:sz w:val="22"/>
                <w:szCs w:val="22"/>
                <w:color w:val="auto"/>
                <w:vertAlign w:val="superscript"/>
              </w:rPr>
              <w:t>(d)</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111,697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14,458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18,330</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15,574</w:t>
            </w:r>
          </w:p>
        </w:tc>
        <w:tc>
          <w:tcPr>
            <w:tcW w:w="24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63,335</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10 and Note 17 to Comcast’s consolidated financial statements.</w:t>
      </w:r>
    </w:p>
    <w:p>
      <w:pPr>
        <w:spacing w:after="0" w:line="55"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jc w:val="both"/>
        <w:ind w:left="300" w:hanging="292"/>
        <w:spacing w:after="0" w:line="223" w:lineRule="auto"/>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include programming contracts with cable networks and local broadcast television stations, contracts with customer premise equipment manufacturers, communications vendors and multichannel video providers for which we provide advertising sales representation, and other contracts entered into in the normal course of business. Cable Communications programming contracts in the table above include amounts payable under fixed or minimum guaranteed commitments and do not represent the total fees that are expected to be paid under programming contracts, which we expect to be higher because these contracts are generally based on the number of subscribers receiving the programming. Our purchase obligations related to our NBCUniversal segments consist primarily of commitments to acquire film and television programming, including U.S. television rights to future Olympic Games through 2032, </w:t>
      </w:r>
      <w:r>
        <w:rPr>
          <w:rFonts w:ascii="Arial" w:cs="Arial" w:eastAsia="Arial" w:hAnsi="Arial"/>
          <w:sz w:val="14"/>
          <w:szCs w:val="14"/>
          <w:i w:val="1"/>
          <w:iCs w:val="1"/>
          <w:color w:val="auto"/>
        </w:rPr>
        <w:t>Sunday Night Football</w:t>
      </w:r>
      <w:r>
        <w:rPr>
          <w:rFonts w:ascii="Arial" w:cs="Arial" w:eastAsia="Arial" w:hAnsi="Arial"/>
          <w:sz w:val="14"/>
          <w:szCs w:val="14"/>
          <w:color w:val="auto"/>
        </w:rPr>
        <w:t xml:space="preserve"> on NBC through the 2022-23 season, including the Super Bowl in 2015, 2018 and 2021, NHL games through the 2020-21 season, Spanish-language U.S. television rights to FIFA World Cup games through 2022, U.S television rights to English Premier League soccer games through the 2015-16 season, certain PGA TOUR golf events through 2021 and certain NASCAR events through 2024, as well as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56" w:lineRule="exact"/>
        <w:rPr>
          <w:rFonts w:ascii="Arial" w:cs="Arial" w:eastAsia="Arial" w:hAnsi="Arial"/>
          <w:sz w:val="14"/>
          <w:szCs w:val="14"/>
          <w:color w:val="auto"/>
        </w:rPr>
      </w:pPr>
    </w:p>
    <w:p>
      <w:pPr>
        <w:jc w:val="both"/>
        <w:ind w:left="280" w:hanging="272"/>
        <w:spacing w:after="0" w:line="224"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long-term liabilities reflected on the balance sheet consist primarily of subsidiary preferred shares; deferred compensation obligations; pension, postretirement and postemployment benefit obligations; a contingent consideration obligation related to the NBCUniversal transaction; and a contractual obligation acquired in connection with the Universal Orlando transaction. This contractual obligation involves financial interests held by a third party in certain NBCUniversal businesses and is based on a percentage of future revenue of the specified businesses. This contractual obligation provides the third party with the option, beginning in 2017, to require NBCUniversal to purchase the interest for cash in an amount equal to the fair value of the estimated future payments. Reserves for uncertain tax positions of $1.2 billion are not included in the table above because it is uncertain if and when these reserves will become payable. Payments of $1.8 billion of participations and residuals are also not included in the table above because we cannot make a reliable estimate of the period in which these obligations will be settled.</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1"/>
        </w:trPr>
        <w:tc>
          <w:tcPr>
            <w:tcW w:w="73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Liabilities recorded on the balance sheet</w:t>
            </w:r>
          </w:p>
        </w:tc>
        <w:tc>
          <w:tcPr>
            <w:tcW w:w="35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32"/>
              <w:spacing w:after="0" w:line="141" w:lineRule="exact"/>
              <w:rPr>
                <w:sz w:val="20"/>
                <w:szCs w:val="20"/>
                <w:color w:val="auto"/>
              </w:rPr>
            </w:pPr>
            <w:r>
              <w:rPr>
                <w:rFonts w:ascii="Arial" w:cs="Arial" w:eastAsia="Arial" w:hAnsi="Arial"/>
                <w:sz w:val="14"/>
                <w:szCs w:val="14"/>
                <w:color w:val="auto"/>
              </w:rPr>
              <w:t>57,434</w:t>
            </w:r>
          </w:p>
        </w:tc>
      </w:tr>
      <w:tr>
        <w:trPr>
          <w:trHeight w:val="149"/>
        </w:trPr>
        <w:tc>
          <w:tcPr>
            <w:tcW w:w="73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3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54,263</w:t>
            </w:r>
          </w:p>
        </w:tc>
      </w:tr>
      <w:tr>
        <w:trPr>
          <w:trHeight w:val="142"/>
        </w:trPr>
        <w:tc>
          <w:tcPr>
            <w:tcW w:w="7320" w:type="dxa"/>
            <w:vAlign w:val="bottom"/>
            <w:tcBorders>
              <w:bottom w:val="single" w:sz="8" w:color="0C6DFF"/>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350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C6DFF"/>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111,697</w:t>
            </w:r>
          </w:p>
        </w:tc>
      </w:tr>
      <w:tr>
        <w:trPr>
          <w:trHeight w:val="506"/>
        </w:trPr>
        <w:tc>
          <w:tcPr>
            <w:tcW w:w="7320" w:type="dxa"/>
            <w:vAlign w:val="bottom"/>
          </w:tcPr>
          <w:p>
            <w:pPr>
              <w:jc w:val="right"/>
              <w:ind w:right="1412"/>
              <w:spacing w:after="0"/>
              <w:rPr>
                <w:sz w:val="20"/>
                <w:szCs w:val="20"/>
                <w:color w:val="auto"/>
              </w:rPr>
            </w:pPr>
            <w:r>
              <w:rPr>
                <w:rFonts w:ascii="Arial" w:cs="Arial" w:eastAsia="Arial" w:hAnsi="Arial"/>
                <w:sz w:val="14"/>
                <w:szCs w:val="14"/>
                <w:b w:val="1"/>
                <w:bCs w:val="1"/>
                <w:color w:val="auto"/>
              </w:rPr>
              <w:t>75</w:t>
            </w:r>
          </w:p>
        </w:tc>
        <w:tc>
          <w:tcPr>
            <w:tcW w:w="4100" w:type="dxa"/>
            <w:vAlign w:val="bottom"/>
            <w:gridSpan w:val="2"/>
          </w:tcPr>
          <w:p>
            <w:pPr>
              <w:jc w:val="right"/>
              <w:spacing w:after="0"/>
              <w:rPr>
                <w:sz w:val="20"/>
                <w:szCs w:val="20"/>
                <w:color w:val="auto"/>
              </w:rPr>
            </w:pPr>
            <w:r>
              <w:rPr>
                <w:rFonts w:ascii="Arial" w:cs="Arial" w:eastAsia="Arial" w:hAnsi="Arial"/>
                <w:sz w:val="14"/>
                <w:szCs w:val="14"/>
                <w:color w:val="auto"/>
              </w:rPr>
              <w:t>Comcast 2014 Annual Report on Form 10-K</w:t>
            </w: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2014, we did not have any material off-balance sheet arrangements that are reasonably likely to have a current or future effect on our financial condition,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3 to each of Comcast’s and NBCUniversal’s consolidated financial statements for additional information related to recent accounting pronouncements.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the accounting for film and television costs, and the accounting for income taxes are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9, 6 and 15 to Comcast’s consolidated financial statements for a discussion of our accounting policies with respect to these items.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purpose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annual impairment test for indefinite-lived intangibles allows for the option to first assess qualitative factors to determine whether it is more likely than not that the fair value of an indefinite-lived intangible is less than its carrying amount. An entity may choose to perform the qualitative assessment or an entity may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bypass the qualitative assessment and proceed directly to the quantitative impairment test. If it is determined, on the basis of qualitative factors, that the fair value of the indefinite-lived intangible is, more likely than not, less than its carrying value, the quantitative impairment test is required.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2014, we performed a quantitative assessment of our cable franchise rights. Based on our quantitative analysis, the estimated fair values of our franchise rights exceeded the carrying value of the Northeast, Central and West divisions by 26%, 50% and 42%, respectively.</w:t>
      </w:r>
    </w:p>
    <w:p>
      <w:pPr>
        <w:spacing w:after="0" w:line="15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 as a result of our impairment testing. A future change in the unit of account could result in the recognition of an impairment charge.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could also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results of any qualitative assessment and the valuations used in future annual quantitative impairment testing and result in a reduction in the fair values of our cable franchise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individual film forecast computation method, which amortizes such costs using the ratio of the current period’s revenue to estimated total remaining gross revenue from all sources (“ultimate revenue”). Estimates of ultimate revenue have a significant impact on how quickly capitalized costs are amortized and, therefore, are updated regularly.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home entertainment and other distribution platforms, are revised based on historical relationships and an analysis of current market trends.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television series or other owned television programming can be licensed for subsequent platforms, revenue estimates for these platforms, such as U.S. and international syndication, home entertainment, and other distribution platforms, are included in ultimate revenue. Revenue estimates for produced episodes include revenue expected to be earned within 10 years of delivery of the initial episode or, if still in production, 5 years from the delivery of the most recent episode, if later.</w:t>
      </w:r>
    </w:p>
    <w:p>
      <w:pPr>
        <w:spacing w:after="0" w:line="30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Capitalized film and television costs, as well as stage play production costs, are subject to impairment testing when certain triggering events are identified. If the fair value of a production were to fall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and stage play production costs of $26 million, $167 million and $161 million were recorded in 2014,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taxing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 taxing authority that has full knowledge of all relevant information. A tax position that meets the more-likely-than-not recognition threshold is measured to determine the amount of benefit to be recognized in our financial statements. The tax position is measured at the largest amount of benefit that has a greater than 50% likelihood of being realized when the position is ultimately resolved.</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adjust our estimates periodically to reflect changes in circumstances in ongoing examinations by and settlements with the various taxing authorities, as well as changes in tax laws, regulations and precedent. We believe that adequate accruals have been made for income taxes. When uncertain tax positions are ultimately 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 In September 2014, we reduced our accruals for uncertain tax positions and the related accrued interest on these tax positions. The reduction resulted in a decrease of $724 million in income tax expense, which excludes the benefits of uncertain tax positions for which we have been indemnified. As of December 31, 2014, our uncertain tax positions and related accrued interest were $1.2 billion and $452 million, respectively.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interest rate derivative financial instruments, which may include swaps, rate locks, caps and collars, represent an integral part of our interest rate risk management program. Comcast’s interest rate derivative financial instruments reduced the portion of Comcast’s total consolidated debt at fixed rates as of December 31, 2014 to 88.7% from 95.2%. NBCUniversal’s interest rate derivative financial instruments reduced the portion of NBCUniversal’s total consolidated debt at fixed rates as of December 31, 2014 to 95.5% from 99.9%.</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2014, 2013 and 2012, the effect of our interest rate derivative financial instruments was to decrease Comcast’s consolidated interest expense by $66 million, $98 million and $106 million, respectively. The effect of NBCUniversal’s interest rate derivative financial instruments was not material to NBCUniversal’s consolidated financial statements for all periods presented. Interest rate derivative financial instruments may have a significant effect on Comcast’s interest expense in the future.</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 below summarizes as of December 31, 2014 the fair values and contract terms of financial instruments by contractual year of maturity subject to interest rate risk maintained by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Estimated</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Fair Value as of</w:t>
            </w:r>
          </w:p>
        </w:tc>
      </w:tr>
      <w:tr>
        <w:trPr>
          <w:trHeight w:val="149"/>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5"/>
              </w:rPr>
              <w:t>December 31,</w:t>
            </w:r>
          </w:p>
        </w:tc>
      </w:tr>
      <w:tr>
        <w:trPr>
          <w:trHeight w:val="163"/>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2019</w:t>
            </w:r>
          </w:p>
        </w:tc>
        <w:tc>
          <w:tcPr>
            <w:tcW w:w="9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2014</w:t>
            </w:r>
          </w:p>
        </w:tc>
      </w:tr>
      <w:tr>
        <w:trPr>
          <w:trHeight w:val="199"/>
        </w:trPr>
        <w:tc>
          <w:tcPr>
            <w:tcW w:w="304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3,358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2,793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2,558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3,417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2,205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31,607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8"/>
              </w:rPr>
              <w:t>45,938</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53,019</w:t>
            </w: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859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737</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2,296</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2,301</w:t>
            </w:r>
          </w:p>
        </w:tc>
      </w:tr>
      <w:tr>
        <w:trPr>
          <w:trHeight w:val="181"/>
        </w:trPr>
        <w:tc>
          <w:tcPr>
            <w:tcW w:w="304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104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1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0.7%</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304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1,600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3,150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99</w:t>
            </w:r>
          </w:p>
        </w:tc>
      </w:tr>
      <w:tr>
        <w:trPr>
          <w:trHeight w:val="203"/>
        </w:trPr>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estimated fair value of our interest rate swaps in the table above includes $11 million associated with interest rate swaps held by NBCUniversal.</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notional amount of each interest rate derivative financial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 average implied forward London Interbank Offered Rate through the year of maturity based on the yield curve in effect on December 31, 2014, plus the applicable borrowing margin on December 31, 2014.</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2 to each of the Comcast and NBCUniversal consolidated financial statements for additional information on our accounting policies for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significant operations in a number of countries outside the United States, and certain of NBCUniversal’s operations are conducted in foreign currencies. The value of these currencies fluctuates relative to the U.S. dollar. These changes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overall strategy to manage the level of exposure to the risk of foreign exchange rate fluctuations, NBCUniversal enters into derivative financial instruments related to a significant portion of its foreign currency exposures. NBCUniversal enters into foreign currency forward contracts that change in value as foreign exchange rates change to protect the U.S. dollar equivalent value of its foreign currency assets, liabilities, commitments, and forecasted foreign currency revenue and expenses. In accordance with our policy, NBCUniversal hedges forecasted foreign currency transactions for periods generally not to exceed 18 months. In certain circumstances, NBCUniversal enters into foreign exchange contracts with initial maturities in excess of 18 months. As of December 31, 2014 and 2013, NBCUniversal had foreign exchange contracts with a total notional value of $890 million and $968 million, respectively. As of December 31, 2014 and 2013, the aggregate estimated fair value of these foreign exchange contracts was not material.</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analyzed our foreign currency exposures related to NBCUniversal’s operations as of December 31, 2014, including our hedging contracts, to identify assets and liabilities denominated in a currency other than their functional currency. For those assets and liabilities, we then evaluated the effect of a 10% shift in currency exchange rates between the functional currency and the U.S. dollar. Our analysis of such a shift in exchange rates indicated that there would be an immaterial effect on our 2014 income.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is also exposed to the market risks associated with fluctuations in foreign exchange rates as they relate to its foreign currency denominated debt obligations. Cross-currency swaps are used to effectively convert fixed-rate foreign currency denominated debt to fixed-rate U.S. dollar denominated debt, in order to hedge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2014 and 2013, the fair value of our cross-currency swaps on our £625 million principal amount of 5.50% senior notes due 2029 was an asset of $37 million and $73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and NBCUniversal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Comcast has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2014 and 2013, Comcast was not required to post collateral under the terms of these agreements. As of December 31, 2014, the collateral that Comcast held from certain of its counterparties under the terms of these agreements was not material.</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8: Comcast Corporation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8260" w:type="dxa"/>
            <w:vAlign w:val="bottom"/>
            <w:gridSpan w:val="9"/>
          </w:tcPr>
          <w:p>
            <w:pPr>
              <w:spacing w:after="0" w:line="170" w:lineRule="exact"/>
              <w:rPr>
                <w:rFonts w:ascii="Arial" w:cs="Arial" w:eastAsia="Arial" w:hAnsi="Arial"/>
                <w:sz w:val="18"/>
                <w:szCs w:val="18"/>
                <w:color w:val="0000EE"/>
              </w:rPr>
            </w:pPr>
            <w:hyperlink w:anchor="page85">
              <w:r>
                <w:rPr>
                  <w:rFonts w:ascii="Arial" w:cs="Arial" w:eastAsia="Arial" w:hAnsi="Arial"/>
                  <w:sz w:val="18"/>
                  <w:szCs w:val="18"/>
                  <w:color w:val="0000EE"/>
                </w:rPr>
                <w:t>Report of Management</w:t>
              </w:r>
            </w:hyperlink>
          </w:p>
        </w:tc>
        <w:tc>
          <w:tcPr>
            <w:tcW w:w="3160" w:type="dxa"/>
            <w:vAlign w:val="bottom"/>
          </w:tcPr>
          <w:p>
            <w:pPr>
              <w:jc w:val="right"/>
              <w:spacing w:after="0" w:line="170" w:lineRule="exact"/>
              <w:rPr>
                <w:sz w:val="20"/>
                <w:szCs w:val="20"/>
                <w:color w:val="auto"/>
              </w:rPr>
            </w:pPr>
            <w:r>
              <w:rPr>
                <w:rFonts w:ascii="Arial" w:cs="Arial" w:eastAsia="Arial" w:hAnsi="Arial"/>
                <w:sz w:val="18"/>
                <w:szCs w:val="18"/>
                <w:color w:val="auto"/>
              </w:rPr>
              <w:t>82</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86">
              <w:r>
                <w:rPr>
                  <w:rFonts w:ascii="Arial" w:cs="Arial" w:eastAsia="Arial" w:hAnsi="Arial"/>
                  <w:sz w:val="18"/>
                  <w:szCs w:val="18"/>
                  <w:color w:val="0000EE"/>
                  <w:w w:val="97"/>
                </w:rPr>
                <w:t>Report of Independent Registered Public Accounting Firm</w:t>
              </w:r>
            </w:hyperlink>
          </w:p>
        </w:tc>
        <w:tc>
          <w:tcPr>
            <w:tcW w:w="37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8260" w:type="dxa"/>
            <w:vAlign w:val="bottom"/>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Balance Sheet</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8260" w:type="dxa"/>
            <w:vAlign w:val="bottom"/>
            <w:gridSpan w:val="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 of Income</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Consolidated Statement of Comprehensive Income</w:t>
              </w:r>
            </w:hyperlink>
          </w:p>
        </w:tc>
        <w:tc>
          <w:tcPr>
            <w:tcW w:w="4280" w:type="dxa"/>
            <w:vAlign w:val="bottom"/>
            <w:gridSpan w:val="2"/>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 of Cash Flows</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4"/>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Consolidated Statement of Changes in Equity</w:t>
              </w:r>
            </w:hyperlink>
          </w:p>
        </w:tc>
        <w:tc>
          <w:tcPr>
            <w:tcW w:w="4700" w:type="dxa"/>
            <w:vAlign w:val="bottom"/>
            <w:gridSpan w:val="3"/>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8260" w:type="dxa"/>
            <w:vAlign w:val="bottom"/>
            <w:gridSpan w:val="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
        </w:trPr>
        <w:tc>
          <w:tcPr>
            <w:tcW w:w="18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r>
      <w:tr>
        <w:trPr>
          <w:trHeight w:val="361"/>
        </w:trPr>
        <w:tc>
          <w:tcPr>
            <w:tcW w:w="8260" w:type="dxa"/>
            <w:vAlign w:val="bottom"/>
            <w:gridSpan w:val="9"/>
          </w:tcPr>
          <w:p>
            <w:pPr>
              <w:spacing w:after="0"/>
              <w:rPr>
                <w:sz w:val="20"/>
                <w:szCs w:val="20"/>
                <w:color w:val="auto"/>
              </w:rPr>
            </w:pPr>
            <w:r>
              <w:rPr>
                <w:rFonts w:ascii="Arial" w:cs="Arial" w:eastAsia="Arial" w:hAnsi="Arial"/>
                <w:sz w:val="18"/>
                <w:szCs w:val="18"/>
                <w:b w:val="1"/>
                <w:bCs w:val="1"/>
                <w:color w:val="auto"/>
              </w:rPr>
              <w:t>NBCUniversal Media, LLC</w:t>
            </w:r>
          </w:p>
        </w:tc>
        <w:tc>
          <w:tcPr>
            <w:tcW w:w="3160" w:type="dxa"/>
            <w:vAlign w:val="bottom"/>
          </w:tcPr>
          <w:p>
            <w:pPr>
              <w:spacing w:after="0"/>
              <w:rPr>
                <w:sz w:val="24"/>
                <w:szCs w:val="24"/>
                <w:color w:val="auto"/>
              </w:rPr>
            </w:pPr>
          </w:p>
        </w:tc>
      </w:tr>
      <w:tr>
        <w:trPr>
          <w:trHeight w:val="211"/>
        </w:trPr>
        <w:tc>
          <w:tcPr>
            <w:tcW w:w="8260" w:type="dxa"/>
            <w:vAlign w:val="bottom"/>
            <w:gridSpan w:val="9"/>
          </w:tcPr>
          <w:p>
            <w:pPr>
              <w:spacing w:after="0"/>
              <w:rPr>
                <w:sz w:val="20"/>
                <w:szCs w:val="20"/>
                <w:color w:val="auto"/>
              </w:rPr>
            </w:pPr>
            <w:r>
              <w:rPr>
                <w:rFonts w:ascii="Arial" w:cs="Arial" w:eastAsia="Arial" w:hAnsi="Arial"/>
                <w:sz w:val="18"/>
                <w:szCs w:val="18"/>
                <w:color w:val="auto"/>
              </w:rPr>
              <w:t>See Index to NBCUniversal Media, LLC Financial Statements and Supplemental Data on page 148.</w:t>
            </w:r>
          </w:p>
        </w:tc>
        <w:tc>
          <w:tcPr>
            <w:tcW w:w="3160" w:type="dxa"/>
            <w:vAlign w:val="bottom"/>
          </w:tcPr>
          <w:p>
            <w:pPr>
              <w:spacing w:after="0"/>
              <w:rPr>
                <w:sz w:val="18"/>
                <w:szCs w:val="18"/>
                <w:color w:val="auto"/>
              </w:rPr>
            </w:pPr>
          </w:p>
        </w:tc>
      </w:tr>
      <w:tr>
        <w:trPr>
          <w:trHeight w:val="501"/>
        </w:trPr>
        <w:tc>
          <w:tcPr>
            <w:tcW w:w="8260" w:type="dxa"/>
            <w:vAlign w:val="bottom"/>
            <w:gridSpan w:val="9"/>
          </w:tcPr>
          <w:p>
            <w:pPr>
              <w:ind w:left="5680"/>
              <w:spacing w:after="0"/>
              <w:rPr>
                <w:sz w:val="20"/>
                <w:szCs w:val="20"/>
                <w:color w:val="auto"/>
              </w:rPr>
            </w:pPr>
            <w:r>
              <w:rPr>
                <w:rFonts w:ascii="Arial" w:cs="Arial" w:eastAsia="Arial" w:hAnsi="Arial"/>
                <w:sz w:val="14"/>
                <w:szCs w:val="14"/>
                <w:b w:val="1"/>
                <w:bCs w:val="1"/>
                <w:color w:val="auto"/>
              </w:rPr>
              <w:t>81</w:t>
            </w:r>
          </w:p>
        </w:tc>
        <w:tc>
          <w:tcPr>
            <w:tcW w:w="3160" w:type="dxa"/>
            <w:vAlign w:val="bottom"/>
          </w:tcPr>
          <w:p>
            <w:pPr>
              <w:jc w:val="right"/>
              <w:spacing w:after="0"/>
              <w:rPr>
                <w:sz w:val="20"/>
                <w:szCs w:val="20"/>
                <w:color w:val="auto"/>
              </w:rPr>
            </w:pPr>
            <w:r>
              <w:rPr>
                <w:rFonts w:ascii="Arial" w:cs="Arial" w:eastAsia="Arial" w:hAnsi="Arial"/>
                <w:sz w:val="14"/>
                <w:szCs w:val="14"/>
                <w:color w:val="auto"/>
              </w:rPr>
              <w:t>Comcast 2014 Annual Report on Form 10-K</w:t>
            </w: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63" w:lineRule="exact"/>
        <w:rPr>
          <w:sz w:val="20"/>
          <w:szCs w:val="20"/>
          <w:color w:val="auto"/>
        </w:rPr>
      </w:pPr>
    </w:p>
    <w:p>
      <w:pPr>
        <w:ind w:left="1020" w:right="1260" w:hanging="215"/>
        <w:spacing w:after="0" w:line="23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0" w:lineRule="exact"/>
        <w:rPr>
          <w:rFonts w:ascii="Arial" w:cs="Arial" w:eastAsia="Arial" w:hAnsi="Arial"/>
          <w:sz w:val="18"/>
          <w:szCs w:val="18"/>
          <w:color w:val="auto"/>
        </w:rPr>
      </w:pPr>
    </w:p>
    <w:p>
      <w:pPr>
        <w:jc w:val="both"/>
        <w:ind w:left="1020" w:right="1260" w:hanging="215"/>
        <w:spacing w:after="0" w:line="281"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29"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in 2013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Comcast’s system of internal control over financial reporting was effective as of December 31, 2014. The effectiveness of Comcast’s internal controls over financial reporting of Comcast has been audited by Deloitte &amp; Touche LLP, an independent registered public accounting firm, as stated in their report, which is included herein.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6285865" cy="377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858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2400" w:type="dxa"/>
            <w:vAlign w:val="bottom"/>
          </w:tcPr>
          <w:p>
            <w:pPr>
              <w:ind w:left="520"/>
              <w:spacing w:after="0"/>
              <w:rPr>
                <w:sz w:val="20"/>
                <w:szCs w:val="20"/>
                <w:color w:val="auto"/>
              </w:rPr>
            </w:pPr>
            <w:r>
              <w:rPr>
                <w:rFonts w:ascii="Arial" w:cs="Arial" w:eastAsia="Arial" w:hAnsi="Arial"/>
                <w:sz w:val="18"/>
                <w:szCs w:val="18"/>
                <w:b w:val="1"/>
                <w:bCs w:val="1"/>
                <w:color w:val="auto"/>
              </w:rPr>
              <w:t>Michael J. Angelakis</w:t>
            </w:r>
          </w:p>
        </w:tc>
        <w:tc>
          <w:tcPr>
            <w:tcW w:w="5840" w:type="dxa"/>
            <w:vAlign w:val="bottom"/>
          </w:tcPr>
          <w:p>
            <w:pPr>
              <w:ind w:left="280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2400" w:type="dxa"/>
            <w:vAlign w:val="bottom"/>
          </w:tcPr>
          <w:p>
            <w:pPr>
              <w:ind w:left="520"/>
              <w:spacing w:after="0" w:line="202" w:lineRule="exact"/>
              <w:rPr>
                <w:sz w:val="20"/>
                <w:szCs w:val="20"/>
                <w:color w:val="auto"/>
              </w:rPr>
            </w:pPr>
            <w:r>
              <w:rPr>
                <w:rFonts w:ascii="Arial" w:cs="Arial" w:eastAsia="Arial" w:hAnsi="Arial"/>
                <w:sz w:val="18"/>
                <w:szCs w:val="18"/>
                <w:color w:val="auto"/>
              </w:rPr>
              <w:t>Vice Chairman and</w:t>
            </w:r>
          </w:p>
        </w:tc>
        <w:tc>
          <w:tcPr>
            <w:tcW w:w="5840" w:type="dxa"/>
            <w:vAlign w:val="bottom"/>
          </w:tcPr>
          <w:p>
            <w:pPr>
              <w:ind w:left="2800"/>
              <w:spacing w:after="0" w:line="202" w:lineRule="exact"/>
              <w:rPr>
                <w:sz w:val="20"/>
                <w:szCs w:val="20"/>
                <w:color w:val="auto"/>
              </w:rPr>
            </w:pPr>
            <w:r>
              <w:rPr>
                <w:rFonts w:ascii="Arial" w:cs="Arial" w:eastAsia="Arial" w:hAnsi="Arial"/>
                <w:sz w:val="18"/>
                <w:szCs w:val="18"/>
                <w:color w:val="auto"/>
              </w:rPr>
              <w:t>Senior Vice President,</w:t>
            </w:r>
          </w:p>
        </w:tc>
      </w:tr>
      <w:tr>
        <w:trPr>
          <w:trHeight w:val="211"/>
        </w:trPr>
        <w:tc>
          <w:tcPr>
            <w:tcW w:w="3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400" w:type="dxa"/>
            <w:vAlign w:val="bottom"/>
          </w:tcPr>
          <w:p>
            <w:pPr>
              <w:ind w:left="520"/>
              <w:spacing w:after="0"/>
              <w:rPr>
                <w:sz w:val="20"/>
                <w:szCs w:val="20"/>
                <w:color w:val="auto"/>
              </w:rPr>
            </w:pPr>
            <w:r>
              <w:rPr>
                <w:rFonts w:ascii="Arial" w:cs="Arial" w:eastAsia="Arial" w:hAnsi="Arial"/>
                <w:sz w:val="18"/>
                <w:szCs w:val="18"/>
                <w:color w:val="auto"/>
              </w:rPr>
              <w:t>Chief Financial Officer</w:t>
            </w:r>
          </w:p>
        </w:tc>
        <w:tc>
          <w:tcPr>
            <w:tcW w:w="5840" w:type="dxa"/>
            <w:vAlign w:val="bottom"/>
          </w:tcPr>
          <w:p>
            <w:pPr>
              <w:ind w:left="2800"/>
              <w:spacing w:after="0"/>
              <w:rPr>
                <w:sz w:val="20"/>
                <w:szCs w:val="20"/>
                <w:color w:val="auto"/>
              </w:rPr>
            </w:pPr>
            <w:r>
              <w:rPr>
                <w:rFonts w:ascii="Arial" w:cs="Arial" w:eastAsia="Arial" w:hAnsi="Arial"/>
                <w:sz w:val="18"/>
                <w:szCs w:val="18"/>
                <w:color w:val="auto"/>
                <w:w w:val="96"/>
              </w:rPr>
              <w:t>Chief Accounting Officer and Controller</w:t>
            </w:r>
          </w:p>
        </w:tc>
      </w:tr>
      <w:tr>
        <w:trPr>
          <w:trHeight w:val="515"/>
        </w:trPr>
        <w:tc>
          <w:tcPr>
            <w:tcW w:w="316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2400" w:type="dxa"/>
            <w:vAlign w:val="bottom"/>
          </w:tcPr>
          <w:p>
            <w:pPr>
              <w:spacing w:after="0"/>
              <w:rPr>
                <w:sz w:val="24"/>
                <w:szCs w:val="24"/>
                <w:color w:val="auto"/>
              </w:rPr>
            </w:pPr>
          </w:p>
        </w:tc>
        <w:tc>
          <w:tcPr>
            <w:tcW w:w="5840" w:type="dxa"/>
            <w:vAlign w:val="bottom"/>
          </w:tcPr>
          <w:p>
            <w:pPr>
              <w:jc w:val="right"/>
              <w:ind w:right="5477"/>
              <w:spacing w:after="0"/>
              <w:rPr>
                <w:sz w:val="20"/>
                <w:szCs w:val="20"/>
                <w:color w:val="auto"/>
              </w:rPr>
            </w:pPr>
            <w:r>
              <w:rPr>
                <w:rFonts w:ascii="Arial" w:cs="Arial" w:eastAsia="Arial" w:hAnsi="Arial"/>
                <w:sz w:val="14"/>
                <w:szCs w:val="14"/>
                <w:b w:val="1"/>
                <w:bCs w:val="1"/>
                <w:color w:val="auto"/>
              </w:rPr>
              <w:t>82</w:t>
            </w: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2014 and 2013, and the related consolidated statements of income, comprehensive income, cash flows and changes in equity for each of the three years in the period ended December 31, 2014. We also have audited the Company’s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Comcast’s Internal Control Over Financial Reporting</w:t>
      </w:r>
      <w:r>
        <w:rPr>
          <w:rFonts w:ascii="Arial" w:cs="Arial" w:eastAsia="Arial" w:hAnsi="Arial"/>
          <w:sz w:val="18"/>
          <w:szCs w:val="18"/>
          <w:color w:val="auto"/>
        </w:rPr>
        <w:t>. Our responsibility is to express an opinion on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an opinion on the Company’s internal control over financial reporting based on our audits.</w:t>
      </w:r>
    </w:p>
    <w:p>
      <w:pPr>
        <w:spacing w:after="0" w:line="1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r>
        <w:rPr>
          <w:rFonts w:ascii="Arial" w:cs="Arial" w:eastAsia="Arial" w:hAnsi="Arial"/>
          <w:sz w:val="18"/>
          <w:szCs w:val="18"/>
          <w:i w:val="1"/>
          <w:iCs w:val="1"/>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27, 2015</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3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54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3,910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35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602</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6,321</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6,376</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839</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3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1,859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13,531</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5,727</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3,135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30,953</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59,364</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27,316</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16,980</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17,329</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2,333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540" w:type="dxa"/>
            <w:vAlign w:val="bottom"/>
            <w:tcBorders>
              <w:bottom w:val="single" w:sz="8" w:color="0C6DFF"/>
            </w:tcBorders>
          </w:tcPr>
          <w:p>
            <w:pPr>
              <w:spacing w:after="0"/>
              <w:rPr>
                <w:sz w:val="17"/>
                <w:szCs w:val="17"/>
                <w:color w:val="auto"/>
              </w:rPr>
            </w:pPr>
          </w:p>
        </w:tc>
        <w:tc>
          <w:tcPr>
            <w:tcW w:w="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159,339</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158,813</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54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5,638</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35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5,528</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1,347</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915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5,293</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3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4,217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17,410</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18,912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44,017</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32,959</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b w:val="1"/>
                <w:bCs w:val="1"/>
                <w:color w:val="auto"/>
              </w:rPr>
              <w:t>10,819</w:t>
            </w:r>
          </w:p>
        </w:tc>
        <w:tc>
          <w:tcPr>
            <w:tcW w:w="26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11,384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17)</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1,066</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80" w:type="dxa"/>
            <w:vAlign w:val="bottom"/>
            <w:gridSpan w:val="2"/>
          </w:tcPr>
          <w:p>
            <w:pPr>
              <w:spacing w:after="0" w:line="202" w:lineRule="exact"/>
              <w:rPr>
                <w:sz w:val="20"/>
                <w:szCs w:val="20"/>
                <w:color w:val="auto"/>
              </w:rPr>
            </w:pPr>
            <w:r>
              <w:rPr>
                <w:rFonts w:ascii="Arial" w:cs="Arial" w:eastAsia="Arial" w:hAnsi="Arial"/>
                <w:sz w:val="18"/>
                <w:szCs w:val="18"/>
                <w:color w:val="auto"/>
              </w:rPr>
              <w:t>Redeemable noncontrolling interests and redeemable subsidiary preferred stock</w:t>
            </w: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2,496,598,612 and</w:t>
            </w:r>
          </w:p>
        </w:tc>
        <w:tc>
          <w:tcPr>
            <w:tcW w:w="46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40"/>
              <w:spacing w:after="0" w:line="202" w:lineRule="exact"/>
              <w:rPr>
                <w:sz w:val="20"/>
                <w:szCs w:val="20"/>
                <w:color w:val="auto"/>
              </w:rPr>
            </w:pPr>
            <w:r>
              <w:rPr>
                <w:rFonts w:ascii="Arial" w:cs="Arial" w:eastAsia="Arial" w:hAnsi="Arial"/>
                <w:sz w:val="18"/>
                <w:szCs w:val="18"/>
                <w:color w:val="auto"/>
              </w:rPr>
              <w:t>2,503,535,883; outstanding, 2,131,137,862 and 2,138,075,133</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9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 $0.01 par value—authorized, 7,500,000,000 shares; issued, 471,419,601 and</w:t>
            </w:r>
          </w:p>
        </w:tc>
        <w:tc>
          <w:tcPr>
            <w:tcW w:w="460" w:type="dxa"/>
            <w:vAlign w:val="bottom"/>
          </w:tcPr>
          <w:p>
            <w:pPr>
              <w:spacing w:after="0"/>
              <w:rPr>
                <w:sz w:val="17"/>
                <w:szCs w:val="17"/>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529,964,944; outstanding, 400,484,837 and 459,030,180</w:t>
            </w:r>
          </w:p>
        </w:tc>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9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38,805</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38,890</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21,539</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19,235</w:t>
            </w:r>
          </w:p>
        </w:tc>
        <w:tc>
          <w:tcPr>
            <w:tcW w:w="0" w:type="dxa"/>
            <w:vAlign w:val="bottom"/>
          </w:tcPr>
          <w:p>
            <w:pPr>
              <w:spacing w:after="0"/>
              <w:rPr>
                <w:sz w:val="1"/>
                <w:szCs w:val="1"/>
                <w:color w:val="auto"/>
              </w:rPr>
            </w:pPr>
          </w:p>
        </w:tc>
      </w:tr>
      <w:tr>
        <w:trPr>
          <w:trHeight w:val="203"/>
        </w:trPr>
        <w:tc>
          <w:tcPr>
            <w:tcW w:w="9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4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(7,517)</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3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52,711</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50,694</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357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53,068</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540" w:type="dxa"/>
            <w:vAlign w:val="bottom"/>
            <w:tcBorders>
              <w:bottom w:val="single" w:sz="8" w:color="0C6DFF"/>
            </w:tcBorders>
          </w:tcPr>
          <w:p>
            <w:pPr>
              <w:spacing w:after="0"/>
              <w:rPr>
                <w:sz w:val="17"/>
                <w:szCs w:val="17"/>
                <w:color w:val="auto"/>
              </w:rPr>
            </w:pPr>
          </w:p>
        </w:tc>
        <w:tc>
          <w:tcPr>
            <w:tcW w:w="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159,339</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158,813</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3540" w:type="dxa"/>
            <w:vAlign w:val="bottom"/>
          </w:tcPr>
          <w:p>
            <w:pPr>
              <w:jc w:val="right"/>
              <w:ind w:right="3172"/>
              <w:spacing w:after="0"/>
              <w:rPr>
                <w:sz w:val="20"/>
                <w:szCs w:val="20"/>
                <w:color w:val="auto"/>
              </w:rPr>
            </w:pPr>
            <w:r>
              <w:rPr>
                <w:rFonts w:ascii="Arial" w:cs="Arial" w:eastAsia="Arial" w:hAnsi="Arial"/>
                <w:sz w:val="14"/>
                <w:szCs w:val="14"/>
                <w:b w:val="1"/>
                <w:bCs w:val="1"/>
                <w:color w:val="auto"/>
              </w:rPr>
              <w:t>84</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82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660" w:type="dxa"/>
            <w:vAlign w:val="bottom"/>
          </w:tcPr>
          <w:p>
            <w:pPr>
              <w:ind w:left="540"/>
              <w:spacing w:after="0" w:line="200"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68,775</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64,657</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62,570</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20,912</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6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19,670</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19,929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19,862</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18,584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5,078</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4,969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6,337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6,254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1,682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1,617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53,871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51,094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50,391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2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66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14,904</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13,563</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(2,617)</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(2,574)</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296</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576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97</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(2,439)</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12,465</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11,115</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8,592</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7,135</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660" w:type="dxa"/>
            <w:vAlign w:val="bottom"/>
            <w:tcBorders>
              <w:bottom w:val="single" w:sz="8" w:color="0C6DFF"/>
            </w:tcBorders>
          </w:tcPr>
          <w:p>
            <w:pPr>
              <w:ind w:left="54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8,380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6,816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660" w:type="dxa"/>
            <w:vAlign w:val="bottom"/>
          </w:tcPr>
          <w:p>
            <w:pPr>
              <w:ind w:left="540"/>
              <w:spacing w:after="0" w:line="177"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3.24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2.60</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6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3.20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2.56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0C6DFF"/>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660" w:type="dxa"/>
            <w:vAlign w:val="bottom"/>
            <w:tcBorders>
              <w:bottom w:val="single" w:sz="8" w:color="0C6DFF"/>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0.90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color w:val="auto"/>
              </w:rPr>
              <w:t>0.78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9"/>
        </w:trPr>
        <w:tc>
          <w:tcPr>
            <w:tcW w:w="82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240" w:type="dxa"/>
            <w:vAlign w:val="bottom"/>
            <w:gridSpan w:val="2"/>
          </w:tcPr>
          <w:p>
            <w:pPr>
              <w:ind w:left="5680"/>
              <w:spacing w:after="0"/>
              <w:rPr>
                <w:sz w:val="20"/>
                <w:szCs w:val="20"/>
                <w:color w:val="auto"/>
              </w:rPr>
            </w:pPr>
            <w:r>
              <w:rPr>
                <w:rFonts w:ascii="Arial" w:cs="Arial" w:eastAsia="Arial" w:hAnsi="Arial"/>
                <w:sz w:val="14"/>
                <w:szCs w:val="14"/>
                <w:b w:val="1"/>
                <w:bCs w:val="1"/>
                <w:color w:val="auto"/>
              </w:rPr>
              <w:t>85</w:t>
            </w:r>
          </w:p>
        </w:tc>
        <w:tc>
          <w:tcPr>
            <w:tcW w:w="3180" w:type="dxa"/>
            <w:vAlign w:val="bottom"/>
            <w:gridSpan w:val="6"/>
          </w:tcPr>
          <w:p>
            <w:pPr>
              <w:ind w:left="540"/>
              <w:spacing w:after="0"/>
              <w:rPr>
                <w:sz w:val="20"/>
                <w:szCs w:val="20"/>
                <w:color w:val="auto"/>
              </w:rPr>
            </w:pPr>
            <w:r>
              <w:rPr>
                <w:rFonts w:ascii="Arial" w:cs="Arial" w:eastAsia="Arial" w:hAnsi="Arial"/>
                <w:sz w:val="14"/>
                <w:szCs w:val="14"/>
                <w:color w:val="auto"/>
                <w:w w:val="95"/>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3000" w:type="dxa"/>
            <w:vAlign w:val="bottom"/>
          </w:tcPr>
          <w:p>
            <w:pPr>
              <w:spacing w:after="0"/>
              <w:rPr>
                <w:sz w:val="15"/>
                <w:szCs w:val="15"/>
                <w:color w:val="auto"/>
              </w:rPr>
            </w:pP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$ 8,592</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$ 7,135</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$ 7,865</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Unrealized gains (losses) on marketable securities, net of deferred taxes of $(19), $(110) and $(95)</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5"/>
        </w:trPr>
        <w:tc>
          <w:tcPr>
            <w:tcW w:w="838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 net of deferred taxes of $3, $(14) and $(34)</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Amounts reclassified to net income:</w:t>
            </w:r>
          </w:p>
        </w:tc>
        <w:tc>
          <w:tcPr>
            <w:tcW w:w="30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(99)</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Realized (gains) losses on marketable securities, net of deferred taxes of $59, $177 and $–</w:t>
            </w:r>
          </w:p>
        </w:tc>
        <w:tc>
          <w:tcPr>
            <w:tcW w:w="1420" w:type="dxa"/>
            <w:vAlign w:val="bottom"/>
            <w:vMerge w:val="continue"/>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(301)</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Realized (gains) losses on cash flow hedges, net of deferred taxes of $(27), $2 and $8</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Employee benefit obligations, net of deferred taxes of $82, $(108) and $22</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(139)</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translation adjustments, net of deferred taxes of $23 , $12, and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3000" w:type="dxa"/>
            <w:vAlign w:val="bottom"/>
          </w:tcPr>
          <w:p>
            <w:pPr>
              <w:spacing w:after="0"/>
              <w:rPr>
                <w:sz w:val="15"/>
                <w:szCs w:val="15"/>
                <w:color w:val="auto"/>
              </w:rPr>
            </w:pP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8,390</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7,193</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3000" w:type="dxa"/>
            <w:vAlign w:val="bottom"/>
            <w:tcBorders>
              <w:bottom w:val="single" w:sz="8" w:color="0C6DFF"/>
            </w:tcBorders>
          </w:tcPr>
          <w:p>
            <w:pPr>
              <w:spacing w:after="0"/>
              <w:rPr>
                <w:sz w:val="17"/>
                <w:szCs w:val="17"/>
                <w:color w:val="auto"/>
              </w:rPr>
            </w:pPr>
          </w:p>
        </w:tc>
        <w:tc>
          <w:tcPr>
            <w:tcW w:w="14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$ 8,178</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$ 6,883</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$ 6,370</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3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3000" w:type="dxa"/>
            <w:vAlign w:val="bottom"/>
          </w:tcPr>
          <w:p>
            <w:pPr>
              <w:jc w:val="right"/>
              <w:ind w:right="2472"/>
              <w:spacing w:after="0"/>
              <w:rPr>
                <w:sz w:val="20"/>
                <w:szCs w:val="20"/>
                <w:color w:val="auto"/>
              </w:rPr>
            </w:pPr>
            <w:r>
              <w:rPr>
                <w:rFonts w:ascii="Arial" w:cs="Arial" w:eastAsia="Arial" w:hAnsi="Arial"/>
                <w:sz w:val="14"/>
                <w:szCs w:val="14"/>
                <w:b w:val="1"/>
                <w:bCs w:val="1"/>
                <w:color w:val="auto"/>
              </w:rPr>
              <w:t>86</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8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8,592</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6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7,135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03"/>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7"/>
                <w:szCs w:val="17"/>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8,019</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3"/>
              <w:spacing w:after="0" w:line="181" w:lineRule="exact"/>
              <w:rPr>
                <w:sz w:val="20"/>
                <w:szCs w:val="20"/>
                <w:color w:val="auto"/>
              </w:rPr>
            </w:pPr>
            <w:r>
              <w:rPr>
                <w:rFonts w:ascii="Arial" w:cs="Arial" w:eastAsia="Arial" w:hAnsi="Arial"/>
                <w:sz w:val="18"/>
                <w:szCs w:val="18"/>
                <w:color w:val="auto"/>
              </w:rPr>
              <w:t>7,871</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7,798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419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 (income), net</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180</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167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(97)</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9"/>
                <w:szCs w:val="19"/>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b w:val="1"/>
                <w:bCs w:val="1"/>
                <w:color w:val="auto"/>
              </w:rPr>
              <w:t>1,165</w:t>
            </w:r>
          </w:p>
        </w:tc>
        <w:tc>
          <w:tcPr>
            <w:tcW w:w="24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818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20" w:type="dxa"/>
            <w:vAlign w:val="bottom"/>
          </w:tcPr>
          <w:p>
            <w:pPr>
              <w:spacing w:after="0"/>
              <w:rPr>
                <w:sz w:val="17"/>
                <w:szCs w:val="17"/>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Current and noncurrent receivables, net</w:t>
            </w:r>
          </w:p>
        </w:tc>
        <w:tc>
          <w:tcPr>
            <w:tcW w:w="6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(721)</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Film and television costs, net</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(562)</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153</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assets and liabilities</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(1,093)</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w w:val="98"/>
              </w:rPr>
              <w:t>16,945</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14,160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14,854</w:t>
            </w:r>
          </w:p>
        </w:tc>
        <w:tc>
          <w:tcPr>
            <w:tcW w:w="0" w:type="dxa"/>
            <w:vAlign w:val="bottom"/>
          </w:tcPr>
          <w:p>
            <w:pPr>
              <w:spacing w:after="0"/>
              <w:rPr>
                <w:sz w:val="1"/>
                <w:szCs w:val="1"/>
                <w:color w:val="auto"/>
              </w:rPr>
            </w:pPr>
          </w:p>
        </w:tc>
      </w:tr>
      <w:tr>
        <w:trPr>
          <w:trHeight w:val="199"/>
        </w:trPr>
        <w:tc>
          <w:tcPr>
            <w:tcW w:w="8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7"/>
                <w:szCs w:val="17"/>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(7,420)</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(6,596)</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(1,122)</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(43)</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(477)</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666</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1,083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149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(191)</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(8,733)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199"/>
        </w:trPr>
        <w:tc>
          <w:tcPr>
            <w:tcW w:w="81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620" w:type="dxa"/>
            <w:vAlign w:val="bottom"/>
          </w:tcPr>
          <w:p>
            <w:pPr>
              <w:spacing w:after="0"/>
              <w:rPr>
                <w:sz w:val="17"/>
                <w:szCs w:val="17"/>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(504)</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6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6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1,345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4,182</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2,933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(3,175)</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(2,444)</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(4,251)</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(2,254)</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7"/>
                <w:szCs w:val="17"/>
                <w:color w:val="auto"/>
              </w:rPr>
            </w:pPr>
          </w:p>
        </w:tc>
        <w:tc>
          <w:tcPr>
            <w:tcW w:w="7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Purchase of NBCUniversal noncontrolling common equity interest</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8"/>
              </w:rPr>
              <w:t>(10,761)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62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(220)</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6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62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167</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(6,020)</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(13,879)</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177"/>
        </w:trPr>
        <w:tc>
          <w:tcPr>
            <w:tcW w:w="818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620" w:type="dxa"/>
            <w:vAlign w:val="bottom"/>
          </w:tcPr>
          <w:p>
            <w:pPr>
              <w:spacing w:after="0"/>
              <w:rPr>
                <w:sz w:val="15"/>
                <w:szCs w:val="15"/>
                <w:color w:val="auto"/>
              </w:rPr>
            </w:pPr>
          </w:p>
        </w:tc>
        <w:tc>
          <w:tcPr>
            <w:tcW w:w="74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2,192</w:t>
            </w:r>
          </w:p>
        </w:tc>
        <w:tc>
          <w:tcPr>
            <w:tcW w:w="24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(9,233)</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1,718</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10,951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3,910</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1,718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09"/>
        </w:trPr>
        <w:tc>
          <w:tcPr>
            <w:tcW w:w="81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180" w:type="dxa"/>
            <w:vAlign w:val="bottom"/>
            <w:gridSpan w:val="2"/>
          </w:tcPr>
          <w:p>
            <w:pPr>
              <w:ind w:left="5680"/>
              <w:spacing w:after="0"/>
              <w:rPr>
                <w:sz w:val="20"/>
                <w:szCs w:val="20"/>
                <w:color w:val="auto"/>
              </w:rPr>
            </w:pPr>
            <w:r>
              <w:rPr>
                <w:rFonts w:ascii="Arial" w:cs="Arial" w:eastAsia="Arial" w:hAnsi="Arial"/>
                <w:sz w:val="14"/>
                <w:szCs w:val="14"/>
                <w:b w:val="1"/>
                <w:bCs w:val="1"/>
                <w:color w:val="auto"/>
              </w:rPr>
              <w:t>87</w:t>
            </w:r>
          </w:p>
        </w:tc>
        <w:tc>
          <w:tcPr>
            <w:tcW w:w="3240" w:type="dxa"/>
            <w:vAlign w:val="bottom"/>
            <w:gridSpan w:val="6"/>
          </w:tcPr>
          <w:p>
            <w:pPr>
              <w:jc w:val="right"/>
              <w:spacing w:after="0"/>
              <w:rPr>
                <w:sz w:val="20"/>
                <w:szCs w:val="20"/>
                <w:color w:val="auto"/>
              </w:rPr>
            </w:pPr>
            <w:r>
              <w:rPr>
                <w:rFonts w:ascii="Arial" w:cs="Arial" w:eastAsia="Arial" w:hAnsi="Arial"/>
                <w:sz w:val="14"/>
                <w:szCs w:val="14"/>
                <w:color w:val="auto"/>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right w:val="single" w:sz="8" w:color="auto"/>
            </w:tcBorders>
          </w:tcPr>
          <w:p>
            <w:pPr>
              <w:jc w:val="right"/>
              <w:ind w:right="217"/>
              <w:spacing w:after="0"/>
              <w:rPr>
                <w:sz w:val="20"/>
                <w:szCs w:val="20"/>
                <w:color w:val="auto"/>
              </w:rPr>
            </w:pPr>
            <w:r>
              <w:rPr>
                <w:rFonts w:ascii="Arial" w:cs="Arial" w:eastAsia="Arial" w:hAnsi="Arial"/>
                <w:sz w:val="14"/>
                <w:szCs w:val="14"/>
                <w:color w:val="auto"/>
                <w:w w:val="93"/>
              </w:rPr>
              <w:t>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0" w:type="dxa"/>
            <w:vAlign w:val="bottom"/>
            <w:tcBorders>
              <w:right w:val="single" w:sz="8" w:color="auto"/>
            </w:tcBorders>
            <w:gridSpan w:val="2"/>
          </w:tcPr>
          <w:p>
            <w:pPr>
              <w:jc w:val="right"/>
              <w:ind w:right="217"/>
              <w:spacing w:after="0" w:line="149" w:lineRule="exact"/>
              <w:rPr>
                <w:sz w:val="20"/>
                <w:szCs w:val="20"/>
                <w:color w:val="auto"/>
              </w:rPr>
            </w:pPr>
            <w:r>
              <w:rPr>
                <w:rFonts w:ascii="Arial" w:cs="Arial" w:eastAsia="Arial" w:hAnsi="Arial"/>
                <w:sz w:val="14"/>
                <w:szCs w:val="14"/>
                <w:color w:val="auto"/>
                <w:w w:val="98"/>
              </w:rPr>
              <w:t>Noncontrolling</w:t>
            </w:r>
          </w:p>
        </w:tc>
        <w:tc>
          <w:tcPr>
            <w:tcW w:w="100" w:type="dxa"/>
            <w:vAlign w:val="bottom"/>
          </w:tcPr>
          <w:p>
            <w:pPr>
              <w:spacing w:after="0"/>
              <w:rPr>
                <w:sz w:val="12"/>
                <w:szCs w:val="12"/>
                <w:color w:val="auto"/>
              </w:rPr>
            </w:pPr>
          </w:p>
        </w:tc>
        <w:tc>
          <w:tcPr>
            <w:tcW w:w="1620" w:type="dxa"/>
            <w:vAlign w:val="bottom"/>
            <w:gridSpan w:val="4"/>
          </w:tcPr>
          <w:p>
            <w:pPr>
              <w:jc w:val="right"/>
              <w:ind w:right="299"/>
              <w:spacing w:after="0" w:line="149" w:lineRule="exact"/>
              <w:rPr>
                <w:sz w:val="20"/>
                <w:szCs w:val="20"/>
                <w:color w:val="auto"/>
              </w:rPr>
            </w:pPr>
            <w:r>
              <w:rPr>
                <w:rFonts w:ascii="Arial" w:cs="Arial" w:eastAsia="Arial" w:hAnsi="Arial"/>
                <w:sz w:val="14"/>
                <w:szCs w:val="14"/>
                <w:color w:val="auto"/>
              </w:rPr>
              <w:t>Common Stock</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0" w:type="dxa"/>
            <w:vAlign w:val="bottom"/>
            <w:tcBorders>
              <w:right w:val="single" w:sz="8" w:color="auto"/>
            </w:tcBorders>
            <w:gridSpan w:val="2"/>
            <w:vMerge w:val="restart"/>
          </w:tcPr>
          <w:p>
            <w:pPr>
              <w:jc w:val="right"/>
              <w:ind w:right="217"/>
              <w:spacing w:after="0" w:line="148" w:lineRule="exact"/>
              <w:rPr>
                <w:sz w:val="20"/>
                <w:szCs w:val="20"/>
                <w:color w:val="auto"/>
              </w:rPr>
            </w:pPr>
            <w:r>
              <w:rPr>
                <w:rFonts w:ascii="Arial" w:cs="Arial" w:eastAsia="Arial" w:hAnsi="Arial"/>
                <w:sz w:val="14"/>
                <w:szCs w:val="14"/>
                <w:color w:val="auto"/>
              </w:rPr>
              <w:t>Interests and</w:t>
            </w:r>
          </w:p>
        </w:tc>
        <w:tc>
          <w:tcPr>
            <w:tcW w:w="10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1200" w:type="dxa"/>
            <w:vAlign w:val="bottom"/>
            <w:tcBorders>
              <w:right w:val="single" w:sz="8" w:color="auto"/>
            </w:tcBorders>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right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w w:val="93"/>
              </w:rPr>
              <w:t>Redeemable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8"/>
              <w:spacing w:after="0" w:line="149"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2"/>
                <w:szCs w:val="12"/>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4"/>
                <w:szCs w:val="14"/>
                <w:color w:val="auto"/>
              </w:rPr>
              <w:t>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right w:val="single" w:sz="8" w:color="auto"/>
            </w:tcBorders>
          </w:tcPr>
          <w:p>
            <w:pPr>
              <w:jc w:val="right"/>
              <w:ind w:right="217"/>
              <w:spacing w:after="0" w:line="135" w:lineRule="exact"/>
              <w:rPr>
                <w:sz w:val="20"/>
                <w:szCs w:val="20"/>
                <w:color w:val="auto"/>
              </w:rPr>
            </w:pPr>
            <w:r>
              <w:rPr>
                <w:rFonts w:ascii="Arial" w:cs="Arial" w:eastAsia="Arial" w:hAnsi="Arial"/>
                <w:sz w:val="14"/>
                <w:szCs w:val="14"/>
                <w:color w:val="auto"/>
              </w:rPr>
              <w:t>Subsidiary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jc w:val="right"/>
              <w:ind w:right="35"/>
              <w:spacing w:after="0" w:line="135" w:lineRule="exact"/>
              <w:rPr>
                <w:sz w:val="20"/>
                <w:szCs w:val="20"/>
                <w:color w:val="auto"/>
              </w:rPr>
            </w:pPr>
            <w:r>
              <w:rPr>
                <w:rFonts w:ascii="Arial" w:cs="Arial" w:eastAsia="Arial" w:hAnsi="Arial"/>
                <w:sz w:val="14"/>
                <w:szCs w:val="14"/>
                <w:color w:val="auto"/>
              </w:rPr>
              <w:t>Additional</w:t>
            </w:r>
          </w:p>
        </w:tc>
        <w:tc>
          <w:tcPr>
            <w:tcW w:w="880" w:type="dxa"/>
            <w:vAlign w:val="bottom"/>
          </w:tcPr>
          <w:p>
            <w:pPr>
              <w:spacing w:after="0"/>
              <w:rPr>
                <w:sz w:val="11"/>
                <w:szCs w:val="11"/>
                <w:color w:val="auto"/>
              </w:rPr>
            </w:pPr>
          </w:p>
        </w:tc>
        <w:tc>
          <w:tcPr>
            <w:tcW w:w="840" w:type="dxa"/>
            <w:vAlign w:val="bottom"/>
          </w:tcPr>
          <w:p>
            <w:pPr>
              <w:jc w:val="right"/>
              <w:ind w:right="41"/>
              <w:spacing w:after="0" w:line="135"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1"/>
                <w:szCs w:val="11"/>
                <w:color w:val="auto"/>
              </w:rPr>
            </w:pPr>
          </w:p>
        </w:tc>
        <w:tc>
          <w:tcPr>
            <w:tcW w:w="980" w:type="dxa"/>
            <w:vAlign w:val="bottom"/>
          </w:tcPr>
          <w:p>
            <w:pPr>
              <w:jc w:val="right"/>
              <w:ind w:right="38"/>
              <w:spacing w:after="0" w:line="135"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right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rPr>
              <w:t>Preferred</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A</w:t>
            </w:r>
          </w:p>
        </w:tc>
        <w:tc>
          <w:tcPr>
            <w:tcW w:w="460" w:type="dxa"/>
            <w:vAlign w:val="bottom"/>
          </w:tcPr>
          <w:p>
            <w:pPr>
              <w:spacing w:after="0"/>
              <w:rPr>
                <w:sz w:val="12"/>
                <w:szCs w:val="12"/>
                <w:color w:val="auto"/>
              </w:rPr>
            </w:pPr>
          </w:p>
        </w:tc>
        <w:tc>
          <w:tcPr>
            <w:tcW w:w="880" w:type="dxa"/>
            <w:vAlign w:val="bottom"/>
          </w:tcPr>
          <w:p>
            <w:pPr>
              <w:jc w:val="right"/>
              <w:ind w:right="35"/>
              <w:spacing w:after="0" w:line="149" w:lineRule="exact"/>
              <w:rPr>
                <w:sz w:val="20"/>
                <w:szCs w:val="20"/>
                <w:color w:val="auto"/>
              </w:rPr>
            </w:pPr>
            <w:r>
              <w:rPr>
                <w:rFonts w:ascii="Arial" w:cs="Arial" w:eastAsia="Arial" w:hAnsi="Arial"/>
                <w:sz w:val="14"/>
                <w:szCs w:val="14"/>
                <w:color w:val="auto"/>
              </w:rPr>
              <w:t>Paid-In</w:t>
            </w:r>
          </w:p>
        </w:tc>
        <w:tc>
          <w:tcPr>
            <w:tcW w:w="880" w:type="dxa"/>
            <w:vAlign w:val="bottom"/>
          </w:tcPr>
          <w:p>
            <w:pPr>
              <w:jc w:val="right"/>
              <w:ind w:right="34"/>
              <w:spacing w:after="0" w:line="149" w:lineRule="exact"/>
              <w:rPr>
                <w:sz w:val="20"/>
                <w:szCs w:val="20"/>
                <w:color w:val="auto"/>
              </w:rPr>
            </w:pPr>
            <w:r>
              <w:rPr>
                <w:rFonts w:ascii="Arial" w:cs="Arial" w:eastAsia="Arial" w:hAnsi="Arial"/>
                <w:sz w:val="14"/>
                <w:szCs w:val="14"/>
                <w:color w:val="auto"/>
              </w:rPr>
              <w:t>Retained</w:t>
            </w:r>
          </w:p>
        </w:tc>
        <w:tc>
          <w:tcPr>
            <w:tcW w:w="840" w:type="dxa"/>
            <w:vAlign w:val="bottom"/>
          </w:tcPr>
          <w:p>
            <w:pPr>
              <w:jc w:val="right"/>
              <w:ind w:right="41"/>
              <w:spacing w:after="0" w:line="149" w:lineRule="exact"/>
              <w:rPr>
                <w:sz w:val="20"/>
                <w:szCs w:val="20"/>
                <w:color w:val="auto"/>
              </w:rPr>
            </w:pPr>
            <w:r>
              <w:rPr>
                <w:rFonts w:ascii="Arial" w:cs="Arial" w:eastAsia="Arial" w:hAnsi="Arial"/>
                <w:sz w:val="14"/>
                <w:szCs w:val="14"/>
                <w:color w:val="auto"/>
              </w:rPr>
              <w:t>Stock at</w:t>
            </w:r>
          </w:p>
        </w:tc>
        <w:tc>
          <w:tcPr>
            <w:tcW w:w="114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Comprehensive</w:t>
            </w:r>
          </w:p>
        </w:tc>
        <w:tc>
          <w:tcPr>
            <w:tcW w:w="80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color w:val="auto"/>
              </w:rPr>
              <w:t>Stock</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A</w:t>
            </w: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Special</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B</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Capital</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Earnings</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w w:val="94"/>
              </w:rPr>
              <w:t>Income (Loss)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3"/>
              </w:rPr>
              <w:t>Interests</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310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1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tcPr>
          <w:p>
            <w:pPr>
              <w:jc w:val="right"/>
              <w:ind w:right="217"/>
              <w:spacing w:after="0" w:line="200" w:lineRule="exact"/>
              <w:rPr>
                <w:sz w:val="20"/>
                <w:szCs w:val="20"/>
                <w:color w:val="auto"/>
              </w:rPr>
            </w:pPr>
            <w:r>
              <w:rPr>
                <w:rFonts w:ascii="Arial" w:cs="Arial" w:eastAsia="Arial" w:hAnsi="Arial"/>
                <w:sz w:val="18"/>
                <w:szCs w:val="18"/>
                <w:color w:val="auto"/>
              </w:rPr>
              <w:t>16,014</w:t>
            </w:r>
          </w:p>
        </w:tc>
        <w:tc>
          <w:tcPr>
            <w:tcW w:w="100" w:type="dxa"/>
            <w:vAlign w:val="bottom"/>
          </w:tcPr>
          <w:p>
            <w:pPr>
              <w:spacing w:after="0"/>
              <w:rPr>
                <w:sz w:val="17"/>
                <w:szCs w:val="17"/>
                <w:color w:val="auto"/>
              </w:rPr>
            </w:pPr>
          </w:p>
        </w:tc>
        <w:tc>
          <w:tcPr>
            <w:tcW w:w="5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$ 25</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7</w:t>
            </w:r>
          </w:p>
        </w:tc>
        <w:tc>
          <w:tcPr>
            <w:tcW w:w="460" w:type="dxa"/>
            <w:vAlign w:val="bottom"/>
          </w:tcPr>
          <w:p>
            <w:pPr>
              <w:jc w:val="right"/>
              <w:ind w:right="39"/>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$ 40,940</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$ 13,971</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(7,517)</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(152)</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381</w:t>
            </w:r>
          </w:p>
        </w:tc>
        <w:tc>
          <w:tcPr>
            <w:tcW w:w="8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$ 47,655</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(1,081)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(1,918)</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(1,736)</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217"/>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167</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(493)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w:t>
            </w: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217"/>
              <w:spacing w:after="0" w:line="200" w:lineRule="exact"/>
              <w:rPr>
                <w:sz w:val="20"/>
                <w:szCs w:val="20"/>
                <w:color w:val="auto"/>
              </w:rPr>
            </w:pPr>
            <w:r>
              <w:rPr>
                <w:rFonts w:ascii="Arial" w:cs="Arial" w:eastAsia="Arial" w:hAnsi="Arial"/>
                <w:sz w:val="18"/>
                <w:szCs w:val="18"/>
                <w:color w:val="auto"/>
              </w:rPr>
              <w:t>1,514</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6,203</w:t>
            </w: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148</w:t>
            </w:r>
          </w:p>
        </w:tc>
        <w:tc>
          <w:tcPr>
            <w:tcW w:w="8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199"/>
        </w:trPr>
        <w:tc>
          <w:tcPr>
            <w:tcW w:w="310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217"/>
              <w:spacing w:after="0" w:line="200" w:lineRule="exact"/>
              <w:rPr>
                <w:sz w:val="20"/>
                <w:szCs w:val="20"/>
                <w:color w:val="auto"/>
              </w:rPr>
            </w:pPr>
            <w:r>
              <w:rPr>
                <w:rFonts w:ascii="Arial" w:cs="Arial" w:eastAsia="Arial" w:hAnsi="Arial"/>
                <w:sz w:val="18"/>
                <w:szCs w:val="18"/>
                <w:color w:val="auto"/>
              </w:rPr>
              <w:t>16,998</w:t>
            </w:r>
          </w:p>
        </w:tc>
        <w:tc>
          <w:tcPr>
            <w:tcW w:w="100" w:type="dxa"/>
            <w:vAlign w:val="bottom"/>
          </w:tcPr>
          <w:p>
            <w:pPr>
              <w:spacing w:after="0"/>
              <w:rPr>
                <w:sz w:val="17"/>
                <w:szCs w:val="17"/>
                <w:color w:val="auto"/>
              </w:rPr>
            </w:pPr>
          </w:p>
        </w:tc>
        <w:tc>
          <w:tcPr>
            <w:tcW w:w="520" w:type="dxa"/>
            <w:vAlign w:val="bottom"/>
          </w:tcPr>
          <w:p>
            <w:pPr>
              <w:jc w:val="right"/>
              <w:ind w:right="19"/>
              <w:spacing w:after="0" w:line="200"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3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6</w:t>
            </w:r>
          </w:p>
        </w:tc>
        <w:tc>
          <w:tcPr>
            <w:tcW w:w="460" w:type="dxa"/>
            <w:vAlign w:val="bottom"/>
          </w:tcPr>
          <w:p>
            <w:pPr>
              <w:jc w:val="right"/>
              <w:ind w:right="39"/>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40,547</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16,280</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(7,517)</w:t>
            </w:r>
          </w:p>
        </w:tc>
        <w:tc>
          <w:tcPr>
            <w:tcW w:w="160" w:type="dxa"/>
            <w:vAlign w:val="bottom"/>
          </w:tcPr>
          <w:p>
            <w:pPr>
              <w:spacing w:after="0"/>
              <w:rPr>
                <w:sz w:val="17"/>
                <w:szCs w:val="17"/>
                <w:color w:val="auto"/>
              </w:rPr>
            </w:pPr>
          </w:p>
        </w:tc>
        <w:tc>
          <w:tcPr>
            <w:tcW w:w="980" w:type="dxa"/>
            <w:vAlign w:val="bottom"/>
          </w:tcPr>
          <w:p>
            <w:pPr>
              <w:jc w:val="right"/>
              <w:ind w:right="38"/>
              <w:spacing w:after="0" w:line="200"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6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440</w:t>
            </w:r>
          </w:p>
        </w:tc>
        <w:tc>
          <w:tcPr>
            <w:tcW w:w="8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603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(1,444)</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98</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(2,046)</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Purchase of NBCUniversal</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common equity</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(17,006)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(1,651)</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w w:val="98"/>
              </w:rPr>
              <w:t>Redeemable subsidiary preferred stock</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217"/>
              <w:spacing w:after="0" w:line="202" w:lineRule="exact"/>
              <w:rPr>
                <w:sz w:val="20"/>
                <w:szCs w:val="20"/>
                <w:color w:val="auto"/>
              </w:rPr>
            </w:pPr>
            <w:r>
              <w:rPr>
                <w:rFonts w:ascii="Arial" w:cs="Arial" w:eastAsia="Arial" w:hAnsi="Arial"/>
                <w:sz w:val="18"/>
                <w:szCs w:val="18"/>
                <w:color w:val="auto"/>
              </w:rPr>
              <w:t>725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217"/>
              <w:spacing w:after="0" w:line="202"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99"/>
        </w:trPr>
        <w:tc>
          <w:tcPr>
            <w:tcW w:w="31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217"/>
              <w:spacing w:after="0" w:line="200" w:lineRule="exact"/>
              <w:rPr>
                <w:sz w:val="20"/>
                <w:szCs w:val="20"/>
                <w:color w:val="auto"/>
              </w:rPr>
            </w:pPr>
            <w:r>
              <w:rPr>
                <w:rFonts w:ascii="Arial" w:cs="Arial" w:eastAsia="Arial" w:hAnsi="Arial"/>
                <w:sz w:val="18"/>
                <w:szCs w:val="18"/>
                <w:color w:val="auto"/>
              </w:rPr>
              <w:t>201</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6,816</w:t>
            </w: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118</w:t>
            </w:r>
          </w:p>
        </w:tc>
        <w:tc>
          <w:tcPr>
            <w:tcW w:w="8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177"/>
        </w:trPr>
        <w:tc>
          <w:tcPr>
            <w:tcW w:w="3100" w:type="dxa"/>
            <w:vAlign w:val="bottom"/>
          </w:tcPr>
          <w:p>
            <w:pPr>
              <w:spacing w:after="0" w:line="177" w:lineRule="exact"/>
              <w:rPr>
                <w:sz w:val="20"/>
                <w:szCs w:val="20"/>
                <w:color w:val="auto"/>
              </w:rPr>
            </w:pPr>
            <w:r>
              <w:rPr>
                <w:rFonts w:ascii="Arial" w:cs="Arial" w:eastAsia="Arial" w:hAnsi="Arial"/>
                <w:sz w:val="18"/>
                <w:szCs w:val="18"/>
                <w:color w:val="auto"/>
              </w:rPr>
              <w:t>Balance, December 31, 2013</w:t>
            </w:r>
          </w:p>
        </w:tc>
        <w:tc>
          <w:tcPr>
            <w:tcW w:w="140" w:type="dxa"/>
            <w:vAlign w:val="bottom"/>
          </w:tcPr>
          <w:p>
            <w:pPr>
              <w:spacing w:after="0"/>
              <w:rPr>
                <w:sz w:val="15"/>
                <w:szCs w:val="15"/>
                <w:color w:val="auto"/>
              </w:rPr>
            </w:pPr>
          </w:p>
        </w:tc>
        <w:tc>
          <w:tcPr>
            <w:tcW w:w="1060" w:type="dxa"/>
            <w:vAlign w:val="bottom"/>
            <w:tcBorders>
              <w:right w:val="single" w:sz="8" w:color="auto"/>
            </w:tcBorders>
          </w:tcPr>
          <w:p>
            <w:pPr>
              <w:jc w:val="right"/>
              <w:ind w:right="217"/>
              <w:spacing w:after="0" w:line="177" w:lineRule="exact"/>
              <w:rPr>
                <w:sz w:val="20"/>
                <w:szCs w:val="20"/>
                <w:color w:val="auto"/>
              </w:rPr>
            </w:pPr>
            <w:r>
              <w:rPr>
                <w:rFonts w:ascii="Arial" w:cs="Arial" w:eastAsia="Arial" w:hAnsi="Arial"/>
                <w:sz w:val="18"/>
                <w:szCs w:val="18"/>
                <w:color w:val="auto"/>
              </w:rPr>
              <w:t>957</w:t>
            </w:r>
          </w:p>
        </w:tc>
        <w:tc>
          <w:tcPr>
            <w:tcW w:w="100" w:type="dxa"/>
            <w:vAlign w:val="bottom"/>
          </w:tcPr>
          <w:p>
            <w:pPr>
              <w:spacing w:after="0"/>
              <w:rPr>
                <w:sz w:val="15"/>
                <w:szCs w:val="15"/>
                <w:color w:val="auto"/>
              </w:rPr>
            </w:pPr>
          </w:p>
        </w:tc>
        <w:tc>
          <w:tcPr>
            <w:tcW w:w="5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5"/>
                <w:szCs w:val="15"/>
                <w:color w:val="auto"/>
              </w:rPr>
            </w:pPr>
          </w:p>
        </w:tc>
        <w:tc>
          <w:tcPr>
            <w:tcW w:w="360" w:type="dxa"/>
            <w:vAlign w:val="bottom"/>
          </w:tcPr>
          <w:p>
            <w:pPr>
              <w:jc w:val="right"/>
              <w:ind w:right="15"/>
              <w:spacing w:after="0" w:line="177" w:lineRule="exact"/>
              <w:rPr>
                <w:sz w:val="20"/>
                <w:szCs w:val="20"/>
                <w:color w:val="auto"/>
              </w:rPr>
            </w:pPr>
            <w:r>
              <w:rPr>
                <w:rFonts w:ascii="Arial" w:cs="Arial" w:eastAsia="Arial" w:hAnsi="Arial"/>
                <w:sz w:val="18"/>
                <w:szCs w:val="18"/>
                <w:color w:val="auto"/>
              </w:rPr>
              <w:t>5</w:t>
            </w:r>
          </w:p>
        </w:tc>
        <w:tc>
          <w:tcPr>
            <w:tcW w:w="460" w:type="dxa"/>
            <w:vAlign w:val="bottom"/>
          </w:tcPr>
          <w:p>
            <w:pPr>
              <w:jc w:val="right"/>
              <w:ind w:right="39"/>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177" w:lineRule="exact"/>
              <w:rPr>
                <w:sz w:val="20"/>
                <w:szCs w:val="20"/>
                <w:color w:val="auto"/>
              </w:rPr>
            </w:pPr>
            <w:r>
              <w:rPr>
                <w:rFonts w:ascii="Arial" w:cs="Arial" w:eastAsia="Arial" w:hAnsi="Arial"/>
                <w:sz w:val="18"/>
                <w:szCs w:val="18"/>
                <w:color w:val="auto"/>
              </w:rPr>
              <w:t>38,890</w:t>
            </w: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19,235</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(7,517)</w:t>
            </w:r>
          </w:p>
        </w:tc>
        <w:tc>
          <w:tcPr>
            <w:tcW w:w="160" w:type="dxa"/>
            <w:vAlign w:val="bottom"/>
          </w:tcPr>
          <w:p>
            <w:pPr>
              <w:spacing w:after="0"/>
              <w:rPr>
                <w:sz w:val="15"/>
                <w:szCs w:val="15"/>
                <w:color w:val="auto"/>
              </w:rPr>
            </w:pPr>
          </w:p>
        </w:tc>
        <w:tc>
          <w:tcPr>
            <w:tcW w:w="980" w:type="dxa"/>
            <w:vAlign w:val="bottom"/>
          </w:tcPr>
          <w:p>
            <w:pPr>
              <w:jc w:val="right"/>
              <w:ind w:right="38"/>
              <w:spacing w:after="0" w:line="177"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5"/>
                <w:szCs w:val="15"/>
                <w:color w:val="auto"/>
              </w:rPr>
            </w:pPr>
          </w:p>
        </w:tc>
        <w:tc>
          <w:tcPr>
            <w:tcW w:w="640" w:type="dxa"/>
            <w:vAlign w:val="bottom"/>
          </w:tcPr>
          <w:p>
            <w:pPr>
              <w:jc w:val="right"/>
              <w:ind w:right="35"/>
              <w:spacing w:after="0" w:line="177" w:lineRule="exact"/>
              <w:rPr>
                <w:sz w:val="20"/>
                <w:szCs w:val="20"/>
                <w:color w:val="auto"/>
              </w:rPr>
            </w:pPr>
            <w:r>
              <w:rPr>
                <w:rFonts w:ascii="Arial" w:cs="Arial" w:eastAsia="Arial" w:hAnsi="Arial"/>
                <w:sz w:val="18"/>
                <w:szCs w:val="18"/>
                <w:color w:val="auto"/>
              </w:rPr>
              <w:t>364</w:t>
            </w:r>
          </w:p>
        </w:tc>
        <w:tc>
          <w:tcPr>
            <w:tcW w:w="8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51,058</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732</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(433)</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299</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(928)</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(3,323)</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(4,251)</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Employee stock purchase plans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118</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(2,320)</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(2,320)</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Issuance of subsidiary shares to</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noncontrolling interests</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217"/>
              <w:spacing w:after="0" w:line="202" w:lineRule="exact"/>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11</w:t>
            </w: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Contributions from (distributions to)</w:t>
            </w:r>
          </w:p>
        </w:tc>
        <w:tc>
          <w:tcPr>
            <w:tcW w:w="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noncontrolling interests, net</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7"/>
                <w:szCs w:val="17"/>
                <w:color w:val="auto"/>
              </w:rPr>
            </w:pPr>
          </w:p>
        </w:tc>
        <w:tc>
          <w:tcPr>
            <w:tcW w:w="1060" w:type="dxa"/>
            <w:vAlign w:val="bottom"/>
            <w:tcBorders>
              <w:right w:val="single" w:sz="8" w:color="auto"/>
            </w:tcBorders>
          </w:tcPr>
          <w:p>
            <w:pPr>
              <w:jc w:val="right"/>
              <w:ind w:right="157"/>
              <w:spacing w:after="0" w:line="202" w:lineRule="exact"/>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8,380</w:t>
            </w: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136</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8,516</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0C6DFF"/>
              <w:right w:val="single" w:sz="8" w:color="auto"/>
            </w:tcBorders>
          </w:tcPr>
          <w:p>
            <w:pPr>
              <w:jc w:val="right"/>
              <w:ind w:right="217"/>
              <w:spacing w:after="0" w:line="196" w:lineRule="exact"/>
              <w:rPr>
                <w:sz w:val="20"/>
                <w:szCs w:val="20"/>
                <w:color w:val="auto"/>
              </w:rPr>
            </w:pPr>
            <w:r>
              <w:rPr>
                <w:rFonts w:ascii="Arial" w:cs="Arial" w:eastAsia="Arial" w:hAnsi="Arial"/>
                <w:sz w:val="18"/>
                <w:szCs w:val="18"/>
                <w:b w:val="1"/>
                <w:bCs w:val="1"/>
                <w:color w:val="auto"/>
              </w:rPr>
              <w:t>1,066</w:t>
            </w:r>
          </w:p>
        </w:tc>
        <w:tc>
          <w:tcPr>
            <w:tcW w:w="100" w:type="dxa"/>
            <w:vAlign w:val="bottom"/>
            <w:tcBorders>
              <w:bottom w:val="single" w:sz="8" w:color="0C6DFF"/>
            </w:tcBorders>
          </w:tcPr>
          <w:p>
            <w:pPr>
              <w:spacing w:after="0"/>
              <w:rPr>
                <w:sz w:val="17"/>
                <w:szCs w:val="17"/>
                <w:color w:val="auto"/>
              </w:rPr>
            </w:pPr>
          </w:p>
        </w:tc>
        <w:tc>
          <w:tcPr>
            <w:tcW w:w="520" w:type="dxa"/>
            <w:vAlign w:val="bottom"/>
            <w:tcBorders>
              <w:bottom w:val="single" w:sz="8" w:color="0C6DFF"/>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$ 25</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5</w:t>
            </w:r>
          </w:p>
        </w:tc>
        <w:tc>
          <w:tcPr>
            <w:tcW w:w="460" w:type="dxa"/>
            <w:vAlign w:val="bottom"/>
            <w:tcBorders>
              <w:bottom w:val="single" w:sz="8" w:color="0C6DFF"/>
            </w:tcBorders>
          </w:tcPr>
          <w:p>
            <w:pPr>
              <w:jc w:val="right"/>
              <w:ind w:right="39"/>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$ 38,805</w:t>
            </w:r>
          </w:p>
        </w:tc>
        <w:tc>
          <w:tcPr>
            <w:tcW w:w="8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$ 21,539</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(7,517)</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(146)</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357</w:t>
            </w:r>
          </w:p>
        </w:tc>
        <w:tc>
          <w:tcPr>
            <w:tcW w:w="8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$ 53,068</w:t>
            </w:r>
          </w:p>
        </w:tc>
        <w:tc>
          <w:tcPr>
            <w:tcW w:w="0" w:type="dxa"/>
            <w:vAlign w:val="bottom"/>
          </w:tcPr>
          <w:p>
            <w:pPr>
              <w:spacing w:after="0"/>
              <w:rPr>
                <w:sz w:val="1"/>
                <w:szCs w:val="1"/>
                <w:color w:val="auto"/>
              </w:rPr>
            </w:pPr>
          </w:p>
        </w:tc>
      </w:tr>
      <w:tr>
        <w:trPr>
          <w:trHeight w:val="209"/>
        </w:trPr>
        <w:tc>
          <w:tcPr>
            <w:tcW w:w="4400" w:type="dxa"/>
            <w:vAlign w:val="bottom"/>
            <w:gridSpan w:val="4"/>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310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4"/>
                <w:szCs w:val="14"/>
                <w:b w:val="1"/>
                <w:bCs w:val="1"/>
                <w:color w:val="auto"/>
              </w:rPr>
              <w:t>88</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In 2013, we acquired General Electric Company’s (“GE”) 49% common equity interest in NBCUniversal, LLC (“NBCUniversal Holdings”) that we did not already own.</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February 12, 2014, we entered into an agreement and plan of merger (the “merger agreement”) with Time Warner Cable Inc. (“Time Warner Cable”) whereby Time Warner Cable will become our wholly owned subsidiary (the “Time Warner Cable merger”). On April 25, 2014, in connection with the merger agreement, we entered into an agreement with Charter Communications, Inc. (“Charter”) that, among other things, would result in a net disposition of certain cable systems. See Note 5 for additional information on the Time Warner Cable merger and the agreement with Charter.</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 See Note 18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segment primarily manages and operates cable systems that serve residential and business customers in the United States. As of December 31, 2014, our cable systems served 22.4 million video customers, 22.0 million high-speed Internet customers and 11.2 million voice customers, with 27.0 million total customer relationships.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our international cable networks, and our cable television production operations.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(formerly mun2) national cable network, and our broadcast television production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Focus Features and Illumination names.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Our Theme Parks segment also receives fees from third parties that own and operate Universal Studios Japan and Universal Studios Singapore for intellectual property licenses and other services.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consist primarily of Comcast-Spectacor, which owns the Philadelphia Flyers and the Wells Fargo Center arena in Philadelphia, Pennsylvania and operates arena management-related businesses.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as of the balance sheet date and translate revenue and expenses using average monthly exchange rates. The related translation adjustments are recorded as a component of accumulated other comprehensive income (loss). Any foreign currency transaction gains and losses are included in our consolidated statement of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9)</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taxes (see Note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1020" w:hanging="21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installation costs for connecting customers to our cable systems (see Note 8)</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or methods related to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jc w:val="both"/>
        <w:spacing w:after="0" w:line="236" w:lineRule="auto"/>
        <w:rPr>
          <w:sz w:val="20"/>
          <w:szCs w:val="20"/>
          <w:color w:val="auto"/>
        </w:rPr>
      </w:pPr>
      <w:r>
        <w:rPr>
          <w:rFonts w:ascii="Arial" w:cs="Arial" w:eastAsia="Arial" w:hAnsi="Arial"/>
          <w:sz w:val="18"/>
          <w:szCs w:val="18"/>
          <w:color w:val="auto"/>
        </w:rPr>
        <w:t>Our Cable Communications segment generates revenue primarily from subscriptions to our video, high-speed Internet and voice services (“cable services”) and from the sale of advertising. We recognize revenue from cable services as each service is provided. Customers are typically billed in advance on a monthly basis based on the services and features they receive and the type of equipment they use.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our cable systems is less than the related direct selling costs, we recognize revenue as connections are completed.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our Spotlight business sells to local, regional and national advertisers.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recognize advertising revenue when the advertising is aired. In most cases, the available advertising units are sold by our sales force. In some cases, we work with representation firms as an extension of our sales force to sell a portion of the advertising units allocated to us. We also represent the advertising sales efforts of other multichannel video providers in some markets. Since we are acting as the principal in these arrangements, we report the advertising that is sold as revenue and the fees paid to representation firms and multichannel video providers as other operating and administrative expenses.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earned from other sources, such as our home security and automation services, is recognized when services are provided or events occur. Under the terms of our cable franchise agreements, we are generally required to pay to the cable franchising authority an amount based on our gross video revenue. We normally pass these fees through to our cable services customers and classify the fees as a component of revenue with the corresponding costs included in other operating and administrative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35"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distribution to subscription video on demand services and various other distribution platforms, and from the sale of our owned programming electronically through digital distributors such as iTunes.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and to subscription video on demand services, and from fees received under retransmission consent agreements.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the shortfall is settled, primarily by providing additional advertising units. We record revenue from the licensing of our owned programming when the content is available for use by the licensee, and when certain other conditions are met. When license fees include advertising time, we recognize the component of revenue associated with the advertisements when they are aired or viewed.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standard-definition video discs and Blu-ray discs (together, “DVDs”) and electronically through digital distributors. Our Filmed Entertainment segment also generates revenue from producing and licensing live stage plays, from the distribution of filmed entertainment produced by third parties, and from a movie ticketing and entertainment business.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7"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Florida and Hollywood, California, as well as from licensing and other fees. We recognize revenue from advance theme park ticket sales when the tickets are used. For annual passes, we recognize revenue on a straight-line basis over the annual period following the initial activation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acquired for distribution to our video customers, generally under multiyear distribution agreements, with rates typically based on the number of customers that receive the programming,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our Cable Communications segment receives incentives from cable networks for the licensing of their programming, we defer a portion of these incentives, which are included in other current and noncurrent liabilities, and recognize them over the term of the contract as a reduction to programming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our cash equivalents approximate their fair values. Our cash equivalents consist primarily of money market funds and U.S. government obligations, as well as commercial paper and certificates of deposit with maturities of three months or less when purchased.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derivative financial instruments are recorded in our consolidated balance sheet at fair value. See Note 7 for additional information on the derivative component of our prepaid forward sale agreements. The impact of other derivative financial instruments on our consolidated financial statements was not material for all periods presented.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liabilities related to asset retirements recorded in our consolidated financial statements.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2014, the Financial Accounting Standards Board (“FASB”) updated the accounting guidance related to discontinued operations. The updated accounting guidance provides a narrower definition of discontinued operations than existing GAAP. The updated accounting guidance requires that only disposals of components of an entity, or groups of components, that represent a strategic shift that has or will have a material effect on the reporting entity’s operations be reported in the financial statements as discontinued operations. The updated accounting guidance also provides guidance on the financial statement presentations and disclosures of discontinued operations. The updated accounting guidance will be effective prospectively for us on January 1,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2014, the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960" w:type="dxa"/>
            <w:vAlign w:val="bottom"/>
            <w:gridSpan w:val="2"/>
          </w:tcPr>
          <w:p>
            <w:pPr>
              <w:jc w:val="right"/>
              <w:ind w:right="12"/>
              <w:spacing w:after="0" w:line="125" w:lineRule="exact"/>
              <w:rPr>
                <w:sz w:val="20"/>
                <w:szCs w:val="20"/>
                <w:color w:val="auto"/>
              </w:rPr>
            </w:pPr>
            <w:r>
              <w:rPr>
                <w:rFonts w:ascii="Arial" w:cs="Arial" w:eastAsia="Arial" w:hAnsi="Arial"/>
                <w:sz w:val="14"/>
                <w:szCs w:val="14"/>
                <w:b w:val="1"/>
                <w:bCs w:val="1"/>
                <w:color w:val="auto"/>
              </w:rPr>
              <w:t>Net Income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jc w:val="right"/>
              <w:ind w:right="32"/>
              <w:spacing w:after="0" w:line="125" w:lineRule="exact"/>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9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Attributable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Attributable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Year ended December 31</w:t>
            </w:r>
          </w:p>
        </w:tc>
        <w:tc>
          <w:tcPr>
            <w:tcW w:w="9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to Comcast</w:t>
            </w:r>
          </w:p>
        </w:tc>
        <w:tc>
          <w:tcPr>
            <w:tcW w:w="6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Per Share</w:t>
            </w:r>
          </w:p>
        </w:tc>
        <w:tc>
          <w:tcPr>
            <w:tcW w:w="9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Per Share</w:t>
            </w:r>
          </w:p>
        </w:tc>
        <w:tc>
          <w:tcPr>
            <w:tcW w:w="9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to Comcast</w:t>
            </w:r>
          </w:p>
        </w:tc>
        <w:tc>
          <w:tcPr>
            <w:tcW w:w="66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65"/>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Amount</w:t>
            </w:r>
          </w:p>
        </w:tc>
        <w:tc>
          <w:tcPr>
            <w:tcW w:w="9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Corporation</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199"/>
        </w:trPr>
        <w:tc>
          <w:tcPr>
            <w:tcW w:w="42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8,380</w:t>
            </w: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2,583</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3.24</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6,816</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2,625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28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6,203</w:t>
            </w:r>
          </w:p>
        </w:tc>
        <w:tc>
          <w:tcPr>
            <w:tcW w:w="6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2,678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20"/>
              <w:spacing w:after="0" w:line="202" w:lineRule="exact"/>
              <w:rPr>
                <w:sz w:val="20"/>
                <w:szCs w:val="20"/>
                <w:color w:val="auto"/>
              </w:rPr>
            </w:pPr>
            <w:r>
              <w:rPr>
                <w:rFonts w:ascii="Arial" w:cs="Arial" w:eastAsia="Arial" w:hAnsi="Arial"/>
                <w:sz w:val="18"/>
                <w:szCs w:val="18"/>
                <w:color w:val="auto"/>
                <w:w w:val="97"/>
              </w:rPr>
              <w:t>Assumed exercise or issuance of shares relating to</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37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auto"/>
            </w:tcBorders>
          </w:tcPr>
          <w:p>
            <w:pPr>
              <w:ind w:left="440"/>
              <w:spacing w:after="0" w:line="200" w:lineRule="exact"/>
              <w:rPr>
                <w:sz w:val="20"/>
                <w:szCs w:val="20"/>
                <w:color w:val="auto"/>
              </w:rPr>
            </w:pPr>
            <w:r>
              <w:rPr>
                <w:rFonts w:ascii="Arial" w:cs="Arial" w:eastAsia="Arial" w:hAnsi="Arial"/>
                <w:sz w:val="18"/>
                <w:szCs w:val="18"/>
                <w:color w:val="auto"/>
              </w:rPr>
              <w:t>stock plans</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
              <w:spacing w:after="0" w:line="200" w:lineRule="exact"/>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00" w:type="dxa"/>
            <w:vAlign w:val="bottom"/>
            <w:vMerge w:val="restart"/>
          </w:tcPr>
          <w:p>
            <w:pPr>
              <w:jc w:val="right"/>
              <w:ind w:right="66"/>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8,380</w:t>
            </w:r>
          </w:p>
        </w:tc>
        <w:tc>
          <w:tcPr>
            <w:tcW w:w="660" w:type="dxa"/>
            <w:vAlign w:val="bottom"/>
            <w:vMerge w:val="restart"/>
          </w:tcPr>
          <w:p>
            <w:pPr>
              <w:jc w:val="right"/>
              <w:ind w:right="20"/>
              <w:spacing w:after="0"/>
              <w:rPr>
                <w:sz w:val="20"/>
                <w:szCs w:val="20"/>
                <w:color w:val="auto"/>
              </w:rPr>
            </w:pPr>
            <w:r>
              <w:rPr>
                <w:rFonts w:ascii="Arial" w:cs="Arial" w:eastAsia="Arial" w:hAnsi="Arial"/>
                <w:sz w:val="18"/>
                <w:szCs w:val="18"/>
                <w:b w:val="1"/>
                <w:bCs w:val="1"/>
                <w:color w:val="auto"/>
              </w:rPr>
              <w:t>2,620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3.20</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tcBorders>
              <w:bottom w:val="single" w:sz="8" w:color="0C6DFF"/>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0C6DFF"/>
            </w:tcBorders>
            <w:vMerge w:val="continue"/>
          </w:tcPr>
          <w:p>
            <w:pPr>
              <w:spacing w:after="0"/>
              <w:rPr>
                <w:sz w:val="17"/>
                <w:szCs w:val="17"/>
                <w:color w:val="auto"/>
              </w:rPr>
            </w:pPr>
          </w:p>
        </w:tc>
        <w:tc>
          <w:tcPr>
            <w:tcW w:w="660" w:type="dxa"/>
            <w:vAlign w:val="bottom"/>
            <w:tcBorders>
              <w:bottom w:val="single" w:sz="8" w:color="0C6DFF"/>
            </w:tcBorders>
            <w:vMerge w:val="continue"/>
          </w:tcPr>
          <w:p>
            <w:pPr>
              <w:spacing w:after="0"/>
              <w:rPr>
                <w:sz w:val="17"/>
                <w:szCs w:val="17"/>
                <w:color w:val="auto"/>
              </w:rPr>
            </w:pPr>
          </w:p>
        </w:tc>
        <w:tc>
          <w:tcPr>
            <w:tcW w:w="660" w:type="dxa"/>
            <w:vAlign w:val="bottom"/>
            <w:tcBorders>
              <w:bottom w:val="single" w:sz="8" w:color="0C6DFF"/>
            </w:tcBorders>
            <w:vMerge w:val="continue"/>
          </w:tcPr>
          <w:p>
            <w:pPr>
              <w:spacing w:after="0"/>
              <w:rPr>
                <w:sz w:val="17"/>
                <w:szCs w:val="17"/>
                <w:color w:val="auto"/>
              </w:rPr>
            </w:pPr>
          </w:p>
        </w:tc>
        <w:tc>
          <w:tcPr>
            <w:tcW w:w="200" w:type="dxa"/>
            <w:vAlign w:val="bottom"/>
            <w:tcBorders>
              <w:bottom w:val="single" w:sz="8" w:color="0C6DFF"/>
            </w:tcBorders>
            <w:vMerge w:val="continue"/>
          </w:tcPr>
          <w:p>
            <w:pPr>
              <w:spacing w:after="0"/>
              <w:rPr>
                <w:sz w:val="17"/>
                <w:szCs w:val="17"/>
                <w:color w:val="auto"/>
              </w:rPr>
            </w:pPr>
          </w:p>
        </w:tc>
        <w:tc>
          <w:tcPr>
            <w:tcW w:w="600" w:type="dxa"/>
            <w:vAlign w:val="bottom"/>
            <w:tcBorders>
              <w:bottom w:val="single" w:sz="8" w:color="0C6DFF"/>
            </w:tcBorders>
            <w:vMerge w:val="continue"/>
          </w:tcPr>
          <w:p>
            <w:pPr>
              <w:spacing w:after="0"/>
              <w:rPr>
                <w:sz w:val="17"/>
                <w:szCs w:val="17"/>
                <w:color w:val="auto"/>
              </w:rPr>
            </w:pPr>
          </w:p>
        </w:tc>
        <w:tc>
          <w:tcPr>
            <w:tcW w:w="280" w:type="dxa"/>
            <w:vAlign w:val="bottom"/>
            <w:tcBorders>
              <w:bottom w:val="single" w:sz="8" w:color="0C6DFF"/>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32"/>
              <w:spacing w:after="0" w:line="200" w:lineRule="exact"/>
              <w:rPr>
                <w:sz w:val="20"/>
                <w:szCs w:val="20"/>
                <w:color w:val="auto"/>
              </w:rPr>
            </w:pPr>
            <w:r>
              <w:rPr>
                <w:rFonts w:ascii="Arial" w:cs="Arial" w:eastAsia="Arial" w:hAnsi="Arial"/>
                <w:sz w:val="18"/>
                <w:szCs w:val="18"/>
                <w:color w:val="auto"/>
              </w:rPr>
              <w:t>6,816</w:t>
            </w:r>
          </w:p>
        </w:tc>
        <w:tc>
          <w:tcPr>
            <w:tcW w:w="660" w:type="dxa"/>
            <w:vAlign w:val="bottom"/>
            <w:tcBorders>
              <w:bottom w:val="single" w:sz="8" w:color="0C6DFF"/>
            </w:tcBorders>
          </w:tcPr>
          <w:p>
            <w:pPr>
              <w:jc w:val="right"/>
              <w:ind w:right="20"/>
              <w:spacing w:after="0" w:line="200" w:lineRule="exact"/>
              <w:rPr>
                <w:sz w:val="20"/>
                <w:szCs w:val="20"/>
                <w:color w:val="auto"/>
              </w:rPr>
            </w:pPr>
            <w:r>
              <w:rPr>
                <w:rFonts w:ascii="Arial" w:cs="Arial" w:eastAsia="Arial" w:hAnsi="Arial"/>
                <w:sz w:val="18"/>
                <w:szCs w:val="18"/>
                <w:color w:val="auto"/>
              </w:rPr>
              <w:t>2,665</w:t>
            </w:r>
          </w:p>
        </w:tc>
        <w:tc>
          <w:tcPr>
            <w:tcW w:w="20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2.56</w:t>
            </w:r>
          </w:p>
        </w:tc>
        <w:tc>
          <w:tcPr>
            <w:tcW w:w="280" w:type="dxa"/>
            <w:vAlign w:val="bottom"/>
            <w:tcBorders>
              <w:bottom w:val="single" w:sz="8" w:color="0C6DFF"/>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32"/>
              <w:spacing w:after="0" w:line="200" w:lineRule="exact"/>
              <w:rPr>
                <w:sz w:val="20"/>
                <w:szCs w:val="20"/>
                <w:color w:val="auto"/>
              </w:rPr>
            </w:pPr>
            <w:r>
              <w:rPr>
                <w:rFonts w:ascii="Arial" w:cs="Arial" w:eastAsia="Arial" w:hAnsi="Arial"/>
                <w:sz w:val="18"/>
                <w:szCs w:val="18"/>
                <w:color w:val="auto"/>
              </w:rPr>
              <w:t>6,203</w:t>
            </w:r>
          </w:p>
        </w:tc>
        <w:tc>
          <w:tcPr>
            <w:tcW w:w="660" w:type="dxa"/>
            <w:vAlign w:val="bottom"/>
            <w:tcBorders>
              <w:bottom w:val="single" w:sz="8" w:color="0C6DFF"/>
            </w:tcBorders>
          </w:tcPr>
          <w:p>
            <w:pPr>
              <w:jc w:val="right"/>
              <w:ind w:right="20"/>
              <w:spacing w:after="0" w:line="200" w:lineRule="exact"/>
              <w:rPr>
                <w:sz w:val="20"/>
                <w:szCs w:val="20"/>
                <w:color w:val="auto"/>
              </w:rPr>
            </w:pPr>
            <w:r>
              <w:rPr>
                <w:rFonts w:ascii="Arial" w:cs="Arial" w:eastAsia="Arial" w:hAnsi="Arial"/>
                <w:sz w:val="18"/>
                <w:szCs w:val="18"/>
                <w:color w:val="auto"/>
              </w:rPr>
              <w:t>2,717</w:t>
            </w:r>
          </w:p>
        </w:tc>
        <w:tc>
          <w:tcPr>
            <w:tcW w:w="22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ind w:right="19"/>
              <w:spacing w:after="0" w:line="200"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Diluted EPS excludes the impact of potential common shares related to our stock options in periods in which the combination of the option exercise price and the associated unrecognized compensation expense is greater than the average market price of our Class A common stock or our Class A Special common stock, as applicable.</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amount of potential common shares related to our share-based compensation plans that were excluded from diluted EPS because their effect would have been antidilutive was not material for 2014, 2013 and 2012.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Time Warner Cable Merger</w:t>
      </w:r>
    </w:p>
    <w:p>
      <w:pPr>
        <w:jc w:val="both"/>
        <w:spacing w:after="0" w:line="235" w:lineRule="auto"/>
        <w:rPr>
          <w:sz w:val="20"/>
          <w:szCs w:val="20"/>
          <w:color w:val="auto"/>
        </w:rPr>
      </w:pPr>
      <w:r>
        <w:rPr>
          <w:rFonts w:ascii="Arial" w:cs="Arial" w:eastAsia="Arial" w:hAnsi="Arial"/>
          <w:sz w:val="18"/>
          <w:szCs w:val="18"/>
          <w:color w:val="auto"/>
        </w:rPr>
        <w:t>On February 12, 2014, we entered into the merger agreement with Time Warner Cable. Time Warner Cable is among the largest providers of video, high-speed Internet and voice services in the United States, located mainly in five geographic areas: New York State (including New York City), the Carolinas, the Midwest (including Ohio, Kentucky and Wisconsin), Southern California (including Los Angeles) and Texas. Time Warner Cable stockholders will receive, in exchange for each share of Time Warner Cable common stock owned immediately prior to the Time Warner Cable merger, 2.875 shares of our Class A common stock. Because the exchange ratio was fixed at the time of the merger agreement and the market value of our Class A common stock will continue to fluctuate, the number of shares of Class A common stock to be issued and the total value of the consideration exchanged will not be determinable until the closing date. The Time Warner Cable merger was approved by both Comcast shareholders and Time Warner Cable stockholders in October 2014. The Time Warner Cable merger remains subject to regulatory approval and other customary conditions and is expected to close in early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Divestiture Transactions</w:t>
      </w:r>
    </w:p>
    <w:p>
      <w:pPr>
        <w:jc w:val="both"/>
        <w:spacing w:after="0" w:line="236" w:lineRule="auto"/>
        <w:rPr>
          <w:sz w:val="20"/>
          <w:szCs w:val="20"/>
          <w:color w:val="auto"/>
        </w:rPr>
      </w:pPr>
      <w:r>
        <w:rPr>
          <w:rFonts w:ascii="Arial" w:cs="Arial" w:eastAsia="Arial" w:hAnsi="Arial"/>
          <w:sz w:val="18"/>
          <w:szCs w:val="18"/>
          <w:color w:val="auto"/>
        </w:rPr>
        <w:t>The terms of the merger agreement contemplated that we would divest systems serving up to approximately 3 million of our video customers following the Time Warner Cable merger in order to obtain applicable regulatory approvals. As a result of this commitment, on April 25, 2014, we entered into an agreement with Charter that, if consummated, would satisfy the divestiture undertaking. Under this agreement, following the close of the Time Warner Cable merger and subject to various conditions, we agreed to divest certain cable systems through three transactions: (1) a spin-off of certain of our existing cable systems (the “spin-off transaction”) into a newly formed public entity (“SpinCo”), (2) an exchange of certain former Time Warner Cable cable systems for Charter cable systems, and (3) a sale to Charter of certain former Time Warner Cable cable systems for cash (collectively, the “divestiture transactions”).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connection with and prior to the spin-off transaction, it is expected that SpinCo would incur new debt. The debt would consist of credit facilities to fund cash distributions to us and notes which SpinCo would issue to us. These notes would enable us to complete a debt-for-debt exchange where financial institutions would exchange a portion of our debt securities for the new SpinCo notes, which would effectively retire a portion of our debt. In the spin-off transaction, we would distribute the common stock of SpinCo pro rata to the holders of all of our outstanding common stock as of the record date, which would occur following the close of the Time Warner Cable merger. After the spin-off transaction, a newly formed, wholly owned indirect subsidiary of Charter would merge with and into Charter with the effect that all shares of Charter would be converted into shares of a new holding company, which would survive as the publicly traded parent company of Charter (“New Charter”). New Charter would then acquire an interest in SpinCo by issuing New Charter stock in exchange for a portion of the outstanding SpinCo stock, following which it is expected that Comcast shareholders would own approximately 67% of SpinCo and New Charter would own approximately 33% of SpinCo. In addition, Comcast shareholders would own New Charter stock as a result of the exchange of outstanding SpinCo stock with New Charter, although the actual number of shares would depend on a</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94</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number of factors, some of which would not be determinable until the completion of the divestiture transactions. Following the close of the divestiture transactions, we would no longer have any ownership interest in SpinCo.</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close of the divestiture transactions is subject to the completion of the Time Warner Cable merger, the SpinCo financing transactions, approval by Charter’s stockholders, regulatory approvals and other customary conditions. The Time Warner Cable merger and the divestiture transactions are subject to separate conditions, and the Time Warner Cable merger can be completed regardless of whether the divestiture transactions are ultimately completed. The closing of the divestiture transactions is expected to occur 30 to 60 days following the close of the Time Warner Cable merger.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Transactions-Related Expenses</w:t>
      </w:r>
    </w:p>
    <w:p>
      <w:pPr>
        <w:jc w:val="both"/>
        <w:spacing w:after="0" w:line="238" w:lineRule="auto"/>
        <w:rPr>
          <w:sz w:val="20"/>
          <w:szCs w:val="20"/>
          <w:color w:val="auto"/>
        </w:rPr>
      </w:pPr>
      <w:r>
        <w:rPr>
          <w:rFonts w:ascii="Arial" w:cs="Arial" w:eastAsia="Arial" w:hAnsi="Arial"/>
          <w:sz w:val="18"/>
          <w:szCs w:val="18"/>
          <w:color w:val="auto"/>
        </w:rPr>
        <w:t>In connection with the Time Warner Cable merger and the divestiture transactions, we have incurred incremental expenses of $237 million in 2014 which included legal, accounting and valuation services and advisory fees, all of which are reflected in other operating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Redemption Transaction</w:t>
      </w:r>
    </w:p>
    <w:p>
      <w:pPr>
        <w:jc w:val="both"/>
        <w:spacing w:after="0" w:line="237" w:lineRule="auto"/>
        <w:rPr>
          <w:sz w:val="20"/>
          <w:szCs w:val="20"/>
          <w:color w:val="auto"/>
        </w:rPr>
      </w:pPr>
      <w:r>
        <w:rPr>
          <w:rFonts w:ascii="Arial" w:cs="Arial" w:eastAsia="Arial" w:hAnsi="Arial"/>
          <w:sz w:val="18"/>
          <w:szCs w:val="18"/>
          <w:color w:val="auto"/>
        </w:rPr>
        <w:t>On March 19, 2013, we acquired GE’s 49% common equity interest in NBCUniversal Holdings that we did not already own for approximately $16.7 billion (the “NBCUniversal redemption transaction”). In addition to the NBCUniversal redemption transaction, NBCUniversal purchased from GE certain properties NBCUniversal occupies at 30 Rockefeller Plaza in New York City and CNBC’s headquarters in Englewood Cliffs, New Jersey for $1.4 billion.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total consideration for these transactions consisted of $11.4 billion of cash on hand; $4 billion of senior debt securities issued by NBCUniversal Enterprise, Inc. (“NBCUniversal Enterprise”), a holding company that we control and consolidate following the close of the NBCUniversal redemption transaction whose principal assets are its interests in NBCUniversal Holdings; $750 million of cash funded through our commercial paper program; $1.25 billion of borrowings under NBCUniversal Enterprise’s credit facility, which replaced NBCUniversal’s credit facility; and $725 million aggregate liquidation preference of Series A cumulative preferred stock of NBCUniversal Enterprise. See Note 20 for additional information on our cross-guarantee structure.</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we maintained control of NBCUniversal Holdings, the difference between the consideration transferred and the recorded value of GE’s 49% redeemable noncontrolling common equity interest, and the related tax impacts, were recorded to additional paid-in capital.</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NBCUniversal Enterprise preferred stock pays dividends at a fixed rate of 5.25% per annum.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each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2014 and 2013, the fair value of the NBCUniversal Enterprise redeemable subsidiary preferred stock was $751 million and $741 million, respectively.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660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$ 1,371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$ 1,630</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9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1,189</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6"/>
        </w:trPr>
        <w:tc>
          <w:tcPr>
            <w:tcW w:w="660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940" w:type="dxa"/>
            <w:vAlign w:val="bottom"/>
          </w:tcPr>
          <w:p>
            <w:pPr>
              <w:jc w:val="right"/>
              <w:ind w:right="54"/>
              <w:spacing w:after="0"/>
              <w:rPr>
                <w:sz w:val="20"/>
                <w:szCs w:val="20"/>
                <w:color w:val="auto"/>
              </w:rPr>
            </w:pPr>
            <w:r>
              <w:rPr>
                <w:rFonts w:ascii="Arial" w:cs="Arial" w:eastAsia="Arial" w:hAnsi="Arial"/>
                <w:sz w:val="18"/>
                <w:szCs w:val="18"/>
                <w:b w:val="1"/>
                <w:bCs w:val="1"/>
                <w:color w:val="auto"/>
              </w:rPr>
              <w:t>2,631</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175"/>
        </w:trPr>
        <w:tc>
          <w:tcPr>
            <w:tcW w:w="6600" w:type="dxa"/>
            <w:vAlign w:val="bottom"/>
            <w:vMerge w:val="continue"/>
          </w:tcPr>
          <w:p>
            <w:pPr>
              <w:spacing w:after="0"/>
              <w:rPr>
                <w:sz w:val="15"/>
                <w:szCs w:val="15"/>
                <w:color w:val="auto"/>
              </w:rPr>
            </w:pP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1,273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505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1,778</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2,157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6,566</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5,922</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839</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Film and television costs</w:t>
            </w:r>
          </w:p>
        </w:tc>
        <w:tc>
          <w:tcPr>
            <w:tcW w:w="39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$ 5,727</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$ 4,994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our estimates of the ratio of the current period’s actual revenue to the estimated total remaining gross revenue from all sources (“ultimate revenue”), as of December 31, 2014, approximately $1.3 billion of film and television costs associated with our original film and television productions that have been released, or completed and not yet released, are expected to be amortized during 2015. Approximately 86% of unamortized film and television costs for our released productions, excluding amounts allocated to acquired libraries, are expected to be amortized through 2017.</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acquired film and television libraries, which are included within the “released, less amortization” captions in the table above, had remaining unamortized costs of $570 million. These costs are generally amortized over a period not to exceed 20 years, and approximately 51% of these costs are expected to be amortized through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individual film forecast computation method, which amortizes such costs in the same ratio as the associated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a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a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 revenue to the estimated total remaining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 cash flows are insufficient or if there is no plan to broadcast certain programming, we recognize an impairment charge to programming and production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732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26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4"/>
              <w:spacing w:after="0" w:line="200" w:lineRule="exact"/>
              <w:rPr>
                <w:sz w:val="20"/>
                <w:szCs w:val="20"/>
                <w:color w:val="auto"/>
              </w:rPr>
            </w:pPr>
            <w:r>
              <w:rPr>
                <w:rFonts w:ascii="Arial" w:cs="Arial" w:eastAsia="Arial" w:hAnsi="Arial"/>
                <w:sz w:val="18"/>
                <w:szCs w:val="18"/>
                <w:b w:val="1"/>
                <w:bCs w:val="1"/>
                <w:color w:val="auto"/>
              </w:rPr>
              <w:t>662</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$ 4,345</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2600" w:type="dxa"/>
            <w:vAlign w:val="bottom"/>
          </w:tcPr>
          <w:p>
            <w:pPr>
              <w:spacing w:after="0"/>
              <w:rPr>
                <w:sz w:val="17"/>
                <w:szCs w:val="17"/>
                <w:color w:val="auto"/>
              </w:rPr>
            </w:pPr>
          </w:p>
        </w:tc>
        <w:tc>
          <w:tcPr>
            <w:tcW w:w="6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335</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220"/>
              <w:spacing w:after="0" w:line="181" w:lineRule="exact"/>
              <w:rPr>
                <w:sz w:val="20"/>
                <w:szCs w:val="20"/>
                <w:color w:val="auto"/>
              </w:rPr>
            </w:pPr>
            <w:r>
              <w:rPr>
                <w:rFonts w:ascii="Arial" w:cs="Arial" w:eastAsia="Arial" w:hAnsi="Arial"/>
                <w:sz w:val="18"/>
                <w:szCs w:val="18"/>
                <w:color w:val="auto"/>
              </w:rPr>
              <w:t>The Weather Channel</w:t>
            </w:r>
          </w:p>
        </w:tc>
        <w:tc>
          <w:tcPr>
            <w:tcW w:w="26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732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260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167</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517</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6"/>
        </w:trPr>
        <w:tc>
          <w:tcPr>
            <w:tcW w:w="732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2600" w:type="dxa"/>
            <w:vAlign w:val="bottom"/>
          </w:tcPr>
          <w:p>
            <w:pPr>
              <w:spacing w:after="0"/>
              <w:rPr>
                <w:sz w:val="19"/>
                <w:szCs w:val="19"/>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b w:val="1"/>
                <w:bCs w:val="1"/>
                <w:color w:val="auto"/>
              </w:rPr>
              <w:t>1,019</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175"/>
        </w:trPr>
        <w:tc>
          <w:tcPr>
            <w:tcW w:w="7320" w:type="dxa"/>
            <w:vAlign w:val="bottom"/>
            <w:vMerge w:val="continue"/>
          </w:tcPr>
          <w:p>
            <w:pPr>
              <w:spacing w:after="0"/>
              <w:rPr>
                <w:sz w:val="15"/>
                <w:szCs w:val="15"/>
                <w:color w:val="auto"/>
              </w:rPr>
            </w:pPr>
          </w:p>
        </w:tc>
        <w:tc>
          <w:tcPr>
            <w:tcW w:w="2600" w:type="dxa"/>
            <w:vAlign w:val="bottom"/>
          </w:tcPr>
          <w:p>
            <w:pPr>
              <w:spacing w:after="0"/>
              <w:rPr>
                <w:sz w:val="15"/>
                <w:szCs w:val="15"/>
                <w:color w:val="auto"/>
              </w:rPr>
            </w:pPr>
          </w:p>
        </w:tc>
        <w:tc>
          <w:tcPr>
            <w:tcW w:w="6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1,568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26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488</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77"/>
        </w:trPr>
        <w:tc>
          <w:tcPr>
            <w:tcW w:w="73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2,056</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Total investments</w:t>
            </w:r>
          </w:p>
        </w:tc>
        <w:tc>
          <w:tcPr>
            <w:tcW w:w="260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3,737</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2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602</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2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3,135</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$ 3,770</w:t>
            </w:r>
          </w:p>
        </w:tc>
        <w:tc>
          <w:tcPr>
            <w:tcW w:w="0" w:type="dxa"/>
            <w:vAlign w:val="bottom"/>
          </w:tcPr>
          <w:p>
            <w:pPr>
              <w:spacing w:after="0"/>
              <w:rPr>
                <w:sz w:val="1"/>
                <w:szCs w:val="1"/>
                <w:color w:val="auto"/>
              </w:rPr>
            </w:pPr>
          </w:p>
        </w:tc>
      </w:tr>
      <w:tr>
        <w:trPr>
          <w:trHeight w:val="506"/>
        </w:trPr>
        <w:tc>
          <w:tcPr>
            <w:tcW w:w="7320" w:type="dxa"/>
            <w:vAlign w:val="bottom"/>
          </w:tcPr>
          <w:p>
            <w:pPr>
              <w:ind w:left="5680"/>
              <w:spacing w:after="0"/>
              <w:rPr>
                <w:sz w:val="20"/>
                <w:szCs w:val="20"/>
                <w:color w:val="auto"/>
              </w:rPr>
            </w:pPr>
            <w:r>
              <w:rPr>
                <w:rFonts w:ascii="Arial" w:cs="Arial" w:eastAsia="Arial" w:hAnsi="Arial"/>
                <w:sz w:val="14"/>
                <w:szCs w:val="14"/>
                <w:b w:val="1"/>
                <w:bCs w:val="1"/>
                <w:color w:val="auto"/>
              </w:rPr>
              <w:t>97</w:t>
            </w:r>
          </w:p>
        </w:tc>
        <w:tc>
          <w:tcPr>
            <w:tcW w:w="4100" w:type="dxa"/>
            <w:vAlign w:val="bottom"/>
            <w:gridSpan w:val="3"/>
          </w:tcPr>
          <w:p>
            <w:pPr>
              <w:jc w:val="right"/>
              <w:spacing w:after="0"/>
              <w:rPr>
                <w:sz w:val="20"/>
                <w:szCs w:val="20"/>
                <w:color w:val="auto"/>
              </w:rPr>
            </w:pPr>
            <w:r>
              <w:rPr>
                <w:rFonts w:ascii="Arial" w:cs="Arial" w:eastAsia="Arial" w:hAnsi="Arial"/>
                <w:sz w:val="14"/>
                <w:szCs w:val="14"/>
                <w:color w:val="auto"/>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Investment Income (Loss), Net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2013</w:t>
            </w: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872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98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$ 192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5"/>
              <w:spacing w:after="0" w:line="177" w:lineRule="exact"/>
              <w:rPr>
                <w:sz w:val="20"/>
                <w:szCs w:val="20"/>
                <w:color w:val="auto"/>
              </w:rPr>
            </w:pPr>
            <w:r>
              <w:rPr>
                <w:rFonts w:ascii="Arial" w:cs="Arial" w:eastAsia="Arial" w:hAnsi="Arial"/>
                <w:sz w:val="18"/>
                <w:szCs w:val="18"/>
                <w:color w:val="auto"/>
              </w:rPr>
              <w:t>484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720" w:type="dxa"/>
            <w:vAlign w:val="bottom"/>
          </w:tcPr>
          <w:p>
            <w:pPr>
              <w:spacing w:after="0"/>
              <w:rPr>
                <w:sz w:val="20"/>
                <w:szCs w:val="20"/>
                <w:color w:val="auto"/>
              </w:rPr>
            </w:pPr>
            <w:r>
              <w:rPr>
                <w:rFonts w:ascii="Arial" w:cs="Arial" w:eastAsia="Arial" w:hAnsi="Arial"/>
                <w:sz w:val="18"/>
                <w:szCs w:val="18"/>
                <w:color w:val="auto"/>
              </w:rPr>
              <w:t>Unrealized gains on securities underlying prepaid forward sale agreements</w:t>
            </w:r>
          </w:p>
        </w:tc>
        <w:tc>
          <w:tcPr>
            <w:tcW w:w="980" w:type="dxa"/>
            <w:vAlign w:val="bottom"/>
          </w:tcPr>
          <w:p>
            <w:pPr>
              <w:jc w:val="right"/>
              <w:ind w:right="55"/>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9"/>
                <w:szCs w:val="19"/>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1,601</w:t>
            </w:r>
          </w:p>
        </w:tc>
        <w:tc>
          <w:tcPr>
            <w:tcW w:w="20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 derivative component of prepaid forward sale agreements and indexed debt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20" w:type="dxa"/>
            <w:vAlign w:val="bottom"/>
          </w:tcPr>
          <w:p>
            <w:pPr>
              <w:ind w:left="220"/>
              <w:spacing w:after="0" w:line="181" w:lineRule="exact"/>
              <w:rPr>
                <w:sz w:val="20"/>
                <w:szCs w:val="20"/>
                <w:color w:val="auto"/>
              </w:rPr>
            </w:pPr>
            <w:r>
              <w:rPr>
                <w:rFonts w:ascii="Arial" w:cs="Arial" w:eastAsia="Arial" w:hAnsi="Arial"/>
                <w:sz w:val="18"/>
                <w:szCs w:val="18"/>
                <w:color w:val="auto"/>
              </w:rPr>
              <w:t>instruments</w:t>
            </w:r>
          </w:p>
        </w:tc>
        <w:tc>
          <w:tcPr>
            <w:tcW w:w="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(1,604)</w:t>
            </w:r>
          </w:p>
        </w:tc>
        <w:tc>
          <w:tcPr>
            <w:tcW w:w="20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98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116</w:t>
            </w:r>
          </w:p>
        </w:tc>
        <w:tc>
          <w:tcPr>
            <w:tcW w:w="200" w:type="dxa"/>
            <w:vAlign w:val="bottom"/>
          </w:tcPr>
          <w:p>
            <w:pPr>
              <w:spacing w:after="0"/>
              <w:rPr>
                <w:sz w:val="17"/>
                <w:szCs w:val="17"/>
                <w:color w:val="auto"/>
              </w:rPr>
            </w:pPr>
          </w:p>
        </w:tc>
        <w:tc>
          <w:tcPr>
            <w:tcW w:w="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28</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9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$ 296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576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2014 and 2013, the majority of our fair value method investments were equity securities that we account for as trading securities and were held as collateral related to our obligations under prepaid forward sale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Prepaid Forward Sale Agreements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732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3220" w:type="dxa"/>
            <w:vAlign w:val="bottom"/>
            <w:vMerge w:val="restart"/>
          </w:tcPr>
          <w:p>
            <w:pPr>
              <w:jc w:val="right"/>
              <w:ind w:right="76"/>
              <w:spacing w:after="0"/>
              <w:rPr>
                <w:sz w:val="20"/>
                <w:szCs w:val="20"/>
                <w:color w:val="auto"/>
              </w:rPr>
            </w:pPr>
            <w:r>
              <w:rPr>
                <w:rFonts w:ascii="Arial" w:cs="Arial" w:eastAsia="Arial" w:hAnsi="Arial"/>
                <w:sz w:val="18"/>
                <w:szCs w:val="18"/>
                <w:b w:val="1"/>
                <w:bCs w:val="1"/>
                <w:color w:val="auto"/>
              </w:rPr>
              <w:t>$ 523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Fair value equity securities held as collateral</w:t>
            </w:r>
          </w:p>
        </w:tc>
        <w:tc>
          <w:tcPr>
            <w:tcW w:w="32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199"/>
        </w:trPr>
        <w:tc>
          <w:tcPr>
            <w:tcW w:w="7320" w:type="dxa"/>
            <w:vAlign w:val="bottom"/>
          </w:tcPr>
          <w:p>
            <w:pPr>
              <w:spacing w:after="0" w:line="200" w:lineRule="exact"/>
              <w:rPr>
                <w:sz w:val="20"/>
                <w:szCs w:val="20"/>
                <w:color w:val="auto"/>
              </w:rPr>
            </w:pPr>
            <w:r>
              <w:rPr>
                <w:rFonts w:ascii="Arial" w:cs="Arial" w:eastAsia="Arial" w:hAnsi="Arial"/>
                <w:sz w:val="18"/>
                <w:szCs w:val="18"/>
                <w:color w:val="auto"/>
              </w:rPr>
              <w:t>Liabilities:</w:t>
            </w:r>
          </w:p>
        </w:tc>
        <w:tc>
          <w:tcPr>
            <w:tcW w:w="3220" w:type="dxa"/>
            <w:vAlign w:val="bottom"/>
            <w:vMerge w:val="restart"/>
          </w:tcPr>
          <w:p>
            <w:pPr>
              <w:jc w:val="right"/>
              <w:ind w:right="76"/>
              <w:spacing w:after="0"/>
              <w:rPr>
                <w:sz w:val="20"/>
                <w:szCs w:val="20"/>
                <w:color w:val="auto"/>
              </w:rPr>
            </w:pPr>
            <w:r>
              <w:rPr>
                <w:rFonts w:ascii="Arial" w:cs="Arial" w:eastAsia="Arial" w:hAnsi="Arial"/>
                <w:sz w:val="18"/>
                <w:szCs w:val="18"/>
                <w:b w:val="1"/>
                <w:bCs w:val="1"/>
                <w:color w:val="auto"/>
              </w:rPr>
              <w:t>$ 119</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20" w:type="dxa"/>
            <w:vAlign w:val="bottom"/>
          </w:tcPr>
          <w:p>
            <w:pPr>
              <w:ind w:left="220"/>
              <w:spacing w:after="0" w:line="181" w:lineRule="exact"/>
              <w:rPr>
                <w:sz w:val="20"/>
                <w:szCs w:val="20"/>
                <w:color w:val="auto"/>
              </w:rPr>
            </w:pPr>
            <w:r>
              <w:rPr>
                <w:rFonts w:ascii="Arial" w:cs="Arial" w:eastAsia="Arial" w:hAnsi="Arial"/>
                <w:sz w:val="18"/>
                <w:szCs w:val="18"/>
                <w:color w:val="auto"/>
              </w:rPr>
              <w:t>Obligations under prepaid forward sale agreements</w:t>
            </w:r>
          </w:p>
        </w:tc>
        <w:tc>
          <w:tcPr>
            <w:tcW w:w="322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1"/>
        </w:trPr>
        <w:tc>
          <w:tcPr>
            <w:tcW w:w="7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component of prepaid forward sale agreements</w:t>
            </w:r>
          </w:p>
        </w:tc>
        <w:tc>
          <w:tcPr>
            <w:tcW w:w="32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356</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3220" w:type="dxa"/>
            <w:vAlign w:val="bottom"/>
            <w:tcBorders>
              <w:bottom w:val="single" w:sz="8" w:color="0C6DFF"/>
            </w:tcBorders>
          </w:tcPr>
          <w:p>
            <w:pPr>
              <w:jc w:val="right"/>
              <w:ind w:right="76"/>
              <w:spacing w:after="0" w:line="196" w:lineRule="exact"/>
              <w:rPr>
                <w:sz w:val="20"/>
                <w:szCs w:val="20"/>
                <w:color w:val="auto"/>
              </w:rPr>
            </w:pPr>
            <w:r>
              <w:rPr>
                <w:rFonts w:ascii="Arial" w:cs="Arial" w:eastAsia="Arial" w:hAnsi="Arial"/>
                <w:sz w:val="18"/>
                <w:szCs w:val="18"/>
                <w:b w:val="1"/>
                <w:bCs w:val="1"/>
                <w:color w:val="auto"/>
              </w:rPr>
              <w:t>$ 475</w:t>
            </w:r>
          </w:p>
        </w:tc>
        <w:tc>
          <w:tcPr>
            <w:tcW w:w="3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2014, we settled $3.2 billion of obligations under certain of our prepaid forward sale agreements by delivering equity securities. As of December 31, 2014 and 2013, the carrying value of our remaining prepaid forward sale obligations approximated their fair value. The estimated fair values are based on Level 2 inputs that use pricing models whose inputs are derived primarily from or corroborated by observable market data through correlation or other means for substantially the full term of the financial instrument. The remaining obligations related to these investments matured in February 2015 and were settled by delivering equity securities.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derivative component of the prepaid forward sale agreements are equity derivative financial instruments embedded in the related contracts, which we use to manage our exposure to and benefits from price fluctuations in the common stock of the related investments. For these derivative financial instruments, we separate the derivative component from the host contract and record the change in its value each period to investment income (loss), net.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Liberty Media</w:t>
      </w:r>
    </w:p>
    <w:p>
      <w:pPr>
        <w:jc w:val="both"/>
        <w:spacing w:after="0" w:line="236" w:lineRule="auto"/>
        <w:rPr>
          <w:sz w:val="20"/>
          <w:szCs w:val="20"/>
          <w:color w:val="auto"/>
        </w:rPr>
      </w:pPr>
      <w:r>
        <w:rPr>
          <w:rFonts w:ascii="Arial" w:cs="Arial" w:eastAsia="Arial" w:hAnsi="Arial"/>
          <w:sz w:val="18"/>
          <w:szCs w:val="18"/>
          <w:color w:val="auto"/>
        </w:rPr>
        <w:t>In October 2013, Liberty Media Corporation (“Liberty Media”) redeemed 6.3 million shares of Liberty Media Series A common stock (“Liberty stock”) that had been held by us as collateral under certain of our prepaid forward sale agreements in exchange for all of the equity of a subsidiary of Liberty Media. The fair value of the Liberty stock at the date of the close of the transaction was $937 million. The assets of the subsidiary of Liberty Media included cash of $417 million, Liberty Media’s interests in one of NBCUniversal’s contractual obligations and a wholly owned operating subsidiary, Leisure Arts, Inc. Following the close of this transaction, we now consolidate the subsidiary transferred to us, and the liability associated with NBCUniversal’s contractual obligation is eliminated in consolidation.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Clearwire LLC</w:t>
      </w:r>
    </w:p>
    <w:p>
      <w:pPr>
        <w:jc w:val="both"/>
        <w:spacing w:after="0" w:line="237" w:lineRule="auto"/>
        <w:rPr>
          <w:sz w:val="20"/>
          <w:szCs w:val="20"/>
          <w:color w:val="auto"/>
        </w:rPr>
      </w:pPr>
      <w:r>
        <w:rPr>
          <w:rFonts w:ascii="Arial" w:cs="Arial" w:eastAsia="Arial" w:hAnsi="Arial"/>
          <w:sz w:val="18"/>
          <w:szCs w:val="18"/>
          <w:color w:val="auto"/>
        </w:rPr>
        <w:t>In July 2013, in connection with Sprint Communications, Inc.’s (“Sprint”) acquisition of Clearwire Corporation (“Clearwire”), Sprint acquired our investment of 89 million Class A shares of Clearwire for $443 million. As a result, we recognized a pretax gain of $443 million in our consolidated statement of income, which represented the recognition of cumulative unrealized gains previously recorded in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where we hold significant partnership or LLC interests.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w:t>
      </w:r>
    </w:p>
    <w:p>
      <w:pPr>
        <w:spacing w:after="0" w:line="1" w:lineRule="exact"/>
        <w:rPr>
          <w:sz w:val="20"/>
          <w:szCs w:val="20"/>
          <w:color w:val="auto"/>
        </w:rPr>
      </w:pPr>
    </w:p>
    <w:p>
      <w:pPr>
        <w:jc w:val="both"/>
        <w:ind w:firstLine="8"/>
        <w:spacing w:after="0" w:line="237"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8" w:lineRule="auto"/>
        <w:rPr>
          <w:sz w:val="20"/>
          <w:szCs w:val="20"/>
          <w:color w:val="auto"/>
        </w:rPr>
      </w:pPr>
      <w:r>
        <w:rPr>
          <w:rFonts w:ascii="Arial" w:cs="Arial" w:eastAsia="Arial" w:hAnsi="Arial"/>
          <w:sz w:val="18"/>
          <w:szCs w:val="18"/>
          <w:color w:val="auto"/>
        </w:rPr>
        <w:t>In June 2013, we received a distribution from The Weather Channel Holding Corp. (“The Weather Channel”) of $152 million, of which $128 million was recorded as a return of our investment in The Weather Channel and included under the caption “return of capital from investees” in our consolidated statement of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July 2013, we entered into an agreement to provide capital contributions totaling $247 million to Hulu, LLC (“Hulu”), which we had previously accounted for as a cost method investment. This represented an agreement to provide our first capital contribution to Hulu since we acquired our interest in it as part of our acquisition of a controlling interest in NBCUniversal Holdings in 2011 (the “NBCUniversal transaction”); therefore, we began to apply the equity method of accounting for this investment. The change in the method of accounting for this investment required us to recognize our proportionate share of Hulu’s accumulated losses from the date of the NBCUniversal transaction through July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99</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AirTouch Communications, Inc.</w:t>
      </w:r>
    </w:p>
    <w:p>
      <w:pPr>
        <w:jc w:val="both"/>
        <w:spacing w:after="0" w:line="239" w:lineRule="auto"/>
        <w:rPr>
          <w:sz w:val="20"/>
          <w:szCs w:val="20"/>
          <w:color w:val="auto"/>
        </w:rPr>
      </w:pPr>
      <w:r>
        <w:rPr>
          <w:rFonts w:ascii="Arial" w:cs="Arial" w:eastAsia="Arial" w:hAnsi="Arial"/>
          <w:sz w:val="18"/>
          <w:szCs w:val="18"/>
          <w:color w:val="auto"/>
        </w:rPr>
        <w:t>We hold two series of preferred stock of AirTouch Communications, Inc. (“AirTouch”), a subsidiary of Verizon Communications Inc., which are redeemable in April 2020. As of both December 31, 2014 and 2013, the estimated fair value of the AirTouch preferred stock was $1.7 billion.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AirTouch preferred stock is redeemable in April 2020 at a redemption value of $1.65 billion. As of December 31, 2014 and 2013, the two redeemable series of subsidiary preferred shares were recorded at $1.6 billion and $1.5 billion, respectively, and those amounts are included in other noncurrent liabilities. As of both December 31, 2014 and 2013, the redeemable subsidiary preferred shares had an estimated fair value of $1.7 billion. The estimated fair values of the AirTouch preferred stock and redeemable subsidiary preferred shares are based on Level 2 inputs that use pricing models whose inputs are derived primarily from or corroborated by observable market data through correlation or other means for substantially the full term of the financial instrument. The one nonredeemable series of subsidiary preferred shares was recorded at $100 million as of both December 31, 2014 and 2013, and those amounts are included in noncontrolling interests in our consolidated balance sheet. The carrying amount of the nonredeemable subsidiary preferred stock approximates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 During 2013, we recorded $249 million of impairment charges to our equity method investments, which primarily related to a regional sports cable network based in Houston, Texas.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100" w:type="dxa"/>
            <w:vAlign w:val="bottom"/>
          </w:tcPr>
          <w:p>
            <w:pPr>
              <w:jc w:val="right"/>
              <w:ind w:right="20"/>
              <w:spacing w:after="0"/>
              <w:rPr>
                <w:sz w:val="20"/>
                <w:szCs w:val="20"/>
                <w:color w:val="auto"/>
              </w:rPr>
            </w:pPr>
            <w:r>
              <w:rPr>
                <w:rFonts w:ascii="Arial" w:cs="Arial" w:eastAsia="Arial" w:hAnsi="Arial"/>
                <w:sz w:val="14"/>
                <w:szCs w:val="14"/>
                <w:color w:val="auto"/>
              </w:rPr>
              <w:t>Weighted-Average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4100" w:type="dxa"/>
            <w:vAlign w:val="bottom"/>
          </w:tcPr>
          <w:p>
            <w:pPr>
              <w:jc w:val="right"/>
              <w:ind w:right="20"/>
              <w:spacing w:after="0" w:line="149" w:lineRule="exact"/>
              <w:rPr>
                <w:sz w:val="20"/>
                <w:szCs w:val="20"/>
                <w:color w:val="auto"/>
              </w:rPr>
            </w:pPr>
            <w:r>
              <w:rPr>
                <w:rFonts w:ascii="Arial" w:cs="Arial" w:eastAsia="Arial" w:hAnsi="Arial"/>
                <w:sz w:val="14"/>
                <w:szCs w:val="14"/>
                <w:color w:val="auto"/>
              </w:rPr>
              <w:t>Original Useful Life</w:t>
            </w: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As of December 31, 2014</w:t>
            </w:r>
          </w:p>
        </w:tc>
        <w:tc>
          <w:tcPr>
            <w:tcW w:w="9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4100" w:type="dxa"/>
            <w:vAlign w:val="bottom"/>
          </w:tcPr>
          <w:p>
            <w:pPr>
              <w:jc w:val="right"/>
              <w:ind w:right="20"/>
              <w:spacing w:after="0" w:line="177" w:lineRule="exact"/>
              <w:rPr>
                <w:sz w:val="20"/>
                <w:szCs w:val="20"/>
                <w:color w:val="auto"/>
              </w:rPr>
            </w:pPr>
            <w:r>
              <w:rPr>
                <w:rFonts w:ascii="Arial" w:cs="Arial" w:eastAsia="Arial" w:hAnsi="Arial"/>
                <w:sz w:val="18"/>
                <w:szCs w:val="18"/>
                <w:color w:val="auto"/>
              </w:rPr>
              <w:t>11 years</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$ 31,655</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$ 30,498</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27,086</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25,949</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7,860</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41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22 years</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8,650</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1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N/A</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1,112</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00" w:type="dxa"/>
            <w:vAlign w:val="bottom"/>
          </w:tcPr>
          <w:p>
            <w:pPr>
              <w:spacing w:after="0"/>
              <w:rPr>
                <w:sz w:val="15"/>
                <w:szCs w:val="15"/>
                <w:color w:val="auto"/>
              </w:rPr>
            </w:pP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76,363</w:t>
            </w:r>
          </w:p>
        </w:tc>
        <w:tc>
          <w:tcPr>
            <w:tcW w:w="920" w:type="dxa"/>
            <w:vAlign w:val="bottom"/>
          </w:tcPr>
          <w:p>
            <w:pPr>
              <w:jc w:val="right"/>
              <w:ind w:right="14"/>
              <w:spacing w:after="0" w:line="177" w:lineRule="exact"/>
              <w:rPr>
                <w:sz w:val="20"/>
                <w:szCs w:val="20"/>
                <w:color w:val="auto"/>
              </w:rPr>
            </w:pPr>
            <w:r>
              <w:rPr>
                <w:rFonts w:ascii="Arial" w:cs="Arial" w:eastAsia="Arial" w:hAnsi="Arial"/>
                <w:sz w:val="18"/>
                <w:szCs w:val="18"/>
                <w:color w:val="auto"/>
              </w:rPr>
              <w:t>72,414</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45,410</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42,574</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00" w:type="dxa"/>
            <w:vAlign w:val="bottom"/>
            <w:tcBorders>
              <w:bottom w:val="single" w:sz="8" w:color="0C6DFF"/>
            </w:tcBorders>
          </w:tcPr>
          <w:p>
            <w:pPr>
              <w:spacing w:after="0"/>
              <w:rPr>
                <w:sz w:val="17"/>
                <w:szCs w:val="17"/>
                <w:color w:val="auto"/>
              </w:rPr>
            </w:pPr>
          </w:p>
        </w:tc>
        <w:tc>
          <w:tcPr>
            <w:tcW w:w="9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$ 30,953</w:t>
            </w:r>
          </w:p>
        </w:tc>
        <w:tc>
          <w:tcPr>
            <w:tcW w:w="9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$ 29,840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Real Estate Properties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Real estate acquisitions in 2013 included NBCUniversal’s purchase from GE of certain properties NBCUniversal occupies at 30 Rockefeller Plaza in New York City and CNBC’s headquarters in Englewood Cliffs, New Jersey. The CNBC property was previously recorded as a capital lease in our consolidated balance sheet. Other purchases in 2013 included NBCUniversal’s acquisition of a business whose primary asset is a property located at 10 Universal City Plaza, which is adjacent to our Universal theme park in Hollywood, California, and our acquisition of an 80% interest in a business whose primary asset is our corporate headquarters in Philadelphia, Pennsylvania. These purchases resulted in increases in 2013 of $2.2 billion in property and equipment, which are included, as applicable, within the captions “buildings and leasehold improvements” and “land” in the table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4"/>
                <w:szCs w:val="14"/>
                <w:color w:val="auto"/>
              </w:rPr>
              <w:t>Cable</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NBCUniversal</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color w:val="auto"/>
              </w:rPr>
              <w:t>Corporate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tcPr>
          <w:p>
            <w:pPr>
              <w:jc w:val="right"/>
              <w:ind w:right="37"/>
              <w:spacing w:after="0" w:line="141" w:lineRule="exact"/>
              <w:rPr>
                <w:sz w:val="20"/>
                <w:szCs w:val="20"/>
                <w:color w:val="auto"/>
              </w:rPr>
            </w:pPr>
            <w:r>
              <w:rPr>
                <w:rFonts w:ascii="Arial" w:cs="Arial" w:eastAsia="Arial" w:hAnsi="Arial"/>
                <w:sz w:val="14"/>
                <w:szCs w:val="14"/>
                <w:color w:val="auto"/>
              </w:rPr>
              <w:t>Cable</w:t>
            </w:r>
          </w:p>
        </w:tc>
        <w:tc>
          <w:tcPr>
            <w:tcW w:w="82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Broadcast</w:t>
            </w:r>
          </w:p>
        </w:tc>
        <w:tc>
          <w:tcPr>
            <w:tcW w:w="460" w:type="dxa"/>
            <w:vAlign w:val="bottom"/>
          </w:tcPr>
          <w:p>
            <w:pPr>
              <w:spacing w:after="0"/>
              <w:rPr>
                <w:sz w:val="12"/>
                <w:szCs w:val="12"/>
                <w:color w:val="auto"/>
              </w:rPr>
            </w:pPr>
          </w:p>
        </w:tc>
        <w:tc>
          <w:tcPr>
            <w:tcW w:w="560" w:type="dxa"/>
            <w:vAlign w:val="bottom"/>
          </w:tcPr>
          <w:p>
            <w:pPr>
              <w:jc w:val="right"/>
              <w:ind w:right="15"/>
              <w:spacing w:after="0" w:line="141" w:lineRule="exact"/>
              <w:rPr>
                <w:sz w:val="20"/>
                <w:szCs w:val="20"/>
                <w:color w:val="auto"/>
              </w:rPr>
            </w:pPr>
            <w:r>
              <w:rPr>
                <w:rFonts w:ascii="Arial" w:cs="Arial" w:eastAsia="Arial" w:hAnsi="Arial"/>
                <w:sz w:val="14"/>
                <w:szCs w:val="14"/>
                <w:color w:val="auto"/>
              </w:rPr>
              <w:t>Filmed</w:t>
            </w:r>
          </w:p>
        </w:tc>
        <w:tc>
          <w:tcPr>
            <w:tcW w:w="660" w:type="dxa"/>
            <w:vAlign w:val="bottom"/>
          </w:tcPr>
          <w:p>
            <w:pPr>
              <w:jc w:val="right"/>
              <w:ind w:right="17"/>
              <w:spacing w:after="0" w:line="141" w:lineRule="exact"/>
              <w:rPr>
                <w:sz w:val="20"/>
                <w:szCs w:val="20"/>
                <w:color w:val="auto"/>
              </w:rPr>
            </w:pPr>
            <w:r>
              <w:rPr>
                <w:rFonts w:ascii="Arial" w:cs="Arial" w:eastAsia="Arial" w:hAnsi="Arial"/>
                <w:sz w:val="14"/>
                <w:szCs w:val="14"/>
                <w:color w:val="auto"/>
              </w:rPr>
              <w:t>Theme</w:t>
            </w:r>
          </w:p>
        </w:tc>
        <w:tc>
          <w:tcPr>
            <w:tcW w:w="8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gridSpan w:val="2"/>
          </w:tcPr>
          <w:p>
            <w:pPr>
              <w:ind w:left="1420"/>
              <w:spacing w:after="0" w:line="149" w:lineRule="exact"/>
              <w:rPr>
                <w:sz w:val="20"/>
                <w:szCs w:val="20"/>
                <w:color w:val="auto"/>
              </w:rPr>
            </w:pPr>
            <w:r>
              <w:rPr>
                <w:rFonts w:ascii="Arial" w:cs="Arial" w:eastAsia="Arial" w:hAnsi="Arial"/>
                <w:sz w:val="14"/>
                <w:szCs w:val="14"/>
                <w:color w:val="auto"/>
              </w:rPr>
              <w:t>Communications</w:t>
            </w:r>
          </w:p>
        </w:tc>
        <w:tc>
          <w:tcPr>
            <w:tcW w:w="920" w:type="dxa"/>
            <w:vAlign w:val="bottom"/>
            <w:tcBorders>
              <w:bottom w:val="single" w:sz="8" w:color="auto"/>
            </w:tcBorders>
          </w:tcPr>
          <w:p>
            <w:pPr>
              <w:jc w:val="right"/>
              <w:ind w:right="37"/>
              <w:spacing w:after="0" w:line="149" w:lineRule="exact"/>
              <w:rPr>
                <w:sz w:val="20"/>
                <w:szCs w:val="20"/>
                <w:color w:val="auto"/>
              </w:rPr>
            </w:pPr>
            <w:r>
              <w:rPr>
                <w:rFonts w:ascii="Arial" w:cs="Arial" w:eastAsia="Arial" w:hAnsi="Arial"/>
                <w:sz w:val="14"/>
                <w:szCs w:val="14"/>
                <w:color w:val="auto"/>
              </w:rPr>
              <w:t>Networks</w:t>
            </w:r>
          </w:p>
        </w:tc>
        <w:tc>
          <w:tcPr>
            <w:tcW w:w="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66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Parks</w:t>
            </w:r>
          </w:p>
        </w:tc>
        <w:tc>
          <w:tcPr>
            <w:tcW w:w="80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and Other</w:t>
            </w:r>
          </w:p>
        </w:tc>
        <w:tc>
          <w:tcPr>
            <w:tcW w:w="92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76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1700" w:type="dxa"/>
            <w:vAlign w:val="bottom"/>
          </w:tcPr>
          <w:p>
            <w:pPr>
              <w:ind w:left="1400"/>
              <w:spacing w:after="0" w:line="200"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12,206</w:t>
            </w:r>
          </w:p>
        </w:tc>
        <w:tc>
          <w:tcPr>
            <w:tcW w:w="9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$ 13,026</w:t>
            </w:r>
          </w:p>
        </w:tc>
        <w:tc>
          <w:tcPr>
            <w:tcW w:w="2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761</w:t>
            </w:r>
          </w:p>
        </w:tc>
        <w:tc>
          <w:tcPr>
            <w:tcW w:w="4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w:t>
            </w:r>
          </w:p>
        </w:tc>
        <w:tc>
          <w:tcPr>
            <w:tcW w:w="66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$ 982</w:t>
            </w:r>
          </w:p>
        </w:tc>
        <w:tc>
          <w:tcPr>
            <w:tcW w:w="300" w:type="dxa"/>
            <w:vAlign w:val="bottom"/>
          </w:tcPr>
          <w:p>
            <w:pPr>
              <w:ind w:left="100"/>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9</w:t>
            </w:r>
          </w:p>
        </w:tc>
        <w:tc>
          <w:tcPr>
            <w:tcW w:w="92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$ 26,985</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700" w:type="dxa"/>
            <w:vAlign w:val="bottom"/>
          </w:tcPr>
          <w:p>
            <w:pPr>
              <w:spacing w:after="0"/>
              <w:rPr>
                <w:sz w:val="17"/>
                <w:szCs w:val="17"/>
                <w:color w:val="auto"/>
              </w:rPr>
            </w:pP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5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p>
        </w:tc>
        <w:tc>
          <w:tcPr>
            <w:tcW w:w="1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77"/>
        </w:trPr>
        <w:tc>
          <w:tcPr>
            <w:tcW w:w="3760" w:type="dxa"/>
            <w:vAlign w:val="bottom"/>
          </w:tcPr>
          <w:p>
            <w:pPr>
              <w:spacing w:after="0" w:line="177" w:lineRule="exact"/>
              <w:rPr>
                <w:sz w:val="20"/>
                <w:szCs w:val="20"/>
                <w:color w:val="auto"/>
              </w:rPr>
            </w:pPr>
            <w:r>
              <w:rPr>
                <w:rFonts w:ascii="Arial" w:cs="Arial" w:eastAsia="Arial" w:hAnsi="Arial"/>
                <w:sz w:val="18"/>
                <w:szCs w:val="18"/>
                <w:color w:val="auto"/>
              </w:rPr>
              <w:t>Balance, December 31, 2013</w:t>
            </w:r>
          </w:p>
        </w:tc>
        <w:tc>
          <w:tcPr>
            <w:tcW w:w="1700" w:type="dxa"/>
            <w:vAlign w:val="bottom"/>
          </w:tcPr>
          <w:p>
            <w:pPr>
              <w:spacing w:after="0"/>
              <w:rPr>
                <w:sz w:val="15"/>
                <w:szCs w:val="15"/>
                <w:color w:val="auto"/>
              </w:rPr>
            </w:pPr>
          </w:p>
        </w:tc>
        <w:tc>
          <w:tcPr>
            <w:tcW w:w="8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12,206</w:t>
            </w:r>
          </w:p>
        </w:tc>
        <w:tc>
          <w:tcPr>
            <w:tcW w:w="920" w:type="dxa"/>
            <w:vAlign w:val="bottom"/>
          </w:tcPr>
          <w:p>
            <w:pPr>
              <w:jc w:val="right"/>
              <w:ind w:right="37"/>
              <w:spacing w:after="0" w:line="177" w:lineRule="exact"/>
              <w:rPr>
                <w:sz w:val="20"/>
                <w:szCs w:val="20"/>
                <w:color w:val="auto"/>
              </w:rPr>
            </w:pPr>
            <w:r>
              <w:rPr>
                <w:rFonts w:ascii="Arial" w:cs="Arial" w:eastAsia="Arial" w:hAnsi="Arial"/>
                <w:sz w:val="18"/>
                <w:szCs w:val="18"/>
                <w:color w:val="auto"/>
              </w:rPr>
              <w:t>13,130</w:t>
            </w:r>
          </w:p>
        </w:tc>
        <w:tc>
          <w:tcPr>
            <w:tcW w:w="260" w:type="dxa"/>
            <w:vAlign w:val="bottom"/>
          </w:tcPr>
          <w:p>
            <w:pPr>
              <w:spacing w:after="0"/>
              <w:rPr>
                <w:sz w:val="15"/>
                <w:szCs w:val="15"/>
                <w:color w:val="auto"/>
              </w:rPr>
            </w:pPr>
          </w:p>
        </w:tc>
        <w:tc>
          <w:tcPr>
            <w:tcW w:w="5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769</w:t>
            </w:r>
          </w:p>
        </w:tc>
        <w:tc>
          <w:tcPr>
            <w:tcW w:w="460" w:type="dxa"/>
            <w:vAlign w:val="bottom"/>
          </w:tcPr>
          <w:p>
            <w:pPr>
              <w:spacing w:after="0"/>
              <w:rPr>
                <w:sz w:val="15"/>
                <w:szCs w:val="15"/>
                <w:color w:val="auto"/>
              </w:rPr>
            </w:pPr>
          </w:p>
        </w:tc>
        <w:tc>
          <w:tcPr>
            <w:tcW w:w="56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w:t>
            </w:r>
          </w:p>
        </w:tc>
        <w:tc>
          <w:tcPr>
            <w:tcW w:w="660" w:type="dxa"/>
            <w:vAlign w:val="bottom"/>
          </w:tcPr>
          <w:p>
            <w:pPr>
              <w:jc w:val="right"/>
              <w:ind w:right="17"/>
              <w:spacing w:after="0" w:line="177" w:lineRule="exact"/>
              <w:rPr>
                <w:sz w:val="20"/>
                <w:szCs w:val="20"/>
                <w:color w:val="auto"/>
              </w:rPr>
            </w:pPr>
            <w:r>
              <w:rPr>
                <w:rFonts w:ascii="Arial" w:cs="Arial" w:eastAsia="Arial" w:hAnsi="Arial"/>
                <w:sz w:val="18"/>
                <w:szCs w:val="18"/>
                <w:color w:val="auto"/>
              </w:rPr>
              <w:t>982</w:t>
            </w:r>
          </w:p>
        </w:tc>
        <w:tc>
          <w:tcPr>
            <w:tcW w:w="300" w:type="dxa"/>
            <w:vAlign w:val="bottom"/>
          </w:tcPr>
          <w:p>
            <w:pPr>
              <w:spacing w:after="0"/>
              <w:rPr>
                <w:sz w:val="15"/>
                <w:szCs w:val="15"/>
                <w:color w:val="auto"/>
              </w:rPr>
            </w:pPr>
          </w:p>
        </w:tc>
        <w:tc>
          <w:tcPr>
            <w:tcW w:w="500" w:type="dxa"/>
            <w:vAlign w:val="bottom"/>
          </w:tcPr>
          <w:p>
            <w:pPr>
              <w:jc w:val="right"/>
              <w:ind w:right="12"/>
              <w:spacing w:after="0" w:line="177" w:lineRule="exact"/>
              <w:rPr>
                <w:sz w:val="20"/>
                <w:szCs w:val="20"/>
                <w:color w:val="auto"/>
              </w:rPr>
            </w:pPr>
            <w:r>
              <w:rPr>
                <w:rFonts w:ascii="Arial" w:cs="Arial" w:eastAsia="Arial" w:hAnsi="Arial"/>
                <w:sz w:val="18"/>
                <w:szCs w:val="18"/>
                <w:color w:val="auto"/>
              </w:rPr>
              <w:t>10</w:t>
            </w:r>
          </w:p>
        </w:tc>
        <w:tc>
          <w:tcPr>
            <w:tcW w:w="9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27,098</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1700" w:type="dxa"/>
            <w:vAlign w:val="bottom"/>
          </w:tcPr>
          <w:p>
            <w:pPr>
              <w:spacing w:after="0"/>
              <w:rPr>
                <w:sz w:val="17"/>
                <w:szCs w:val="17"/>
                <w:color w:val="auto"/>
              </w:rPr>
            </w:pP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11</w:t>
            </w: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17"/>
                <w:szCs w:val="17"/>
                <w:color w:val="auto"/>
              </w:rPr>
            </w:pPr>
          </w:p>
        </w:tc>
        <w:tc>
          <w:tcPr>
            <w:tcW w:w="5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7"/>
                <w:szCs w:val="17"/>
                <w:color w:val="auto"/>
              </w:rPr>
            </w:pPr>
          </w:p>
        </w:tc>
        <w:tc>
          <w:tcPr>
            <w:tcW w:w="5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15</w:t>
            </w:r>
          </w:p>
        </w:tc>
        <w:tc>
          <w:tcPr>
            <w:tcW w:w="66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7"/>
                <w:szCs w:val="17"/>
                <w:color w:val="auto"/>
              </w:rPr>
            </w:pPr>
          </w:p>
        </w:tc>
        <w:tc>
          <w:tcPr>
            <w:tcW w:w="5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181</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227</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(a)</w:t>
            </w:r>
          </w:p>
        </w:tc>
        <w:tc>
          <w:tcPr>
            <w:tcW w:w="17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195</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1700" w:type="dxa"/>
            <w:vAlign w:val="bottom"/>
            <w:tcBorders>
              <w:bottom w:val="single" w:sz="8" w:color="0C6DFF"/>
            </w:tcBorders>
          </w:tcPr>
          <w:p>
            <w:pPr>
              <w:ind w:left="140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12,217</w:t>
            </w:r>
          </w:p>
        </w:tc>
        <w:tc>
          <w:tcPr>
            <w:tcW w:w="92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$ 12,948</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767</w:t>
            </w:r>
          </w:p>
        </w:tc>
        <w:tc>
          <w:tcPr>
            <w:tcW w:w="4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211</w:t>
            </w:r>
          </w:p>
        </w:tc>
        <w:tc>
          <w:tcPr>
            <w:tcW w:w="66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$ 982</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191</w:t>
            </w:r>
          </w:p>
        </w:tc>
        <w:tc>
          <w:tcPr>
            <w:tcW w:w="9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$ 27,316</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Adjustments to goodwill in 2014 were primarily related to the reclassification of Fandango, our movie ticketing and entertainment business, from our Cable Networks segment to our Filmed Entertainment segment.</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carrying amount of a reporting unit may exceed its fair value. We</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420" w:type="dxa"/>
            <w:vAlign w:val="bottom"/>
          </w:tcPr>
          <w:p>
            <w:pPr>
              <w:spacing w:after="0"/>
              <w:rPr>
                <w:sz w:val="12"/>
                <w:szCs w:val="12"/>
                <w:color w:val="auto"/>
              </w:rPr>
            </w:pPr>
          </w:p>
        </w:tc>
        <w:tc>
          <w:tcPr>
            <w:tcW w:w="2160" w:type="dxa"/>
            <w:vAlign w:val="bottom"/>
          </w:tcPr>
          <w:p>
            <w:pPr>
              <w:jc w:val="right"/>
              <w:ind w:right="198"/>
              <w:spacing w:after="0" w:line="139" w:lineRule="exact"/>
              <w:rPr>
                <w:sz w:val="20"/>
                <w:szCs w:val="20"/>
                <w:color w:val="auto"/>
              </w:rPr>
            </w:pPr>
            <w:r>
              <w:rPr>
                <w:rFonts w:ascii="Arial" w:cs="Arial" w:eastAsia="Arial" w:hAnsi="Arial"/>
                <w:sz w:val="14"/>
                <w:szCs w:val="14"/>
                <w:color w:val="auto"/>
              </w:rPr>
              <w:t>Weighted-Average</w:t>
            </w:r>
          </w:p>
        </w:tc>
        <w:tc>
          <w:tcPr>
            <w:tcW w:w="8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160" w:type="dxa"/>
            <w:vAlign w:val="bottom"/>
          </w:tcPr>
          <w:p>
            <w:pPr>
              <w:jc w:val="right"/>
              <w:ind w:right="198"/>
              <w:spacing w:after="0" w:line="149" w:lineRule="exact"/>
              <w:rPr>
                <w:sz w:val="20"/>
                <w:szCs w:val="20"/>
                <w:color w:val="auto"/>
              </w:rPr>
            </w:pPr>
            <w:r>
              <w:rPr>
                <w:rFonts w:ascii="Arial" w:cs="Arial" w:eastAsia="Arial" w:hAnsi="Arial"/>
                <w:sz w:val="14"/>
                <w:szCs w:val="14"/>
                <w:color w:val="auto"/>
              </w:rPr>
              <w:t>Original Useful Life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1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color w:val="auto"/>
              </w:rPr>
              <w:t>as of December 31, 2014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color w:val="auto"/>
              </w:rPr>
              <w:t>Indefinite-Lived Intangible Assets:</w:t>
            </w:r>
          </w:p>
        </w:tc>
        <w:tc>
          <w:tcPr>
            <w:tcW w:w="2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$ 59,364</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Franchise rights</w:t>
            </w:r>
          </w:p>
        </w:tc>
        <w:tc>
          <w:tcPr>
            <w:tcW w:w="2160" w:type="dxa"/>
            <w:vAlign w:val="bottom"/>
          </w:tcPr>
          <w:p>
            <w:pPr>
              <w:jc w:val="right"/>
              <w:ind w:right="198"/>
              <w:spacing w:after="0" w:line="181" w:lineRule="exact"/>
              <w:rPr>
                <w:sz w:val="20"/>
                <w:szCs w:val="20"/>
                <w:color w:val="auto"/>
              </w:rPr>
            </w:pPr>
            <w:r>
              <w:rPr>
                <w:rFonts w:ascii="Arial" w:cs="Arial" w:eastAsia="Arial" w:hAnsi="Arial"/>
                <w:sz w:val="18"/>
                <w:szCs w:val="18"/>
                <w:color w:val="auto"/>
              </w:rPr>
              <w:t>N/A</w:t>
            </w:r>
          </w:p>
        </w:tc>
        <w:tc>
          <w:tcPr>
            <w:tcW w:w="8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$ 59,364</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3,083</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3,089</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rPr>
                <w:sz w:val="20"/>
                <w:szCs w:val="20"/>
                <w:color w:val="auto"/>
              </w:rPr>
            </w:pPr>
            <w:r>
              <w:rPr>
                <w:rFonts w:ascii="Arial" w:cs="Arial" w:eastAsia="Arial" w:hAnsi="Arial"/>
                <w:sz w:val="18"/>
                <w:szCs w:val="18"/>
                <w:color w:val="auto"/>
              </w:rPr>
              <w:t>FCC licenses</w:t>
            </w:r>
          </w:p>
        </w:tc>
        <w:tc>
          <w:tcPr>
            <w:tcW w:w="2160" w:type="dxa"/>
            <w:vAlign w:val="bottom"/>
          </w:tcPr>
          <w:p>
            <w:pPr>
              <w:jc w:val="right"/>
              <w:ind w:right="198"/>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651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652</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Finite-Lived Intangible Assets:</w:t>
            </w:r>
          </w:p>
        </w:tc>
        <w:tc>
          <w:tcPr>
            <w:tcW w:w="2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15,129</w:t>
            </w:r>
          </w:p>
        </w:tc>
        <w:tc>
          <w:tcPr>
            <w:tcW w:w="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(5,495)</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2160" w:type="dxa"/>
            <w:vAlign w:val="bottom"/>
          </w:tcPr>
          <w:p>
            <w:pPr>
              <w:jc w:val="right"/>
              <w:ind w:right="198"/>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tcPr>
          <w:p>
            <w:pPr>
              <w:jc w:val="right"/>
              <w:ind w:right="18"/>
              <w:spacing w:after="0" w:line="181" w:lineRule="exact"/>
              <w:rPr>
                <w:sz w:val="20"/>
                <w:szCs w:val="20"/>
                <w:color w:val="auto"/>
              </w:rPr>
            </w:pPr>
            <w:r>
              <w:rPr>
                <w:rFonts w:ascii="Arial" w:cs="Arial" w:eastAsia="Arial" w:hAnsi="Arial"/>
                <w:sz w:val="18"/>
                <w:szCs w:val="18"/>
                <w:color w:val="auto"/>
              </w:rPr>
              <w:t>15,037</w:t>
            </w:r>
          </w:p>
        </w:tc>
        <w:tc>
          <w:tcPr>
            <w:tcW w:w="3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5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5,040</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(2,832)</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4,271</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10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1,418</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(792)</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1,360</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2" w:lineRule="exact"/>
              <w:rPr>
                <w:sz w:val="20"/>
                <w:szCs w:val="20"/>
                <w:color w:val="auto"/>
              </w:rPr>
            </w:pPr>
            <w:r>
              <w:rPr>
                <w:rFonts w:ascii="Arial" w:cs="Arial" w:eastAsia="Arial" w:hAnsi="Arial"/>
                <w:sz w:val="18"/>
                <w:szCs w:val="18"/>
                <w:color w:val="auto"/>
              </w:rPr>
              <w:t>Patents and other technology rights</w:t>
            </w:r>
          </w:p>
        </w:tc>
        <w:tc>
          <w:tcPr>
            <w:tcW w:w="2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8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373</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(330)</w:t>
            </w: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361</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agreements and rights</w:t>
            </w:r>
          </w:p>
        </w:tc>
        <w:tc>
          <w:tcPr>
            <w:tcW w:w="216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20 years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1,433</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$ 86,514</w:t>
            </w:r>
          </w:p>
        </w:tc>
        <w:tc>
          <w:tcPr>
            <w:tcW w:w="380" w:type="dxa"/>
            <w:vAlign w:val="bottom"/>
            <w:tcBorders>
              <w:bottom w:val="single" w:sz="8" w:color="0C6DFF"/>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(10,170)</w:t>
            </w:r>
          </w:p>
        </w:tc>
        <w:tc>
          <w:tcPr>
            <w:tcW w:w="860" w:type="dxa"/>
            <w:vAlign w:val="bottom"/>
            <w:tcBorders>
              <w:bottom w:val="single" w:sz="8" w:color="0C6DFF"/>
            </w:tcBorders>
          </w:tcPr>
          <w:p>
            <w:pPr>
              <w:jc w:val="right"/>
              <w:ind w:right="18"/>
              <w:spacing w:after="0" w:line="196" w:lineRule="exact"/>
              <w:rPr>
                <w:sz w:val="20"/>
                <w:szCs w:val="20"/>
                <w:color w:val="auto"/>
              </w:rPr>
            </w:pPr>
            <w:r>
              <w:rPr>
                <w:rFonts w:ascii="Arial" w:cs="Arial" w:eastAsia="Arial" w:hAnsi="Arial"/>
                <w:sz w:val="18"/>
                <w:szCs w:val="18"/>
                <w:color w:val="auto"/>
              </w:rPr>
              <w:t>$ 85,567</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6" w:lineRule="auto"/>
        <w:rPr>
          <w:sz w:val="20"/>
          <w:szCs w:val="20"/>
          <w:color w:val="auto"/>
        </w:rPr>
      </w:pPr>
      <w:r>
        <w:rPr>
          <w:rFonts w:ascii="Arial" w:cs="Arial" w:eastAsia="Arial" w:hAnsi="Arial"/>
          <w:sz w:val="18"/>
          <w:szCs w:val="18"/>
          <w:color w:val="auto"/>
        </w:rPr>
        <w:t>Indefinite-lived intangible assets consist primarily of our cable franchise rights, as well as trade names and FCC licenses.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assess the recoverability of our cable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for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580" w:type="dxa"/>
            <w:vAlign w:val="bottom"/>
            <w:tcBorders>
              <w:top w:val="single" w:sz="8" w:color="auto"/>
            </w:tcBorders>
          </w:tcPr>
          <w:p>
            <w:pPr>
              <w:jc w:val="right"/>
              <w:ind w:right="5092"/>
              <w:spacing w:after="0" w:line="200" w:lineRule="exact"/>
              <w:rPr>
                <w:sz w:val="20"/>
                <w:szCs w:val="20"/>
                <w:color w:val="auto"/>
              </w:rPr>
            </w:pPr>
            <w:r>
              <w:rPr>
                <w:rFonts w:ascii="Arial" w:cs="Arial" w:eastAsia="Arial" w:hAnsi="Arial"/>
                <w:sz w:val="18"/>
                <w:szCs w:val="18"/>
                <w:color w:val="auto"/>
                <w:w w:val="94"/>
              </w:rPr>
              <w:t>2015</w:t>
            </w:r>
          </w:p>
        </w:tc>
        <w:tc>
          <w:tcPr>
            <w:tcW w:w="5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w w:val="97"/>
              </w:rPr>
              <w:t>1,619</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2016</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1,457</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2017</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1,296</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2018</w:t>
            </w:r>
          </w:p>
        </w:tc>
        <w:tc>
          <w:tcPr>
            <w:tcW w:w="5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1,053</w:t>
            </w:r>
          </w:p>
        </w:tc>
      </w:tr>
      <w:tr>
        <w:trPr>
          <w:trHeight w:val="199"/>
        </w:trPr>
        <w:tc>
          <w:tcPr>
            <w:tcW w:w="5580" w:type="dxa"/>
            <w:vAlign w:val="bottom"/>
            <w:tcBorders>
              <w:bottom w:val="single" w:sz="8" w:color="auto"/>
            </w:tcBorders>
          </w:tcPr>
          <w:p>
            <w:pPr>
              <w:jc w:val="right"/>
              <w:ind w:right="5092"/>
              <w:spacing w:after="0" w:line="200" w:lineRule="exact"/>
              <w:rPr>
                <w:sz w:val="20"/>
                <w:szCs w:val="20"/>
                <w:color w:val="auto"/>
              </w:rPr>
            </w:pPr>
            <w:r>
              <w:rPr>
                <w:rFonts w:ascii="Arial" w:cs="Arial" w:eastAsia="Arial" w:hAnsi="Arial"/>
                <w:sz w:val="18"/>
                <w:szCs w:val="18"/>
                <w:color w:val="auto"/>
                <w:w w:val="94"/>
              </w:rPr>
              <w:t>2019</w:t>
            </w:r>
          </w:p>
        </w:tc>
        <w:tc>
          <w:tcPr>
            <w:tcW w:w="5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842</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software, cable franchise renewal costs, contractual operating rights, and intellectual property rights. Our finite-lived intangible assets are amortized primarily on a straight-line basis over their estimated useful life or the term of the associated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8"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Borders>
              <w:top w:val="single" w:sz="8" w:color="auto"/>
            </w:tcBorders>
          </w:tcPr>
          <w:p>
            <w:pPr>
              <w:spacing w:after="0"/>
              <w:rPr>
                <w:sz w:val="14"/>
                <w:szCs w:val="14"/>
                <w:color w:val="auto"/>
              </w:rPr>
            </w:pPr>
          </w:p>
        </w:tc>
        <w:tc>
          <w:tcPr>
            <w:tcW w:w="354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color w:val="auto"/>
              </w:rPr>
              <w:t>Weighted-Average</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54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Interest Rate as of</w:t>
            </w:r>
          </w:p>
        </w:tc>
        <w:tc>
          <w:tcPr>
            <w:tcW w:w="220" w:type="dxa"/>
            <w:vAlign w:val="bottom"/>
          </w:tcPr>
          <w:p>
            <w:pPr>
              <w:spacing w:after="0"/>
              <w:rPr>
                <w:sz w:val="12"/>
                <w:szCs w:val="12"/>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540" w:type="dxa"/>
            <w:vAlign w:val="bottom"/>
            <w:tcBorders>
              <w:bottom w:val="single" w:sz="8" w:color="auto"/>
            </w:tcBorders>
          </w:tcPr>
          <w:p>
            <w:pPr>
              <w:jc w:val="right"/>
              <w:ind w:right="279"/>
              <w:spacing w:after="0" w:line="149" w:lineRule="exact"/>
              <w:rPr>
                <w:sz w:val="20"/>
                <w:szCs w:val="20"/>
                <w:color w:val="auto"/>
              </w:rPr>
            </w:pPr>
            <w:r>
              <w:rPr>
                <w:rFonts w:ascii="Arial" w:cs="Arial" w:eastAsia="Arial" w:hAnsi="Arial"/>
                <w:sz w:val="14"/>
                <w:szCs w:val="14"/>
                <w:color w:val="auto"/>
              </w:rPr>
              <w:t>December 31, 2014</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606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3540" w:type="dxa"/>
            <w:vAlign w:val="bottom"/>
          </w:tcPr>
          <w:p>
            <w:pPr>
              <w:jc w:val="right"/>
              <w:ind w:right="139"/>
              <w:spacing w:after="0" w:line="177" w:lineRule="exact"/>
              <w:rPr>
                <w:sz w:val="20"/>
                <w:szCs w:val="20"/>
                <w:color w:val="auto"/>
              </w:rPr>
            </w:pPr>
            <w:r>
              <w:rPr>
                <w:rFonts w:ascii="Arial" w:cs="Arial" w:eastAsia="Arial" w:hAnsi="Arial"/>
                <w:sz w:val="18"/>
                <w:szCs w:val="18"/>
                <w:color w:val="auto"/>
              </w:rPr>
              <w:t>0.373%</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845</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Revolving bank credit facilities</w:t>
            </w:r>
          </w:p>
        </w:tc>
        <w:tc>
          <w:tcPr>
            <w:tcW w:w="35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80" w:type="dxa"/>
            <w:vAlign w:val="bottom"/>
          </w:tcPr>
          <w:p>
            <w:pPr>
              <w:jc w:val="right"/>
              <w:ind w:right="1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35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4.642%</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15,334</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5 and 10 years</w:t>
            </w:r>
          </w:p>
        </w:tc>
        <w:tc>
          <w:tcPr>
            <w:tcW w:w="35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4.822%</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10,527</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11,533</w:t>
            </w:r>
          </w:p>
        </w:tc>
        <w:tc>
          <w:tcPr>
            <w:tcW w:w="0" w:type="dxa"/>
            <w:vAlign w:val="bottom"/>
          </w:tcPr>
          <w:p>
            <w:pPr>
              <w:spacing w:after="0"/>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w:t>
            </w:r>
            <w:r>
              <w:rPr>
                <w:rFonts w:ascii="Arial" w:cs="Arial" w:eastAsia="Arial" w:hAnsi="Arial"/>
                <w:sz w:val="22"/>
                <w:szCs w:val="22"/>
                <w:color w:val="auto"/>
                <w:vertAlign w:val="superscript"/>
              </w:rPr>
              <w:t>(a)</w:t>
            </w:r>
          </w:p>
        </w:tc>
        <w:tc>
          <w:tcPr>
            <w:tcW w:w="3540" w:type="dxa"/>
            <w:vAlign w:val="bottom"/>
          </w:tcPr>
          <w:p>
            <w:pPr>
              <w:jc w:val="right"/>
              <w:ind w:right="139"/>
              <w:spacing w:after="0" w:line="202" w:lineRule="exact"/>
              <w:rPr>
                <w:sz w:val="20"/>
                <w:szCs w:val="20"/>
                <w:color w:val="auto"/>
              </w:rPr>
            </w:pPr>
            <w:r>
              <w:rPr>
                <w:rFonts w:ascii="Arial" w:cs="Arial" w:eastAsia="Arial" w:hAnsi="Arial"/>
                <w:sz w:val="18"/>
                <w:szCs w:val="18"/>
                <w:color w:val="auto"/>
              </w:rPr>
              <w:t>5.737%</w:t>
            </w:r>
          </w:p>
        </w:tc>
        <w:tc>
          <w:tcPr>
            <w:tcW w:w="22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20,937</w:t>
            </w:r>
          </w:p>
        </w:tc>
        <w:tc>
          <w:tcPr>
            <w:tcW w:w="24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18,010</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177"/>
        </w:trPr>
        <w:tc>
          <w:tcPr>
            <w:tcW w:w="606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540" w:type="dxa"/>
            <w:vAlign w:val="bottom"/>
          </w:tcPr>
          <w:p>
            <w:pPr>
              <w:jc w:val="right"/>
              <w:spacing w:after="0" w:line="177" w:lineRule="exact"/>
              <w:rPr>
                <w:sz w:val="20"/>
                <w:szCs w:val="20"/>
                <w:color w:val="auto"/>
              </w:rPr>
            </w:pPr>
            <w:r>
              <w:rPr>
                <w:rFonts w:ascii="Arial" w:cs="Arial" w:eastAsia="Arial" w:hAnsi="Arial"/>
                <w:sz w:val="16"/>
                <w:szCs w:val="16"/>
                <w:color w:val="auto"/>
              </w:rPr>
              <w:t>4.95%</w:t>
            </w:r>
            <w:r>
              <w:rPr>
                <w:rFonts w:ascii="Arial" w:cs="Arial" w:eastAsia="Arial" w:hAnsi="Arial"/>
                <w:sz w:val="20"/>
                <w:szCs w:val="20"/>
                <w:color w:val="auto"/>
                <w:vertAlign w:val="superscript"/>
              </w:rPr>
              <w:t>(b)</w:t>
            </w:r>
          </w:p>
        </w:tc>
        <w:tc>
          <w:tcPr>
            <w:tcW w:w="22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b w:val="1"/>
                <w:bCs w:val="1"/>
                <w:color w:val="auto"/>
              </w:rPr>
              <w:t>48,234</w:t>
            </w:r>
          </w:p>
        </w:tc>
        <w:tc>
          <w:tcPr>
            <w:tcW w:w="240" w:type="dxa"/>
            <w:vAlign w:val="bottom"/>
          </w:tcPr>
          <w:p>
            <w:pPr>
              <w:spacing w:after="0"/>
              <w:rPr>
                <w:sz w:val="15"/>
                <w:szCs w:val="15"/>
                <w:color w:val="auto"/>
              </w:rPr>
            </w:pPr>
          </w:p>
        </w:tc>
        <w:tc>
          <w:tcPr>
            <w:tcW w:w="6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47,847</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4,217</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3540" w:type="dxa"/>
            <w:vAlign w:val="bottom"/>
            <w:tcBorders>
              <w:bottom w:val="single" w:sz="8" w:color="0C6DFF"/>
            </w:tcBorders>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44,017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44,567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December 31, 2014 and 2013 amounts include £625 million of 5.50% notes due 2029 which translated to $974 million and $1 billion, respectively, using the exchange rates as of these dates.</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2014 and 2013, our debt had an estimated fair value of $55.3 billion and $51.8 billion, respectively.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 See Note 20 for additional information on our cross-guarantee structure.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Debt Maturities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Borders>
              <w:top w:val="single" w:sz="8" w:color="auto"/>
            </w:tcBorders>
          </w:tcPr>
          <w:p>
            <w:pPr>
              <w:spacing w:after="0"/>
              <w:rPr>
                <w:sz w:val="14"/>
                <w:szCs w:val="14"/>
                <w:color w:val="auto"/>
              </w:rPr>
            </w:pPr>
          </w:p>
        </w:tc>
        <w:tc>
          <w:tcPr>
            <w:tcW w:w="612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color w:val="auto"/>
              </w:rPr>
              <w:t>Weighted-Average</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49"/>
        </w:trPr>
        <w:tc>
          <w:tcPr>
            <w:tcW w:w="4360" w:type="dxa"/>
            <w:vAlign w:val="bottom"/>
          </w:tcPr>
          <w:p>
            <w:pPr>
              <w:spacing w:after="0"/>
              <w:rPr>
                <w:sz w:val="12"/>
                <w:szCs w:val="12"/>
                <w:color w:val="auto"/>
              </w:rPr>
            </w:pPr>
          </w:p>
        </w:tc>
        <w:tc>
          <w:tcPr>
            <w:tcW w:w="6120" w:type="dxa"/>
            <w:vAlign w:val="bottom"/>
          </w:tcPr>
          <w:p>
            <w:pPr>
              <w:jc w:val="right"/>
              <w:ind w:right="200"/>
              <w:spacing w:after="0" w:line="149" w:lineRule="exact"/>
              <w:rPr>
                <w:sz w:val="20"/>
                <w:szCs w:val="20"/>
                <w:color w:val="auto"/>
              </w:rPr>
            </w:pPr>
            <w:r>
              <w:rPr>
                <w:rFonts w:ascii="Arial" w:cs="Arial" w:eastAsia="Arial" w:hAnsi="Arial"/>
                <w:sz w:val="14"/>
                <w:szCs w:val="14"/>
                <w:color w:val="auto"/>
              </w:rPr>
              <w:t>Interest Rate as of</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3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6120" w:type="dxa"/>
            <w:vAlign w:val="bottom"/>
            <w:tcBorders>
              <w:bottom w:val="single" w:sz="8" w:color="auto"/>
            </w:tcBorders>
          </w:tcPr>
          <w:p>
            <w:pPr>
              <w:jc w:val="right"/>
              <w:ind w:right="200"/>
              <w:spacing w:after="0" w:line="149" w:lineRule="exact"/>
              <w:rPr>
                <w:sz w:val="20"/>
                <w:szCs w:val="20"/>
                <w:color w:val="auto"/>
              </w:rPr>
            </w:pPr>
            <w:r>
              <w:rPr>
                <w:rFonts w:ascii="Arial" w:cs="Arial" w:eastAsia="Arial" w:hAnsi="Arial"/>
                <w:sz w:val="14"/>
                <w:szCs w:val="14"/>
                <w:color w:val="auto"/>
              </w:rPr>
              <w:t>December 31, 2014</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199"/>
        </w:trPr>
        <w:tc>
          <w:tcPr>
            <w:tcW w:w="4360" w:type="dxa"/>
            <w:vAlign w:val="bottom"/>
          </w:tcPr>
          <w:p>
            <w:pPr>
              <w:spacing w:after="0" w:line="200" w:lineRule="exact"/>
              <w:rPr>
                <w:sz w:val="20"/>
                <w:szCs w:val="20"/>
                <w:color w:val="auto"/>
              </w:rPr>
            </w:pPr>
            <w:r>
              <w:rPr>
                <w:rFonts w:ascii="Arial" w:cs="Arial" w:eastAsia="Arial" w:hAnsi="Arial"/>
                <w:sz w:val="18"/>
                <w:szCs w:val="18"/>
                <w:color w:val="auto"/>
              </w:rPr>
              <w:t>2015</w:t>
            </w:r>
          </w:p>
        </w:tc>
        <w:tc>
          <w:tcPr>
            <w:tcW w:w="6120" w:type="dxa"/>
            <w:vAlign w:val="bottom"/>
          </w:tcPr>
          <w:p>
            <w:pPr>
              <w:jc w:val="right"/>
              <w:ind w:right="40"/>
              <w:spacing w:after="0" w:line="200" w:lineRule="exact"/>
              <w:rPr>
                <w:sz w:val="20"/>
                <w:szCs w:val="20"/>
                <w:color w:val="auto"/>
              </w:rPr>
            </w:pPr>
            <w:r>
              <w:rPr>
                <w:rFonts w:ascii="Arial" w:cs="Arial" w:eastAsia="Arial" w:hAnsi="Arial"/>
                <w:sz w:val="18"/>
                <w:szCs w:val="18"/>
                <w:color w:val="auto"/>
              </w:rPr>
              <w:t>4.990%</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4,217</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6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4.158%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3,530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6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6.973%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2,558</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6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4.124%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4,117</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612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3.159%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2,205</w:t>
            </w:r>
          </w:p>
        </w:tc>
      </w:tr>
      <w:tr>
        <w:trPr>
          <w:trHeight w:val="199"/>
        </w:trPr>
        <w:tc>
          <w:tcPr>
            <w:tcW w:w="4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612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5.425%</w:t>
            </w:r>
          </w:p>
        </w:tc>
        <w:tc>
          <w:tcPr>
            <w:tcW w:w="940" w:type="dxa"/>
            <w:vAlign w:val="bottom"/>
            <w:tcBorders>
              <w:bottom w:val="single" w:sz="8" w:color="auto"/>
            </w:tcBorders>
            <w:gridSpan w:val="2"/>
          </w:tcPr>
          <w:p>
            <w:pPr>
              <w:jc w:val="right"/>
              <w:ind w:right="12"/>
              <w:spacing w:after="0" w:line="200" w:lineRule="exact"/>
              <w:rPr>
                <w:sz w:val="20"/>
                <w:szCs w:val="20"/>
                <w:color w:val="auto"/>
              </w:rPr>
            </w:pPr>
            <w:r>
              <w:rPr>
                <w:rFonts w:ascii="Arial" w:cs="Arial" w:eastAsia="Arial" w:hAnsi="Arial"/>
                <w:sz w:val="18"/>
                <w:szCs w:val="18"/>
                <w:color w:val="auto"/>
              </w:rPr>
              <w:t>$ 31,607</w:t>
            </w:r>
          </w:p>
        </w:tc>
      </w:tr>
      <w:tr>
        <w:trPr>
          <w:trHeight w:val="370"/>
        </w:trPr>
        <w:tc>
          <w:tcPr>
            <w:tcW w:w="4360" w:type="dxa"/>
            <w:vAlign w:val="bottom"/>
          </w:tcPr>
          <w:p>
            <w:pPr>
              <w:spacing w:after="0"/>
              <w:rPr>
                <w:sz w:val="20"/>
                <w:szCs w:val="20"/>
                <w:color w:val="auto"/>
              </w:rPr>
            </w:pPr>
            <w:r>
              <w:rPr>
                <w:rFonts w:ascii="Arial" w:cs="Arial" w:eastAsia="Arial" w:hAnsi="Arial"/>
                <w:sz w:val="18"/>
                <w:szCs w:val="18"/>
                <w:color w:val="0C6DFF"/>
              </w:rPr>
              <w:t>2014 Debt Borrowings</w:t>
            </w:r>
          </w:p>
        </w:tc>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
        </w:trPr>
        <w:tc>
          <w:tcPr>
            <w:tcW w:w="4360" w:type="dxa"/>
            <w:vAlign w:val="bottom"/>
            <w:tcBorders>
              <w:bottom w:val="single" w:sz="8" w:color="auto"/>
            </w:tcBorders>
          </w:tcPr>
          <w:p>
            <w:pPr>
              <w:spacing w:after="0"/>
              <w:rPr>
                <w:sz w:val="3"/>
                <w:szCs w:val="3"/>
                <w:color w:val="auto"/>
              </w:rPr>
            </w:pPr>
          </w:p>
        </w:tc>
        <w:tc>
          <w:tcPr>
            <w:tcW w:w="6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7"/>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2014 (in millions)</w:t>
            </w:r>
          </w:p>
        </w:tc>
        <w:tc>
          <w:tcPr>
            <w:tcW w:w="6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99"/>
        </w:trPr>
        <w:tc>
          <w:tcPr>
            <w:tcW w:w="4360" w:type="dxa"/>
            <w:vAlign w:val="bottom"/>
          </w:tcPr>
          <w:p>
            <w:pPr>
              <w:spacing w:after="0" w:line="200" w:lineRule="exact"/>
              <w:rPr>
                <w:sz w:val="20"/>
                <w:szCs w:val="20"/>
                <w:color w:val="auto"/>
              </w:rPr>
            </w:pPr>
            <w:r>
              <w:rPr>
                <w:rFonts w:ascii="Arial" w:cs="Arial" w:eastAsia="Arial" w:hAnsi="Arial"/>
                <w:sz w:val="18"/>
                <w:szCs w:val="18"/>
                <w:color w:val="auto"/>
              </w:rPr>
              <w:t>Comcast 3.600% senior notes due 2024</w:t>
            </w:r>
          </w:p>
        </w:tc>
        <w:tc>
          <w:tcPr>
            <w:tcW w:w="6120" w:type="dxa"/>
            <w:vAlign w:val="bottom"/>
          </w:tcPr>
          <w:p>
            <w:pPr>
              <w:spacing w:after="0"/>
              <w:rPr>
                <w:sz w:val="17"/>
                <w:szCs w:val="17"/>
                <w:color w:val="auto"/>
              </w:rPr>
            </w:pPr>
          </w:p>
        </w:tc>
        <w:tc>
          <w:tcPr>
            <w:tcW w:w="94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$ 1,200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Comcast 3.375% senior notes due 2025</w:t>
            </w:r>
          </w:p>
        </w:tc>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Comcast 4.200% senior notes due 2034</w:t>
            </w:r>
          </w:p>
        </w:tc>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199"/>
        </w:trPr>
        <w:tc>
          <w:tcPr>
            <w:tcW w:w="4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Comcast 4.750% senior notes due 2044</w:t>
            </w:r>
          </w:p>
        </w:tc>
        <w:tc>
          <w:tcPr>
            <w:tcW w:w="6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1,000</w:t>
            </w:r>
          </w:p>
        </w:tc>
      </w:tr>
      <w:tr>
        <w:trPr>
          <w:trHeight w:val="196"/>
        </w:trPr>
        <w:tc>
          <w:tcPr>
            <w:tcW w:w="43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6120" w:type="dxa"/>
            <w:vAlign w:val="bottom"/>
            <w:tcBorders>
              <w:bottom w:val="single" w:sz="8" w:color="0C6DFF"/>
            </w:tcBorders>
          </w:tcPr>
          <w:p>
            <w:pPr>
              <w:spacing w:after="0"/>
              <w:rPr>
                <w:sz w:val="17"/>
                <w:szCs w:val="17"/>
                <w:color w:val="auto"/>
              </w:rPr>
            </w:pPr>
          </w:p>
        </w:tc>
        <w:tc>
          <w:tcPr>
            <w:tcW w:w="940" w:type="dxa"/>
            <w:vAlign w:val="bottom"/>
            <w:tcBorders>
              <w:bottom w:val="single" w:sz="8" w:color="0C6DFF"/>
            </w:tcBorders>
            <w:gridSpan w:val="2"/>
          </w:tcPr>
          <w:p>
            <w:pPr>
              <w:jc w:val="right"/>
              <w:ind w:right="12"/>
              <w:spacing w:after="0" w:line="196" w:lineRule="exact"/>
              <w:rPr>
                <w:sz w:val="20"/>
                <w:szCs w:val="20"/>
                <w:color w:val="auto"/>
              </w:rPr>
            </w:pPr>
            <w:r>
              <w:rPr>
                <w:rFonts w:ascii="Arial" w:cs="Arial" w:eastAsia="Arial" w:hAnsi="Arial"/>
                <w:sz w:val="18"/>
                <w:szCs w:val="18"/>
                <w:color w:val="auto"/>
              </w:rPr>
              <w:t>$ 4,200</w:t>
            </w:r>
          </w:p>
        </w:tc>
      </w:tr>
      <w:tr>
        <w:trPr>
          <w:trHeight w:val="506"/>
        </w:trPr>
        <w:tc>
          <w:tcPr>
            <w:tcW w:w="436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6120" w:type="dxa"/>
            <w:vAlign w:val="bottom"/>
          </w:tcPr>
          <w:p>
            <w:pPr>
              <w:jc w:val="right"/>
              <w:ind w:right="4580"/>
              <w:spacing w:after="0"/>
              <w:rPr>
                <w:sz w:val="20"/>
                <w:szCs w:val="20"/>
                <w:color w:val="auto"/>
              </w:rPr>
            </w:pPr>
            <w:r>
              <w:rPr>
                <w:rFonts w:ascii="Arial" w:cs="Arial" w:eastAsia="Arial" w:hAnsi="Arial"/>
                <w:sz w:val="14"/>
                <w:szCs w:val="14"/>
                <w:b w:val="1"/>
                <w:bCs w:val="1"/>
                <w:color w:val="auto"/>
              </w:rPr>
              <w:t>104</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2014 Debt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 2014 (in millions)</w:t>
      </w:r>
    </w:p>
    <w:tbl>
      <w:tblPr>
        <w:tblLayout w:type="fixed"/>
        <w:tblInd w:w="0" w:type="dxa"/>
        <w:tblCellMar>
          <w:top w:w="0" w:type="dxa"/>
          <w:left w:w="0" w:type="dxa"/>
          <w:bottom w:w="0" w:type="dxa"/>
          <w:right w:w="0" w:type="dxa"/>
        </w:tblCellMar>
      </w:tblPr>
      <w:tr>
        <w:trPr>
          <w:trHeight w:val="199"/>
        </w:trPr>
        <w:tc>
          <w:tcPr>
            <w:tcW w:w="72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NBCUniversal Enterprise revolving credit facility</w:t>
            </w:r>
          </w:p>
        </w:tc>
        <w:tc>
          <w:tcPr>
            <w:tcW w:w="420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$ 1,250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Comcast 5.300% senior notes due 2014</w:t>
            </w:r>
          </w:p>
        </w:tc>
        <w:tc>
          <w:tcPr>
            <w:tcW w:w="4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NBCUniversal 2.100% senior notes due 2014</w:t>
            </w:r>
          </w:p>
        </w:tc>
        <w:tc>
          <w:tcPr>
            <w:tcW w:w="4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r>
      <w:tr>
        <w:trPr>
          <w:trHeight w:val="199"/>
        </w:trPr>
        <w:tc>
          <w:tcPr>
            <w:tcW w:w="7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42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25</w:t>
            </w:r>
          </w:p>
        </w:tc>
      </w:tr>
      <w:tr>
        <w:trPr>
          <w:trHeight w:val="196"/>
        </w:trPr>
        <w:tc>
          <w:tcPr>
            <w:tcW w:w="7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$ 3,175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Revolving Credit Facilities</w:t>
      </w:r>
    </w:p>
    <w:p>
      <w:pPr>
        <w:jc w:val="both"/>
        <w:spacing w:after="0" w:line="236" w:lineRule="auto"/>
        <w:rPr>
          <w:sz w:val="20"/>
          <w:szCs w:val="20"/>
          <w:color w:val="auto"/>
        </w:rPr>
      </w:pPr>
      <w:r>
        <w:rPr>
          <w:rFonts w:ascii="Arial" w:cs="Arial" w:eastAsia="Arial" w:hAnsi="Arial"/>
          <w:sz w:val="18"/>
          <w:szCs w:val="18"/>
          <w:color w:val="auto"/>
        </w:rPr>
        <w:t>As of December 31, 2014, Comcast and Comcast Cable Communications, LLC had a $6.25 billion revolving credit facility due June 2017 with a syndicate of banks. The interest rate on this facility consists of a base rate plus a borrowing margin that is determined based on our credit rating. As of December 31, 2014, the borrowing margin for London Interbank Offered Rate (“LIBOR”) based borrowings was 1.00%. This revolving credit facility requires that we maintain certain financial ratios based on our debt and our operating income before depreciation and amortization, as defined in the credit facility. We were in compliance with all financial covenants for all periods presented.</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NBCUniversal Enterprise had a $1.35 billion revolving credit facility due March 2018 with a syndicate of banks. The interest rate on this facility consists of a base rate plus a borrowing margin that is determined based on our credit rating. As of December 31, 2014, the borrowing margin for LIBOR-based borrowings was 1.00%.</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amounts available under our consolidated credit facilities, net of amounts outstanding under our commercial paper programs and outstanding letters of credit, totaled $6.5 billion, which included $505 million available under NBCUniversal Enterprise’s revolving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Commercial Paper Programs</w:t>
      </w:r>
    </w:p>
    <w:p>
      <w:pPr>
        <w:jc w:val="both"/>
        <w:spacing w:after="0" w:line="237" w:lineRule="auto"/>
        <w:rPr>
          <w:sz w:val="20"/>
          <w:szCs w:val="20"/>
          <w:color w:val="auto"/>
        </w:rPr>
      </w:pPr>
      <w:r>
        <w:rPr>
          <w:rFonts w:ascii="Arial" w:cs="Arial" w:eastAsia="Arial" w:hAnsi="Arial"/>
          <w:sz w:val="18"/>
          <w:szCs w:val="18"/>
          <w:color w:val="auto"/>
        </w:rPr>
        <w:t>Our commercial paper programs provide a lower-cost source of borrowing to fund our short-term working capital requirements. The Comcast commercial paper program is supported by the Comcast and Comcast Cable Communications, LLC $6.25 billion revolving credit facility due June 2017. In February 2014, NBCUniversal Enterprise entered into a commercial paper program. The maximum borrowing capacity under this commercial paper program is $1.35 billion, and it is supported by NBCUniversal Enterprise’s revolving credit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Letters of Credit</w:t>
      </w:r>
    </w:p>
    <w:p>
      <w:pPr>
        <w:jc w:val="both"/>
        <w:spacing w:after="0" w:line="239" w:lineRule="auto"/>
        <w:rPr>
          <w:sz w:val="20"/>
          <w:szCs w:val="20"/>
          <w:color w:val="auto"/>
        </w:rPr>
      </w:pPr>
      <w:r>
        <w:rPr>
          <w:rFonts w:ascii="Arial" w:cs="Arial" w:eastAsia="Arial" w:hAnsi="Arial"/>
          <w:sz w:val="18"/>
          <w:szCs w:val="18"/>
          <w:color w:val="auto"/>
        </w:rPr>
        <w:t>As of December 31, 2014, we and certain of our subsidiaries had unused irrevocable standby letters of credit totaling $473 million to cover potential fundings under various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1020" w:right="1240" w:hanging="215"/>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88" w:lineRule="exact"/>
        <w:rPr>
          <w:sz w:val="20"/>
          <w:szCs w:val="20"/>
          <w:color w:val="auto"/>
        </w:rPr>
      </w:pPr>
    </w:p>
    <w:p>
      <w:pPr>
        <w:jc w:val="both"/>
        <w:ind w:left="1020" w:right="1240" w:hanging="215"/>
        <w:spacing w:after="0" w:line="26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Consists of financial instruments that are valued using models or other valuation methodologies. These models use inputs that are observable either directly or indirectly. Level 2 inputs include (1) quoted prices for similar assets or liabilities in active markets, (2) quoted prices for identical or similar assets or liabilities in markets that are not active, (3) pricing models whose inputs are observable for substantially the full term of the financial instrument and</w:t>
      </w:r>
    </w:p>
    <w:p>
      <w:pPr>
        <w:ind w:left="1020" w:right="1240" w:firstLine="1"/>
        <w:spacing w:after="0" w:line="239" w:lineRule="auto"/>
        <w:tabs>
          <w:tab w:leader="none" w:pos="1326"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pricing models whose inputs are derived primarily from or corroborated by observable market data through correlation or other means for substantially the full term of the financial instrument.</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154"/>
              <w:spacing w:after="0"/>
              <w:rPr>
                <w:sz w:val="20"/>
                <w:szCs w:val="20"/>
                <w:color w:val="auto"/>
              </w:rPr>
            </w:pPr>
            <w:r>
              <w:rPr>
                <w:rFonts w:ascii="Arial" w:cs="Arial" w:eastAsia="Arial" w:hAnsi="Arial"/>
                <w:sz w:val="14"/>
                <w:szCs w:val="14"/>
                <w:b w:val="1"/>
                <w:bCs w:val="1"/>
                <w:color w:val="auto"/>
                <w:w w:val="95"/>
              </w:rPr>
              <w:t>Fair Value as of December 31, 2014</w:t>
            </w: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454"/>
              <w:spacing w:after="0"/>
              <w:rPr>
                <w:sz w:val="20"/>
                <w:szCs w:val="20"/>
                <w:color w:val="auto"/>
              </w:rPr>
            </w:pPr>
            <w:r>
              <w:rPr>
                <w:rFonts w:ascii="Arial" w:cs="Arial" w:eastAsia="Arial" w:hAnsi="Arial"/>
                <w:sz w:val="14"/>
                <w:szCs w:val="14"/>
                <w:color w:val="auto"/>
              </w:rPr>
              <w:t>Fair Value as of December 31, 2013</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6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Level 3</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Level 1</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2</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Level 3</w:t>
            </w:r>
          </w:p>
        </w:tc>
        <w:tc>
          <w:tcPr>
            <w:tcW w:w="8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2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w w:val="99"/>
              </w:rPr>
              <w:t>523</w:t>
            </w:r>
          </w:p>
        </w:tc>
        <w:tc>
          <w:tcPr>
            <w:tcW w:w="24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9"/>
              </w:rPr>
              <w:t>$</w:t>
            </w:r>
          </w:p>
        </w:tc>
        <w:tc>
          <w:tcPr>
            <w:tcW w:w="4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523</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line="181" w:lineRule="exact"/>
              <w:rPr>
                <w:sz w:val="20"/>
                <w:szCs w:val="20"/>
                <w:color w:val="auto"/>
              </w:rPr>
            </w:pPr>
            <w:r>
              <w:rPr>
                <w:rFonts w:ascii="Arial" w:cs="Arial" w:eastAsia="Arial" w:hAnsi="Arial"/>
                <w:sz w:val="18"/>
                <w:szCs w:val="18"/>
                <w:color w:val="auto"/>
              </w:rPr>
              <w:t>Trading securities</w:t>
            </w:r>
          </w:p>
        </w:tc>
        <w:tc>
          <w:tcPr>
            <w:tcW w:w="2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3,956</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$ 3,956</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121</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132</w:t>
            </w:r>
          </w:p>
        </w:tc>
        <w:tc>
          <w:tcPr>
            <w:tcW w:w="220" w:type="dxa"/>
            <w:vAlign w:val="bottom"/>
          </w:tcPr>
          <w:p>
            <w:pPr>
              <w:spacing w:after="0"/>
              <w:rPr>
                <w:sz w:val="17"/>
                <w:szCs w:val="17"/>
                <w:color w:val="auto"/>
              </w:rPr>
            </w:pP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260</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118</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84</w:t>
            </w:r>
          </w:p>
        </w:tc>
        <w:tc>
          <w:tcPr>
            <w:tcW w:w="220" w:type="dxa"/>
            <w:vAlign w:val="bottom"/>
          </w:tcPr>
          <w:p>
            <w:pPr>
              <w:spacing w:after="0"/>
              <w:rPr>
                <w:sz w:val="17"/>
                <w:szCs w:val="17"/>
                <w:color w:val="auto"/>
              </w:rPr>
            </w:pP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64</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71</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9"/>
              </w:rPr>
              <w:t>524</w:t>
            </w:r>
          </w:p>
        </w:tc>
        <w:tc>
          <w:tcPr>
            <w:tcW w:w="240" w:type="dxa"/>
            <w:vAlign w:val="bottom"/>
            <w:tcBorders>
              <w:bottom w:val="single" w:sz="8" w:color="0C6DFF"/>
            </w:tcBorders>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269</w:t>
            </w:r>
          </w:p>
        </w:tc>
        <w:tc>
          <w:tcPr>
            <w:tcW w:w="220" w:type="dxa"/>
            <w:vAlign w:val="bottom"/>
            <w:tcBorders>
              <w:bottom w:val="single" w:sz="8" w:color="0C6DFF"/>
            </w:tcBorders>
          </w:tcPr>
          <w:p>
            <w:pPr>
              <w:jc w:val="center"/>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810</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4,216</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308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12</w:t>
            </w:r>
          </w:p>
        </w:tc>
        <w:tc>
          <w:tcPr>
            <w:tcW w:w="8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$ 4,536</w:t>
            </w:r>
          </w:p>
        </w:tc>
        <w:tc>
          <w:tcPr>
            <w:tcW w:w="0" w:type="dxa"/>
            <w:vAlign w:val="bottom"/>
          </w:tcPr>
          <w:p>
            <w:pPr>
              <w:spacing w:after="0"/>
              <w:rPr>
                <w:sz w:val="1"/>
                <w:szCs w:val="1"/>
                <w:color w:val="auto"/>
              </w:rPr>
            </w:pPr>
          </w:p>
        </w:tc>
      </w:tr>
      <w:tr>
        <w:trPr>
          <w:trHeight w:val="199"/>
        </w:trPr>
        <w:tc>
          <w:tcPr>
            <w:tcW w:w="52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Derivative component of prepaid forward sale agreements and</w:t>
            </w:r>
          </w:p>
        </w:tc>
        <w:tc>
          <w:tcPr>
            <w:tcW w:w="2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42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9"/>
              </w:rPr>
              <w:t>$</w:t>
            </w:r>
          </w:p>
        </w:tc>
        <w:tc>
          <w:tcPr>
            <w:tcW w:w="4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361</w:t>
            </w:r>
          </w:p>
        </w:tc>
        <w:tc>
          <w:tcPr>
            <w:tcW w:w="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361</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40" w:type="dxa"/>
            <w:vAlign w:val="bottom"/>
          </w:tcPr>
          <w:p>
            <w:pPr>
              <w:ind w:left="220"/>
              <w:spacing w:after="0" w:line="181" w:lineRule="exact"/>
              <w:rPr>
                <w:sz w:val="20"/>
                <w:szCs w:val="20"/>
                <w:color w:val="auto"/>
              </w:rPr>
            </w:pPr>
            <w:r>
              <w:rPr>
                <w:rFonts w:ascii="Arial" w:cs="Arial" w:eastAsia="Arial" w:hAnsi="Arial"/>
                <w:sz w:val="18"/>
                <w:szCs w:val="18"/>
                <w:color w:val="auto"/>
              </w:rPr>
              <w:t>indexed debt instruments</w:t>
            </w:r>
          </w:p>
        </w:tc>
        <w:tc>
          <w:tcPr>
            <w:tcW w:w="2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6"/>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2,816</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$ 2,816</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Contractual obligations</w:t>
            </w:r>
          </w:p>
        </w:tc>
        <w:tc>
          <w:tcPr>
            <w:tcW w:w="22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883</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883</w:t>
            </w:r>
          </w:p>
        </w:tc>
        <w:tc>
          <w:tcPr>
            <w:tcW w:w="220" w:type="dxa"/>
            <w:vAlign w:val="bottom"/>
          </w:tcPr>
          <w:p>
            <w:pPr>
              <w:spacing w:after="0"/>
              <w:rPr>
                <w:sz w:val="17"/>
                <w:szCs w:val="17"/>
                <w:color w:val="auto"/>
              </w:rPr>
            </w:pP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747</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7"/>
                <w:szCs w:val="17"/>
                <w:color w:val="auto"/>
              </w:rPr>
            </w:pPr>
          </w:p>
        </w:tc>
        <w:tc>
          <w:tcPr>
            <w:tcW w:w="42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644</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644</w:t>
            </w:r>
          </w:p>
        </w:tc>
        <w:tc>
          <w:tcPr>
            <w:tcW w:w="220" w:type="dxa"/>
            <w:vAlign w:val="bottom"/>
          </w:tcPr>
          <w:p>
            <w:pPr>
              <w:spacing w:after="0"/>
              <w:rPr>
                <w:sz w:val="17"/>
                <w:szCs w:val="17"/>
                <w:color w:val="auto"/>
              </w:rPr>
            </w:pP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684</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0C6DFF"/>
            </w:tcBorders>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369</w:t>
            </w:r>
          </w:p>
        </w:tc>
        <w:tc>
          <w:tcPr>
            <w:tcW w:w="220" w:type="dxa"/>
            <w:vAlign w:val="bottom"/>
            <w:tcBorders>
              <w:bottom w:val="single" w:sz="8" w:color="0C6DFF"/>
            </w:tcBorders>
          </w:tcPr>
          <w:p>
            <w:pPr>
              <w:jc w:val="center"/>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1,527</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1,896</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2,832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1,431</w:t>
            </w:r>
          </w:p>
        </w:tc>
        <w:tc>
          <w:tcPr>
            <w:tcW w:w="82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$ 4,263</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estimated fair values of the contractual obligations and contingent consideration in the table above are primarily based on certain expected future discounted cash flows, the determination of which involves the use of significant unobservable inputs. The most significant unobservable inputs we use include our estimates of the future revenue we expect to generate from certain NBCUniversal businesses, which are related to our contractual obligations, and future net tax benefits that will affect payments to GE, which are related to our contingent consideration. The discount rates used in the measurements of fair value as of December 31, 2014 were between 5% and 13% and are based on the underlying risk associated with our estimate of future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revenue,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consolidated statement of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Changes in Contractual Obligations and Contingent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Borders>
              <w:top w:val="single" w:sz="8" w:color="auto"/>
            </w:tcBorders>
          </w:tcPr>
          <w:p>
            <w:pPr>
              <w:spacing w:after="0"/>
              <w:rPr>
                <w:sz w:val="14"/>
                <w:szCs w:val="14"/>
                <w:color w:val="auto"/>
              </w:rPr>
            </w:pPr>
          </w:p>
        </w:tc>
        <w:tc>
          <w:tcPr>
            <w:tcW w:w="4420" w:type="dxa"/>
            <w:vAlign w:val="bottom"/>
            <w:tcBorders>
              <w:top w:val="single" w:sz="8" w:color="auto"/>
            </w:tcBorders>
            <w:gridSpan w:val="2"/>
          </w:tcPr>
          <w:p>
            <w:pPr>
              <w:ind w:left="3560"/>
              <w:spacing w:after="0"/>
              <w:rPr>
                <w:sz w:val="20"/>
                <w:szCs w:val="20"/>
                <w:color w:val="auto"/>
              </w:rPr>
            </w:pPr>
            <w:r>
              <w:rPr>
                <w:rFonts w:ascii="Arial" w:cs="Arial" w:eastAsia="Arial" w:hAnsi="Arial"/>
                <w:sz w:val="14"/>
                <w:szCs w:val="14"/>
                <w:color w:val="auto"/>
              </w:rPr>
              <w:t>Contractual</w:t>
            </w: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Contingent</w:t>
            </w:r>
          </w:p>
        </w:tc>
      </w:tr>
      <w:tr>
        <w:trPr>
          <w:trHeight w:val="149"/>
        </w:trPr>
        <w:tc>
          <w:tcPr>
            <w:tcW w:w="5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4420" w:type="dxa"/>
            <w:vAlign w:val="bottom"/>
            <w:tcBorders>
              <w:bottom w:val="single" w:sz="8" w:color="auto"/>
            </w:tcBorders>
            <w:gridSpan w:val="2"/>
          </w:tcPr>
          <w:p>
            <w:pPr>
              <w:ind w:left="3560"/>
              <w:spacing w:after="0" w:line="149" w:lineRule="exact"/>
              <w:rPr>
                <w:sz w:val="20"/>
                <w:szCs w:val="20"/>
                <w:color w:val="auto"/>
              </w:rPr>
            </w:pPr>
            <w:r>
              <w:rPr>
                <w:rFonts w:ascii="Arial" w:cs="Arial" w:eastAsia="Arial" w:hAnsi="Arial"/>
                <w:sz w:val="14"/>
                <w:szCs w:val="14"/>
                <w:color w:val="auto"/>
              </w:rPr>
              <w:t>Obligations</w:t>
            </w:r>
          </w:p>
        </w:tc>
        <w:tc>
          <w:tcPr>
            <w:tcW w:w="1080" w:type="dxa"/>
            <w:vAlign w:val="bottom"/>
            <w:tcBorders>
              <w:bottom w:val="single" w:sz="8" w:color="auto"/>
            </w:tcBorders>
            <w:gridSpan w:val="2"/>
          </w:tcPr>
          <w:p>
            <w:pPr>
              <w:ind w:left="140"/>
              <w:spacing w:after="0" w:line="149" w:lineRule="exact"/>
              <w:rPr>
                <w:sz w:val="20"/>
                <w:szCs w:val="20"/>
                <w:color w:val="auto"/>
              </w:rPr>
            </w:pPr>
            <w:r>
              <w:rPr>
                <w:rFonts w:ascii="Arial" w:cs="Arial" w:eastAsia="Arial" w:hAnsi="Arial"/>
                <w:sz w:val="14"/>
                <w:szCs w:val="14"/>
                <w:color w:val="auto"/>
              </w:rPr>
              <w:t>Consideration</w:t>
            </w:r>
          </w:p>
        </w:tc>
      </w:tr>
      <w:tr>
        <w:trPr>
          <w:trHeight w:val="199"/>
        </w:trPr>
        <w:tc>
          <w:tcPr>
            <w:tcW w:w="5920" w:type="dxa"/>
            <w:vAlign w:val="bottom"/>
          </w:tcPr>
          <w:p>
            <w:pPr>
              <w:spacing w:after="0" w:line="200" w:lineRule="exact"/>
              <w:rPr>
                <w:sz w:val="20"/>
                <w:szCs w:val="20"/>
                <w:color w:val="auto"/>
              </w:rPr>
            </w:pPr>
            <w:r>
              <w:rPr>
                <w:rFonts w:ascii="Arial" w:cs="Arial" w:eastAsia="Arial" w:hAnsi="Arial"/>
                <w:sz w:val="18"/>
                <w:szCs w:val="18"/>
                <w:color w:val="auto"/>
              </w:rPr>
              <w:t>Balance, December 31, 2013</w:t>
            </w:r>
          </w:p>
        </w:tc>
        <w:tc>
          <w:tcPr>
            <w:tcW w:w="3800" w:type="dxa"/>
            <w:vAlign w:val="bottom"/>
          </w:tcPr>
          <w:p>
            <w:pPr>
              <w:ind w:left="354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line="200" w:lineRule="exact"/>
              <w:rPr>
                <w:sz w:val="20"/>
                <w:szCs w:val="20"/>
                <w:color w:val="auto"/>
              </w:rPr>
            </w:pPr>
            <w:r>
              <w:rPr>
                <w:rFonts w:ascii="Arial" w:cs="Arial" w:eastAsia="Arial" w:hAnsi="Arial"/>
                <w:sz w:val="18"/>
                <w:szCs w:val="18"/>
                <w:color w:val="auto"/>
              </w:rPr>
              <w:t>747</w:t>
            </w:r>
          </w:p>
        </w:tc>
        <w:tc>
          <w:tcPr>
            <w:tcW w:w="280" w:type="dxa"/>
            <w:vAlign w:val="bottom"/>
          </w:tcPr>
          <w:p>
            <w:pPr>
              <w:ind w:left="14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684</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3800" w:type="dxa"/>
            <w:vAlign w:val="bottom"/>
          </w:tcPr>
          <w:p>
            <w:pPr>
              <w:spacing w:after="0"/>
              <w:rPr>
                <w:sz w:val="17"/>
                <w:szCs w:val="17"/>
                <w:color w:val="auto"/>
              </w:rPr>
            </w:pPr>
          </w:p>
        </w:tc>
        <w:tc>
          <w:tcPr>
            <w:tcW w:w="6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208</w:t>
            </w:r>
          </w:p>
        </w:tc>
        <w:tc>
          <w:tcPr>
            <w:tcW w:w="28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31</w:t>
            </w:r>
          </w:p>
        </w:tc>
      </w:tr>
      <w:tr>
        <w:trPr>
          <w:trHeight w:val="199"/>
        </w:trPr>
        <w:tc>
          <w:tcPr>
            <w:tcW w:w="5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Payments</w:t>
            </w:r>
          </w:p>
        </w:tc>
        <w:tc>
          <w:tcPr>
            <w:tcW w:w="38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(72)</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w:t>
            </w:r>
          </w:p>
        </w:tc>
      </w:tr>
      <w:tr>
        <w:trPr>
          <w:trHeight w:val="196"/>
        </w:trPr>
        <w:tc>
          <w:tcPr>
            <w:tcW w:w="5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3800" w:type="dxa"/>
            <w:vAlign w:val="bottom"/>
            <w:tcBorders>
              <w:bottom w:val="single" w:sz="8" w:color="0C6DFF"/>
            </w:tcBorders>
          </w:tcPr>
          <w:p>
            <w:pPr>
              <w:ind w:left="3540"/>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883</w:t>
            </w:r>
          </w:p>
        </w:tc>
        <w:tc>
          <w:tcPr>
            <w:tcW w:w="280" w:type="dxa"/>
            <w:vAlign w:val="bottom"/>
            <w:tcBorders>
              <w:bottom w:val="single" w:sz="8" w:color="0C6DFF"/>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644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television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estimated fair value of a production is based on Level 3 inputs that primarily use an analysis of future expected cash flows. Adjustments to capitalized film and stage play production costs of $26 million, $167 million and $161 million were recorded in 2014, 2013 and 2012,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1300" w:type="dxa"/>
            <w:vAlign w:val="bottom"/>
            <w:gridSpan w:val="2"/>
          </w:tcPr>
          <w:p>
            <w:pPr>
              <w:jc w:val="right"/>
              <w:ind w:right="197"/>
              <w:spacing w:after="0" w:line="125" w:lineRule="exact"/>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right"/>
              <w:ind w:right="137"/>
              <w:spacing w:after="0" w:line="125" w:lineRule="exact"/>
              <w:rPr>
                <w:sz w:val="20"/>
                <w:szCs w:val="20"/>
                <w:color w:val="auto"/>
              </w:rPr>
            </w:pPr>
            <w:r>
              <w:rPr>
                <w:rFonts w:ascii="Arial" w:cs="Arial" w:eastAsia="Arial" w:hAnsi="Arial"/>
                <w:sz w:val="14"/>
                <w:szCs w:val="14"/>
                <w:color w:val="auto"/>
              </w:rPr>
              <w:t>Postretirement</w:t>
            </w:r>
          </w:p>
        </w:tc>
        <w:tc>
          <w:tcPr>
            <w:tcW w:w="18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1180" w:type="dxa"/>
            <w:vAlign w:val="bottom"/>
            <w:gridSpan w:val="2"/>
          </w:tcPr>
          <w:p>
            <w:pPr>
              <w:jc w:val="right"/>
              <w:ind w:right="137"/>
              <w:spacing w:after="0" w:line="125" w:lineRule="exact"/>
              <w:rPr>
                <w:sz w:val="20"/>
                <w:szCs w:val="20"/>
                <w:color w:val="auto"/>
              </w:rPr>
            </w:pPr>
            <w:r>
              <w:rPr>
                <w:rFonts w:ascii="Arial" w:cs="Arial" w:eastAsia="Arial" w:hAnsi="Arial"/>
                <w:sz w:val="14"/>
                <w:szCs w:val="14"/>
                <w:color w:val="auto"/>
              </w:rPr>
              <w:t>Postretirement</w:t>
            </w:r>
          </w:p>
        </w:tc>
        <w:tc>
          <w:tcPr>
            <w:tcW w:w="18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Benefits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40" w:type="dxa"/>
            <w:vAlign w:val="bottom"/>
          </w:tcPr>
          <w:p>
            <w:pPr>
              <w:jc w:val="right"/>
              <w:ind w:right="102"/>
              <w:spacing w:after="0" w:line="177"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97"/>
              <w:spacing w:after="0" w:line="177" w:lineRule="exact"/>
              <w:rPr>
                <w:sz w:val="20"/>
                <w:szCs w:val="20"/>
                <w:color w:val="auto"/>
              </w:rPr>
            </w:pPr>
            <w:r>
              <w:rPr>
                <w:rFonts w:ascii="Arial" w:cs="Arial" w:eastAsia="Arial" w:hAnsi="Arial"/>
                <w:sz w:val="18"/>
                <w:szCs w:val="18"/>
                <w:b w:val="1"/>
                <w:bCs w:val="1"/>
                <w:color w:val="auto"/>
              </w:rPr>
              <w:t>837</w:t>
            </w:r>
          </w:p>
        </w:tc>
        <w:tc>
          <w:tcPr>
            <w:tcW w:w="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581</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633</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498</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703</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3"/>
        </w:trPr>
        <w:tc>
          <w:tcPr>
            <w:tcW w:w="426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340" w:type="dxa"/>
            <w:vAlign w:val="bottom"/>
          </w:tcPr>
          <w:p>
            <w:pPr>
              <w:spacing w:after="0"/>
              <w:rPr>
                <w:sz w:val="17"/>
                <w:szCs w:val="17"/>
                <w:color w:val="auto"/>
              </w:rPr>
            </w:pPr>
          </w:p>
        </w:tc>
        <w:tc>
          <w:tcPr>
            <w:tcW w:w="960" w:type="dxa"/>
            <w:vAlign w:val="bottom"/>
          </w:tcPr>
          <w:p>
            <w:pPr>
              <w:jc w:val="right"/>
              <w:ind w:right="197"/>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242</w:t>
            </w:r>
          </w:p>
        </w:tc>
        <w:tc>
          <w:tcPr>
            <w:tcW w:w="32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220</w:t>
            </w:r>
          </w:p>
        </w:tc>
        <w:tc>
          <w:tcPr>
            <w:tcW w:w="32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34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8"/>
                <w:szCs w:val="18"/>
                <w:b w:val="1"/>
                <w:bCs w:val="1"/>
                <w:color w:val="auto"/>
              </w:rPr>
              <w:t>(837)</w:t>
            </w:r>
          </w:p>
        </w:tc>
        <w:tc>
          <w:tcPr>
            <w:tcW w:w="1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b w:val="1"/>
                <w:bCs w:val="1"/>
                <w:color w:val="auto"/>
              </w:rPr>
              <w:t>(339)</w:t>
            </w:r>
          </w:p>
        </w:tc>
        <w:tc>
          <w:tcPr>
            <w:tcW w:w="3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w:t>
            </w:r>
          </w:p>
        </w:tc>
        <w:tc>
          <w:tcPr>
            <w:tcW w:w="340" w:type="dxa"/>
            <w:vAlign w:val="bottom"/>
          </w:tcPr>
          <w:p>
            <w:pPr>
              <w:spacing w:after="0"/>
              <w:rPr>
                <w:sz w:val="17"/>
                <w:szCs w:val="17"/>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7"/>
                <w:szCs w:val="17"/>
                <w:color w:val="auto"/>
              </w:rPr>
            </w:pPr>
          </w:p>
        </w:tc>
        <w:tc>
          <w:tcPr>
            <w:tcW w:w="100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53</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60" w:type="dxa"/>
            <w:vAlign w:val="bottom"/>
          </w:tcPr>
          <w:p>
            <w:pPr>
              <w:ind w:left="220"/>
              <w:spacing w:after="0" w:line="181" w:lineRule="exact"/>
              <w:rPr>
                <w:sz w:val="20"/>
                <w:szCs w:val="20"/>
                <w:color w:val="auto"/>
              </w:rPr>
            </w:pPr>
            <w:r>
              <w:rPr>
                <w:rFonts w:ascii="Arial" w:cs="Arial" w:eastAsia="Arial" w:hAnsi="Arial"/>
                <w:sz w:val="18"/>
                <w:szCs w:val="18"/>
                <w:color w:val="auto"/>
              </w:rPr>
              <w:t>benefits expense</w:t>
            </w:r>
          </w:p>
        </w:tc>
        <w:tc>
          <w:tcPr>
            <w:tcW w:w="3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77"/>
              <w:spacing w:after="0" w:line="181" w:lineRule="exact"/>
              <w:rPr>
                <w:sz w:val="20"/>
                <w:szCs w:val="20"/>
                <w:color w:val="auto"/>
              </w:rPr>
            </w:pPr>
            <w:r>
              <w:rPr>
                <w:rFonts w:ascii="Arial" w:cs="Arial" w:eastAsia="Arial" w:hAnsi="Arial"/>
                <w:sz w:val="18"/>
                <w:szCs w:val="18"/>
                <w:color w:val="auto"/>
              </w:rPr>
              <w:t>(110)</w:t>
            </w:r>
          </w:p>
        </w:tc>
        <w:tc>
          <w:tcPr>
            <w:tcW w:w="180" w:type="dxa"/>
            <w:vAlign w:val="bottom"/>
          </w:tcPr>
          <w:p>
            <w:pPr>
              <w:spacing w:after="0"/>
              <w:rPr>
                <w:sz w:val="15"/>
                <w:szCs w:val="15"/>
                <w:color w:val="auto"/>
              </w:rPr>
            </w:pPr>
          </w:p>
        </w:tc>
        <w:tc>
          <w:tcPr>
            <w:tcW w:w="1000" w:type="dxa"/>
            <w:vAlign w:val="bottom"/>
          </w:tcPr>
          <w:p>
            <w:pPr>
              <w:jc w:val="right"/>
              <w:ind w:right="77"/>
              <w:spacing w:after="0" w:line="18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5"/>
                <w:szCs w:val="15"/>
                <w:color w:val="auto"/>
              </w:rPr>
            </w:pPr>
          </w:p>
        </w:tc>
        <w:tc>
          <w:tcPr>
            <w:tcW w:w="86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5"/>
                <w:szCs w:val="15"/>
                <w:color w:val="auto"/>
              </w:rPr>
            </w:pPr>
          </w:p>
        </w:tc>
        <w:tc>
          <w:tcPr>
            <w:tcW w:w="100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5"/>
                <w:szCs w:val="15"/>
                <w:color w:val="auto"/>
              </w:rPr>
            </w:pPr>
          </w:p>
        </w:tc>
        <w:tc>
          <w:tcPr>
            <w:tcW w:w="96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4.25%</w:t>
            </w:r>
          </w:p>
        </w:tc>
        <w:tc>
          <w:tcPr>
            <w:tcW w:w="140" w:type="dxa"/>
            <w:vAlign w:val="bottom"/>
          </w:tcPr>
          <w:p>
            <w:pPr>
              <w:spacing w:after="0"/>
              <w:rPr>
                <w:sz w:val="15"/>
                <w:szCs w:val="15"/>
                <w:color w:val="auto"/>
              </w:rPr>
            </w:pPr>
          </w:p>
        </w:tc>
        <w:tc>
          <w:tcPr>
            <w:tcW w:w="2180" w:type="dxa"/>
            <w:vAlign w:val="bottom"/>
            <w:gridSpan w:val="3"/>
          </w:tcPr>
          <w:p>
            <w:pPr>
              <w:jc w:val="right"/>
              <w:spacing w:after="0" w:line="177" w:lineRule="exact"/>
              <w:rPr>
                <w:sz w:val="20"/>
                <w:szCs w:val="20"/>
                <w:color w:val="auto"/>
              </w:rPr>
            </w:pPr>
            <w:r>
              <w:rPr>
                <w:rFonts w:ascii="Arial" w:cs="Arial" w:eastAsia="Arial" w:hAnsi="Arial"/>
                <w:sz w:val="18"/>
                <w:szCs w:val="18"/>
                <w:b w:val="1"/>
                <w:bCs w:val="1"/>
                <w:color w:val="auto"/>
              </w:rPr>
              <w:t xml:space="preserve">3.75-4.25%   </w:t>
            </w:r>
            <w:r>
              <w:rPr>
                <w:rFonts w:ascii="Arial" w:cs="Arial" w:eastAsia="Arial" w:hAnsi="Arial"/>
                <w:sz w:val="18"/>
                <w:szCs w:val="18"/>
                <w:color w:val="auto"/>
              </w:rPr>
              <w:t>5.00-5.25%</w:t>
            </w:r>
          </w:p>
        </w:tc>
        <w:tc>
          <w:tcPr>
            <w:tcW w:w="18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w w:val="99"/>
              </w:rPr>
              <w:t>4.50-5.25%</w:t>
            </w:r>
          </w:p>
        </w:tc>
        <w:tc>
          <w:tcPr>
            <w:tcW w:w="3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4.25%</w:t>
            </w:r>
          </w:p>
        </w:tc>
        <w:tc>
          <w:tcPr>
            <w:tcW w:w="18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w w:val="99"/>
              </w:rPr>
              <w:t>3.25-4.25%</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N/A</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that use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did not recognize service costs related to our pension plans in 2014 and 2013 as the plans were frozen. The 2012 amount included service costs related to our pension benefits of $139 million.</w:t>
      </w:r>
    </w:p>
    <w:p>
      <w:pPr>
        <w:spacing w:after="0" w:line="322"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sponsor various benefit plans that provide postretirement benefits to eligible employees based on years of service. The Comcast Postretirement Healthcare Stipend Program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NBCUniversal’s postretirement medical and life insurance plans provide continuous coverage to employees eligible to receive such benefits. A small number of eligible employees also participate in legacy plans of acquired companies.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for our postretirement benefit plans is determined using certain assumptions, including the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w:t>
      </w:r>
    </w:p>
    <w:p>
      <w:pPr>
        <w:jc w:val="both"/>
        <w:spacing w:after="0" w:line="236" w:lineRule="auto"/>
        <w:rPr>
          <w:sz w:val="20"/>
          <w:szCs w:val="20"/>
          <w:color w:val="auto"/>
        </w:rPr>
      </w:pPr>
      <w:r>
        <w:rPr>
          <w:rFonts w:ascii="Arial" w:cs="Arial" w:eastAsia="Arial" w:hAnsi="Arial"/>
          <w:sz w:val="18"/>
          <w:szCs w:val="18"/>
          <w:color w:val="auto"/>
        </w:rPr>
        <w:t>NBCUniversal sponsors various qualified and nonqualified defined benefit plans for domestic employees for which future benefits have been frozen. We ceased to recognize service costs associated with these defined benefit plans following the date on which future benefits were frozen. The expense we recognize for our defined benefit plans is determined using certain assumptions, including the discount rate and the expected long-term rate of return on plan assets. We recognize the funded or unfunded status of our defined benefit plans as an asset or liability in our consolidated balance sheet and recognize changes in the funded status in the year in which the changes occur through accumulated other comprehensive income (loss). In addition to the defined benefit plans it sponsors, NBCUniversal is also obligated to reimburse GE for future benefit payments to those participants who were vested in the supplemental pension plan sponsored by GE at the time of the NBCUniversal transaction in 2011.</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October 2013, we provided notice to the plan participants of the qualified pension plan of our intent to terminate the plan effective December 31, 2013. On June 27, 2014, we filed a Standard Termination Notice with the Pension Benefit Guaranty Corporation (“PBGC”) and on August 26, 2014, the related PBGC review concluded with no objections. We filed for Internal Revenue Service (“IRS”) approval on May 23, 2014 and expect to fully fund and settle the plan within 120 days of receipt of approval. We currently anticipate the contributions required from us to fully fund and settle the plan to be $16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7" w:lineRule="auto"/>
        <w:rPr>
          <w:sz w:val="20"/>
          <w:szCs w:val="20"/>
          <w:color w:val="auto"/>
        </w:rPr>
      </w:pPr>
      <w:r>
        <w:rPr>
          <w:rFonts w:ascii="Arial" w:cs="Arial" w:eastAsia="Arial" w:hAnsi="Arial"/>
          <w:sz w:val="18"/>
          <w:szCs w:val="18"/>
          <w:color w:val="auto"/>
        </w:rPr>
        <w:t>In August 2013, we settled all of our obligations related to the termination in February 2012 of the qualified pension plan that provided benefits to former employees of a company we acquired as part of the AT&amp;T Broadband transaction in 2002. In connection with this final settlement, we fully funded the plan with additional contributions of $55 million and recorded an expense of $74 million in other operating and administrative expenses, which was previously recorded in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7"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income or loss to be credited or debited to the participant’s account. Participants are eligible to receive distributions of the amounts credited to their account based on elected deferral periods that are consistent with the plans and applicable tax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2012</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5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1,774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
              <w:spacing w:after="0" w:line="177" w:lineRule="exact"/>
              <w:rPr>
                <w:sz w:val="20"/>
                <w:szCs w:val="20"/>
                <w:color w:val="auto"/>
              </w:rPr>
            </w:pPr>
            <w:r>
              <w:rPr>
                <w:rFonts w:ascii="Arial" w:cs="Arial" w:eastAsia="Arial" w:hAnsi="Arial"/>
                <w:sz w:val="18"/>
                <w:szCs w:val="18"/>
                <w:color w:val="auto"/>
                <w:w w:val="97"/>
              </w:rPr>
              <w:t>1,434</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1,247</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107</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purchased life insurance policies to recover a portion of the future payments related to our deferred compensation plans. As of December 31, 2014 and 2013, the cash surrender value of these policies, which is recorded to other noncurrent assets, was $628 million and $565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2014, 2013 and 2012, expenses related to these plans totaled $379 million, $324 million and $246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Split-Dollar Life Insurance Agreements</w:t>
      </w:r>
    </w:p>
    <w:p>
      <w:pPr>
        <w:jc w:val="both"/>
        <w:spacing w:after="0" w:line="299" w:lineRule="auto"/>
        <w:rPr>
          <w:sz w:val="20"/>
          <w:szCs w:val="20"/>
          <w:color w:val="auto"/>
        </w:rPr>
      </w:pPr>
      <w:r>
        <w:rPr>
          <w:rFonts w:ascii="Arial" w:cs="Arial" w:eastAsia="Arial" w:hAnsi="Arial"/>
          <w:sz w:val="16"/>
          <w:szCs w:val="16"/>
          <w:color w:val="auto"/>
        </w:rPr>
        <w:t>We have collateral assignment split-dollar life insurance agreements with select key current and former employees that require us to incur certain insurance-related costs. Under some of these agreements, our obligation to provide benefits to the employees extends beyond retirement.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related to our split-dollar life insurance agreements.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2012</w:t>
            </w:r>
          </w:p>
        </w:tc>
      </w:tr>
      <w:tr>
        <w:trPr>
          <w:trHeight w:val="177"/>
        </w:trPr>
        <w:tc>
          <w:tcPr>
            <w:tcW w:w="65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w w:val="99"/>
              </w:rPr>
              <w:t>217</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212</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202</w:t>
            </w:r>
          </w:p>
        </w:tc>
      </w:tr>
      <w:tr>
        <w:trPr>
          <w:trHeight w:val="221"/>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and administrative expenses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2013 and 2012, the total contributions we made to multiemployer pension plans were $58 million, $59 million and $40 million, respectively. In 2014, 2013 and 2012, the total contributions we made to multiemployer postretirement and other benefit plans were $125 million, $98 million and $114 million,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In 2014, 2013 and 2012, we recorded severance costs of $152 million, $160 million and $155 million,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 xml:space="preserve">In the aggregate, holders of our Class A common stock have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voting power of our common stock and holders of our Class B common stock have 33</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voting power of our common stock. Our Class A Special common stock is generally nonvoting. Each share of our Class B common stock is entitled to 15 votes. The number of votes held by each share of our Class A common stock depends on the number of shares of Class A and Class B common stock outstanding at any given time. The 33</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0C6DFF"/>
        </w:rPr>
        <w:t>Shares of 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A</w:t>
            </w:r>
          </w:p>
        </w:tc>
        <w:tc>
          <w:tcPr>
            <w:tcW w:w="8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color w:val="auto"/>
              </w:rPr>
              <w:t>A Special</w:t>
            </w:r>
          </w:p>
        </w:tc>
        <w:tc>
          <w:tcPr>
            <w:tcW w:w="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B</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34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2,095</w:t>
            </w:r>
          </w:p>
        </w:tc>
        <w:tc>
          <w:tcPr>
            <w:tcW w:w="820" w:type="dxa"/>
            <w:vAlign w:val="bottom"/>
          </w:tcPr>
          <w:p>
            <w:pPr>
              <w:jc w:val="right"/>
              <w:ind w:right="94"/>
              <w:spacing w:after="0" w:line="200" w:lineRule="exact"/>
              <w:rPr>
                <w:sz w:val="20"/>
                <w:szCs w:val="20"/>
                <w:color w:val="auto"/>
              </w:rPr>
            </w:pPr>
            <w:r>
              <w:rPr>
                <w:rFonts w:ascii="Arial" w:cs="Arial" w:eastAsia="Arial" w:hAnsi="Arial"/>
                <w:sz w:val="18"/>
                <w:szCs w:val="18"/>
                <w:color w:val="auto"/>
              </w:rPr>
              <w:t>601</w:t>
            </w:r>
          </w:p>
        </w:tc>
        <w:tc>
          <w:tcPr>
            <w:tcW w:w="3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w:t>
            </w: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(96)</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40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34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2,122</w:t>
            </w:r>
          </w:p>
        </w:tc>
        <w:tc>
          <w:tcPr>
            <w:tcW w:w="820" w:type="dxa"/>
            <w:vAlign w:val="bottom"/>
          </w:tcPr>
          <w:p>
            <w:pPr>
              <w:jc w:val="right"/>
              <w:ind w:right="94"/>
              <w:spacing w:after="0" w:line="200" w:lineRule="exact"/>
              <w:rPr>
                <w:sz w:val="20"/>
                <w:szCs w:val="20"/>
                <w:color w:val="auto"/>
              </w:rPr>
            </w:pPr>
            <w:r>
              <w:rPr>
                <w:rFonts w:ascii="Arial" w:cs="Arial" w:eastAsia="Arial" w:hAnsi="Arial"/>
                <w:sz w:val="18"/>
                <w:szCs w:val="18"/>
                <w:color w:val="auto"/>
              </w:rPr>
              <w:t>508</w:t>
            </w:r>
          </w:p>
        </w:tc>
        <w:tc>
          <w:tcPr>
            <w:tcW w:w="3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40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2</w:t>
            </w:r>
          </w:p>
        </w:tc>
        <w:tc>
          <w:tcPr>
            <w:tcW w:w="820" w:type="dxa"/>
            <w:vAlign w:val="bottom"/>
            <w:tcBorders>
              <w:bottom w:val="single" w:sz="8" w:color="auto"/>
            </w:tcBorders>
          </w:tcPr>
          <w:p>
            <w:pPr>
              <w:jc w:val="right"/>
              <w:ind w:right="94"/>
              <w:spacing w:after="0" w:line="200"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December 31, 2013</w:t>
            </w:r>
          </w:p>
        </w:tc>
        <w:tc>
          <w:tcPr>
            <w:tcW w:w="340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2,138</w:t>
            </w:r>
          </w:p>
        </w:tc>
        <w:tc>
          <w:tcPr>
            <w:tcW w:w="820" w:type="dxa"/>
            <w:vAlign w:val="bottom"/>
          </w:tcPr>
          <w:p>
            <w:pPr>
              <w:jc w:val="right"/>
              <w:ind w:right="94"/>
              <w:spacing w:after="0" w:line="177" w:lineRule="exact"/>
              <w:rPr>
                <w:sz w:val="20"/>
                <w:szCs w:val="20"/>
                <w:color w:val="auto"/>
              </w:rPr>
            </w:pPr>
            <w:r>
              <w:rPr>
                <w:rFonts w:ascii="Arial" w:cs="Arial" w:eastAsia="Arial" w:hAnsi="Arial"/>
                <w:sz w:val="18"/>
                <w:szCs w:val="18"/>
                <w:color w:val="auto"/>
              </w:rPr>
              <w:t>459</w:t>
            </w:r>
          </w:p>
        </w:tc>
        <w:tc>
          <w:tcPr>
            <w:tcW w:w="3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34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13</w:t>
            </w: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 common stock</w:t>
            </w:r>
          </w:p>
        </w:tc>
        <w:tc>
          <w:tcPr>
            <w:tcW w:w="3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(59)</w:t>
            </w:r>
          </w:p>
        </w:tc>
        <w:tc>
          <w:tcPr>
            <w:tcW w:w="3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Employee stock purchase plans</w:t>
            </w:r>
          </w:p>
        </w:tc>
        <w:tc>
          <w:tcPr>
            <w:tcW w:w="3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w:t>
            </w: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34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2,131</w:t>
            </w:r>
          </w:p>
        </w:tc>
        <w:tc>
          <w:tcPr>
            <w:tcW w:w="820" w:type="dxa"/>
            <w:vAlign w:val="bottom"/>
            <w:tcBorders>
              <w:bottom w:val="single" w:sz="8" w:color="0C6DFF"/>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400</w:t>
            </w:r>
          </w:p>
        </w:tc>
        <w:tc>
          <w:tcPr>
            <w:tcW w:w="3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jc w:val="both"/>
        <w:spacing w:after="0" w:line="239" w:lineRule="auto"/>
        <w:rPr>
          <w:sz w:val="20"/>
          <w:szCs w:val="20"/>
          <w:color w:val="auto"/>
        </w:rPr>
      </w:pPr>
      <w:r>
        <w:rPr>
          <w:rFonts w:ascii="Arial" w:cs="Arial" w:eastAsia="Arial" w:hAnsi="Arial"/>
          <w:sz w:val="18"/>
          <w:szCs w:val="18"/>
          <w:color w:val="auto"/>
        </w:rPr>
        <w:t>As of December 31, 2014, we had $3.25 billion of availability remaining under the $7.5 billion share repurchase authorization approved by our Board of Directors in 2014.</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February 2015, our Board of Directors increased our share repurchase program authorization to $10 billion, which does not have an expiration date. Under this authorization, we may repurchase shares in the open market or in private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6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2013</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2012</w:t>
            </w:r>
          </w:p>
        </w:tc>
      </w:tr>
      <w:tr>
        <w:trPr>
          <w:trHeight w:val="177"/>
        </w:trPr>
        <w:tc>
          <w:tcPr>
            <w:tcW w:w="4120" w:type="dxa"/>
            <w:vAlign w:val="bottom"/>
          </w:tcPr>
          <w:p>
            <w:pPr>
              <w:spacing w:after="0" w:line="177" w:lineRule="exact"/>
              <w:rPr>
                <w:sz w:val="20"/>
                <w:szCs w:val="20"/>
                <w:color w:val="auto"/>
              </w:rPr>
            </w:pPr>
            <w:r>
              <w:rPr>
                <w:rFonts w:ascii="Arial" w:cs="Arial" w:eastAsia="Arial" w:hAnsi="Arial"/>
                <w:sz w:val="18"/>
                <w:szCs w:val="18"/>
                <w:color w:val="auto"/>
              </w:rPr>
              <w:t>Cash consideration</w:t>
            </w:r>
          </w:p>
        </w:tc>
        <w:tc>
          <w:tcPr>
            <w:tcW w:w="5660" w:type="dxa"/>
            <w:vAlign w:val="bottom"/>
          </w:tcPr>
          <w:p>
            <w:pPr>
              <w:jc w:val="right"/>
              <w:ind w:right="42"/>
              <w:spacing w:after="0" w:line="177" w:lineRule="exact"/>
              <w:rPr>
                <w:sz w:val="20"/>
                <w:szCs w:val="20"/>
                <w:color w:val="auto"/>
              </w:rPr>
            </w:pPr>
            <w:r>
              <w:rPr>
                <w:rFonts w:ascii="Arial" w:cs="Arial" w:eastAsia="Arial" w:hAnsi="Arial"/>
                <w:sz w:val="18"/>
                <w:szCs w:val="18"/>
                <w:b w:val="1"/>
                <w:bCs w:val="1"/>
                <w:color w:val="auto"/>
              </w:rPr>
              <w:t>$ 4,251</w:t>
            </w:r>
          </w:p>
        </w:tc>
        <w:tc>
          <w:tcPr>
            <w:tcW w:w="820" w:type="dxa"/>
            <w:vAlign w:val="bottom"/>
          </w:tcPr>
          <w:p>
            <w:pPr>
              <w:jc w:val="right"/>
              <w:ind w:right="39"/>
              <w:spacing w:after="0" w:line="177" w:lineRule="exact"/>
              <w:rPr>
                <w:sz w:val="20"/>
                <w:szCs w:val="20"/>
                <w:color w:val="auto"/>
              </w:rPr>
            </w:pPr>
            <w:r>
              <w:rPr>
                <w:rFonts w:ascii="Arial" w:cs="Arial" w:eastAsia="Arial" w:hAnsi="Arial"/>
                <w:sz w:val="18"/>
                <w:szCs w:val="18"/>
                <w:color w:val="auto"/>
              </w:rPr>
              <w:t>$ 2,000</w:t>
            </w:r>
          </w:p>
        </w:tc>
        <w:tc>
          <w:tcPr>
            <w:tcW w:w="8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$ 3,000</w:t>
            </w:r>
          </w:p>
        </w:tc>
      </w:tr>
      <w:tr>
        <w:trPr>
          <w:trHeight w:val="22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566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81</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49</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96</w:t>
            </w:r>
          </w:p>
        </w:tc>
      </w:tr>
      <w:tr>
        <w:trPr>
          <w:trHeight w:val="506"/>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5660" w:type="dxa"/>
            <w:vAlign w:val="bottom"/>
          </w:tcPr>
          <w:p>
            <w:pPr>
              <w:jc w:val="right"/>
              <w:ind w:right="3882"/>
              <w:spacing w:after="0"/>
              <w:rPr>
                <w:sz w:val="20"/>
                <w:szCs w:val="20"/>
                <w:color w:val="auto"/>
              </w:rPr>
            </w:pPr>
            <w:r>
              <w:rPr>
                <w:rFonts w:ascii="Arial" w:cs="Arial" w:eastAsia="Arial" w:hAnsi="Arial"/>
                <w:sz w:val="14"/>
                <w:szCs w:val="14"/>
                <w:b w:val="1"/>
                <w:bCs w:val="1"/>
                <w:color w:val="auto"/>
              </w:rPr>
              <w:t>110</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Accumulated Other Comprehensive Income (Loss)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0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2014</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8020" w:type="dxa"/>
            <w:vAlign w:val="bottom"/>
          </w:tcPr>
          <w:p>
            <w:pPr>
              <w:spacing w:after="0" w:line="177" w:lineRule="exact"/>
              <w:rPr>
                <w:sz w:val="20"/>
                <w:szCs w:val="20"/>
                <w:color w:val="auto"/>
              </w:rPr>
            </w:pPr>
            <w:r>
              <w:rPr>
                <w:rFonts w:ascii="Arial" w:cs="Arial" w:eastAsia="Arial" w:hAnsi="Arial"/>
                <w:sz w:val="18"/>
                <w:szCs w:val="18"/>
                <w:color w:val="auto"/>
              </w:rPr>
              <w:t>Unrealized gains (losses) on marketable securities</w:t>
            </w:r>
          </w:p>
        </w:tc>
        <w:tc>
          <w:tcPr>
            <w:tcW w:w="2020" w:type="dxa"/>
            <w:vAlign w:val="bottom"/>
          </w:tcPr>
          <w:p>
            <w:pPr>
              <w:spacing w:after="0"/>
              <w:rPr>
                <w:sz w:val="15"/>
                <w:szCs w:val="15"/>
                <w:color w:val="auto"/>
              </w:rPr>
            </w:pPr>
          </w:p>
        </w:tc>
        <w:tc>
          <w:tcPr>
            <w:tcW w:w="26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1</w:t>
            </w:r>
          </w:p>
        </w:tc>
        <w:tc>
          <w:tcPr>
            <w:tcW w:w="66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$ 67</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71</w:t>
            </w:r>
          </w:p>
        </w:tc>
      </w:tr>
      <w:tr>
        <w:trPr>
          <w:trHeight w:val="221"/>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80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 net of deferred taxes</w:t>
            </w:r>
          </w:p>
        </w:tc>
        <w:tc>
          <w:tcPr>
            <w:tcW w:w="2020" w:type="dxa"/>
            <w:vAlign w:val="bottom"/>
            <w:tcBorders>
              <w:bottom w:val="single" w:sz="8" w:color="0C6DFF"/>
            </w:tcBorders>
          </w:tcPr>
          <w:p>
            <w:pPr>
              <w:spacing w:after="0"/>
              <w:rPr>
                <w:sz w:val="17"/>
                <w:szCs w:val="17"/>
                <w:color w:val="auto"/>
              </w:rPr>
            </w:pPr>
          </w:p>
        </w:tc>
        <w:tc>
          <w:tcPr>
            <w:tcW w:w="72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 (146)</w:t>
            </w:r>
          </w:p>
        </w:tc>
        <w:tc>
          <w:tcPr>
            <w:tcW w:w="66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$ 56</w:t>
            </w:r>
          </w:p>
        </w:tc>
      </w:tr>
      <w:tr>
        <w:trPr>
          <w:trHeight w:val="532"/>
        </w:trPr>
        <w:tc>
          <w:tcPr>
            <w:tcW w:w="8020" w:type="dxa"/>
            <w:vAlign w:val="bottom"/>
          </w:tcPr>
          <w:p>
            <w:pPr>
              <w:spacing w:after="0"/>
              <w:rPr>
                <w:sz w:val="20"/>
                <w:szCs w:val="20"/>
                <w:color w:val="auto"/>
              </w:rPr>
            </w:pPr>
            <w:r>
              <w:rPr>
                <w:rFonts w:ascii="Arial" w:cs="Arial" w:eastAsia="Arial" w:hAnsi="Arial"/>
                <w:sz w:val="18"/>
                <w:szCs w:val="18"/>
                <w:b w:val="1"/>
                <w:bCs w:val="1"/>
                <w:color w:val="0C6DFF"/>
              </w:rPr>
              <w:t>Note 14: Share-Based Compensation</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
        </w:trPr>
        <w:tc>
          <w:tcPr>
            <w:tcW w:w="8020" w:type="dxa"/>
            <w:vAlign w:val="bottom"/>
            <w:tcBorders>
              <w:bottom w:val="single" w:sz="8" w:color="0C6DFF"/>
            </w:tcBorders>
          </w:tcPr>
          <w:p>
            <w:pPr>
              <w:spacing w:after="0"/>
              <w:rPr>
                <w:sz w:val="3"/>
                <w:szCs w:val="3"/>
                <w:color w:val="auto"/>
              </w:rPr>
            </w:pPr>
          </w:p>
        </w:tc>
        <w:tc>
          <w:tcPr>
            <w:tcW w:w="2020" w:type="dxa"/>
            <w:vAlign w:val="bottom"/>
            <w:tcBorders>
              <w:bottom w:val="single" w:sz="8" w:color="0C6DFF"/>
            </w:tcBorders>
          </w:tcPr>
          <w:p>
            <w:pPr>
              <w:spacing w:after="0"/>
              <w:rPr>
                <w:sz w:val="3"/>
                <w:szCs w:val="3"/>
                <w:color w:val="auto"/>
              </w:rPr>
            </w:pPr>
          </w:p>
        </w:tc>
        <w:tc>
          <w:tcPr>
            <w:tcW w:w="260" w:type="dxa"/>
            <w:vAlign w:val="bottom"/>
            <w:tcBorders>
              <w:bottom w:val="single" w:sz="8" w:color="0C6DFF"/>
            </w:tcBorders>
          </w:tcPr>
          <w:p>
            <w:pPr>
              <w:spacing w:after="0"/>
              <w:rPr>
                <w:sz w:val="3"/>
                <w:szCs w:val="3"/>
                <w:color w:val="auto"/>
              </w:rPr>
            </w:pPr>
          </w:p>
        </w:tc>
        <w:tc>
          <w:tcPr>
            <w:tcW w:w="460" w:type="dxa"/>
            <w:vAlign w:val="bottom"/>
            <w:tcBorders>
              <w:bottom w:val="single" w:sz="8" w:color="0C6DFF"/>
            </w:tcBorders>
          </w:tcPr>
          <w:p>
            <w:pPr>
              <w:spacing w:after="0"/>
              <w:rPr>
                <w:sz w:val="3"/>
                <w:szCs w:val="3"/>
                <w:color w:val="auto"/>
              </w:rPr>
            </w:pPr>
          </w:p>
        </w:tc>
        <w:tc>
          <w:tcPr>
            <w:tcW w:w="660" w:type="dxa"/>
            <w:vAlign w:val="bottom"/>
            <w:tcBorders>
              <w:bottom w:val="single" w:sz="8" w:color="0C6DFF"/>
            </w:tcBorders>
          </w:tcPr>
          <w:p>
            <w:pPr>
              <w:spacing w:after="0"/>
              <w:rPr>
                <w:sz w:val="3"/>
                <w:szCs w:val="3"/>
                <w:color w:val="auto"/>
              </w:rPr>
            </w:pPr>
          </w:p>
        </w:tc>
      </w:tr>
      <w:tr>
        <w:trPr>
          <w:trHeight w:val="316"/>
        </w:trPr>
        <w:tc>
          <w:tcPr>
            <w:tcW w:w="8020" w:type="dxa"/>
            <w:vAlign w:val="bottom"/>
          </w:tcPr>
          <w:p>
            <w:pPr>
              <w:spacing w:after="0"/>
              <w:rPr>
                <w:sz w:val="20"/>
                <w:szCs w:val="20"/>
                <w:color w:val="auto"/>
              </w:rPr>
            </w:pPr>
            <w:r>
              <w:rPr>
                <w:rFonts w:ascii="Arial" w:cs="Arial" w:eastAsia="Arial" w:hAnsi="Arial"/>
                <w:sz w:val="18"/>
                <w:szCs w:val="18"/>
                <w:color w:val="auto"/>
              </w:rPr>
              <w:t>The tables below provide condensed information on our share-based compensation.</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5"/>
        </w:trPr>
        <w:tc>
          <w:tcPr>
            <w:tcW w:w="8020" w:type="dxa"/>
            <w:vAlign w:val="bottom"/>
          </w:tcPr>
          <w:p>
            <w:pPr>
              <w:spacing w:after="0"/>
              <w:rPr>
                <w:sz w:val="20"/>
                <w:szCs w:val="20"/>
                <w:color w:val="auto"/>
              </w:rPr>
            </w:pPr>
            <w:r>
              <w:rPr>
                <w:rFonts w:ascii="Arial" w:cs="Arial" w:eastAsia="Arial" w:hAnsi="Arial"/>
                <w:sz w:val="18"/>
                <w:szCs w:val="18"/>
                <w:color w:val="0C6DFF"/>
              </w:rPr>
              <w:t>Recognized Share-Based Compensation Expense</w:t>
            </w: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
        </w:trPr>
        <w:tc>
          <w:tcPr>
            <w:tcW w:w="80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42"/>
        </w:trPr>
        <w:tc>
          <w:tcPr>
            <w:tcW w:w="8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2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2013</w:t>
            </w:r>
          </w:p>
        </w:tc>
        <w:tc>
          <w:tcPr>
            <w:tcW w:w="6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2012</w:t>
            </w:r>
          </w:p>
        </w:tc>
      </w:tr>
      <w:tr>
        <w:trPr>
          <w:trHeight w:val="177"/>
        </w:trPr>
        <w:tc>
          <w:tcPr>
            <w:tcW w:w="802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20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$ 160</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line="177" w:lineRule="exact"/>
              <w:rPr>
                <w:sz w:val="20"/>
                <w:szCs w:val="20"/>
                <w:color w:val="auto"/>
              </w:rPr>
            </w:pPr>
            <w:r>
              <w:rPr>
                <w:rFonts w:ascii="Arial" w:cs="Arial" w:eastAsia="Arial" w:hAnsi="Arial"/>
                <w:sz w:val="18"/>
                <w:szCs w:val="18"/>
                <w:color w:val="auto"/>
              </w:rPr>
              <w:t>139</w:t>
            </w:r>
          </w:p>
        </w:tc>
        <w:tc>
          <w:tcPr>
            <w:tcW w:w="66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$ 131</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231</w:t>
            </w:r>
          </w:p>
        </w:tc>
        <w:tc>
          <w:tcPr>
            <w:tcW w:w="260" w:type="dxa"/>
            <w:vAlign w:val="bottom"/>
          </w:tcPr>
          <w:p>
            <w:pPr>
              <w:spacing w:after="0"/>
              <w:rPr>
                <w:sz w:val="17"/>
                <w:szCs w:val="17"/>
                <w:color w:val="auto"/>
              </w:rPr>
            </w:pPr>
          </w:p>
        </w:tc>
        <w:tc>
          <w:tcPr>
            <w:tcW w:w="4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175</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154</w:t>
            </w:r>
          </w:p>
        </w:tc>
      </w:tr>
      <w:tr>
        <w:trPr>
          <w:trHeight w:val="221"/>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r>
      <w:tr>
        <w:trPr>
          <w:trHeight w:val="196"/>
        </w:trPr>
        <w:tc>
          <w:tcPr>
            <w:tcW w:w="80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0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$ 414</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334</w:t>
            </w:r>
          </w:p>
        </w:tc>
        <w:tc>
          <w:tcPr>
            <w:tcW w:w="66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$ 301</w:t>
            </w: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2014, we had unrecognized pretax compensation expense of $321 million related to nonvested stock options and unrecognized pretax compensation expense of $505 million related to nonvested RSUs that will be recognized over a weighted-average period of approximately 1.8 years and 1.7 years, respectively. In 2014, 2013 and 2012, we recorded an increase to additional paid-in capital of $299 million, $244 million and $164 million, respectively, which was the result of a tax benefit associated with our share-based compensation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Stock Options and Restricted Share 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Borders>
              <w:top w:val="single" w:sz="8" w:color="auto"/>
            </w:tcBorders>
          </w:tcPr>
          <w:p>
            <w:pPr>
              <w:spacing w:after="0"/>
              <w:rPr>
                <w:sz w:val="14"/>
                <w:szCs w:val="14"/>
                <w:color w:val="auto"/>
              </w:rPr>
            </w:pPr>
          </w:p>
        </w:tc>
        <w:tc>
          <w:tcPr>
            <w:tcW w:w="308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color w:val="auto"/>
              </w:rPr>
              <w:t>Stock</w:t>
            </w:r>
          </w:p>
        </w:tc>
        <w:tc>
          <w:tcPr>
            <w:tcW w:w="880" w:type="dxa"/>
            <w:vAlign w:val="bottom"/>
            <w:tcBorders>
              <w:top w:val="single" w:sz="8" w:color="auto"/>
            </w:tcBorders>
          </w:tcPr>
          <w:p>
            <w:pPr>
              <w:spacing w:after="0"/>
              <w:rPr>
                <w:sz w:val="14"/>
                <w:szCs w:val="14"/>
                <w:color w:val="auto"/>
              </w:rPr>
            </w:pPr>
          </w:p>
        </w:tc>
      </w:tr>
      <w:tr>
        <w:trPr>
          <w:trHeight w:val="149"/>
        </w:trPr>
        <w:tc>
          <w:tcPr>
            <w:tcW w:w="74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2014, unless otherwise stated (in millions, except per share data)</w:t>
            </w:r>
          </w:p>
        </w:tc>
        <w:tc>
          <w:tcPr>
            <w:tcW w:w="3080" w:type="dxa"/>
            <w:vAlign w:val="bottom"/>
            <w:tcBorders>
              <w:bottom w:val="single" w:sz="8" w:color="auto"/>
            </w:tcBorders>
          </w:tcPr>
          <w:p>
            <w:pPr>
              <w:jc w:val="right"/>
              <w:ind w:right="59"/>
              <w:spacing w:after="0" w:line="149" w:lineRule="exact"/>
              <w:rPr>
                <w:sz w:val="20"/>
                <w:szCs w:val="20"/>
                <w:color w:val="auto"/>
              </w:rPr>
            </w:pPr>
            <w:r>
              <w:rPr>
                <w:rFonts w:ascii="Arial" w:cs="Arial" w:eastAsia="Arial" w:hAnsi="Arial"/>
                <w:sz w:val="14"/>
                <w:szCs w:val="14"/>
                <w:color w:val="auto"/>
              </w:rPr>
              <w:t>Options</w:t>
            </w:r>
          </w:p>
        </w:tc>
        <w:tc>
          <w:tcPr>
            <w:tcW w:w="88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RSUs</w:t>
            </w: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Awards granted during 2014</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16</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8</w:t>
            </w: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exercise price of awards granted during 2014</w:t>
            </w:r>
          </w:p>
        </w:tc>
        <w:tc>
          <w:tcPr>
            <w:tcW w:w="3080" w:type="dxa"/>
            <w:vAlign w:val="bottom"/>
            <w:tcBorders>
              <w:bottom w:val="single" w:sz="8" w:color="auto"/>
            </w:tcBorders>
          </w:tcPr>
          <w:p>
            <w:pPr>
              <w:jc w:val="right"/>
              <w:ind w:right="59"/>
              <w:spacing w:after="0" w:line="200" w:lineRule="exact"/>
              <w:rPr>
                <w:sz w:val="20"/>
                <w:szCs w:val="20"/>
                <w:color w:val="auto"/>
              </w:rPr>
            </w:pPr>
            <w:r>
              <w:rPr>
                <w:rFonts w:ascii="Arial" w:cs="Arial" w:eastAsia="Arial" w:hAnsi="Arial"/>
                <w:sz w:val="18"/>
                <w:szCs w:val="18"/>
                <w:color w:val="auto"/>
              </w:rPr>
              <w:t>$ 50.03</w:t>
            </w:r>
          </w:p>
        </w:tc>
        <w:tc>
          <w:tcPr>
            <w:tcW w:w="880" w:type="dxa"/>
            <w:vAlign w:val="bottom"/>
            <w:tcBorders>
              <w:bottom w:val="single" w:sz="8" w:color="auto"/>
            </w:tcBorders>
          </w:tcPr>
          <w:p>
            <w:pPr>
              <w:spacing w:after="0"/>
              <w:rPr>
                <w:sz w:val="17"/>
                <w:szCs w:val="17"/>
                <w:color w:val="auto"/>
              </w:rPr>
            </w:pPr>
          </w:p>
        </w:tc>
      </w:tr>
      <w:tr>
        <w:trPr>
          <w:trHeight w:val="199"/>
        </w:trPr>
        <w:tc>
          <w:tcPr>
            <w:tcW w:w="7460" w:type="dxa"/>
            <w:vAlign w:val="bottom"/>
          </w:tcPr>
          <w:p>
            <w:pPr>
              <w:spacing w:after="0" w:line="200" w:lineRule="exact"/>
              <w:rPr>
                <w:sz w:val="20"/>
                <w:szCs w:val="20"/>
                <w:color w:val="auto"/>
              </w:rPr>
            </w:pPr>
            <w:r>
              <w:rPr>
                <w:rFonts w:ascii="Arial" w:cs="Arial" w:eastAsia="Arial" w:hAnsi="Arial"/>
                <w:sz w:val="18"/>
                <w:szCs w:val="18"/>
                <w:color w:val="auto"/>
              </w:rPr>
              <w:t>Stock options outstanding and nonvested RSUs</w:t>
            </w:r>
          </w:p>
        </w:tc>
        <w:tc>
          <w:tcPr>
            <w:tcW w:w="3080" w:type="dxa"/>
            <w:vAlign w:val="bottom"/>
          </w:tcPr>
          <w:p>
            <w:pPr>
              <w:jc w:val="right"/>
              <w:ind w:right="59"/>
              <w:spacing w:after="0" w:line="200" w:lineRule="exact"/>
              <w:rPr>
                <w:sz w:val="20"/>
                <w:szCs w:val="20"/>
                <w:color w:val="auto"/>
              </w:rPr>
            </w:pPr>
            <w:r>
              <w:rPr>
                <w:rFonts w:ascii="Arial" w:cs="Arial" w:eastAsia="Arial" w:hAnsi="Arial"/>
                <w:sz w:val="18"/>
                <w:szCs w:val="18"/>
                <w:color w:val="auto"/>
              </w:rPr>
              <w:t>98</w:t>
            </w: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24</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stock options outstanding</w:t>
            </w:r>
          </w:p>
        </w:tc>
        <w:tc>
          <w:tcPr>
            <w:tcW w:w="30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$ 30.29</w:t>
            </w:r>
          </w:p>
        </w:tc>
        <w:tc>
          <w:tcPr>
            <w:tcW w:w="880" w:type="dxa"/>
            <w:vAlign w:val="bottom"/>
          </w:tcPr>
          <w:p>
            <w:pPr>
              <w:spacing w:after="0"/>
              <w:rPr>
                <w:sz w:val="17"/>
                <w:szCs w:val="17"/>
                <w:color w:val="auto"/>
              </w:rPr>
            </w:pPr>
          </w:p>
        </w:tc>
      </w:tr>
      <w:tr>
        <w:trPr>
          <w:trHeight w:val="199"/>
        </w:trPr>
        <w:tc>
          <w:tcPr>
            <w:tcW w:w="74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 of nonvested RSUs</w:t>
            </w:r>
          </w:p>
        </w:tc>
        <w:tc>
          <w:tcPr>
            <w:tcW w:w="3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$ 34.11</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2014, substantially all of our stock options outstanding were net settled stock options. Net settled stock options, as opposed to stock options exercised with a cash payment, result in fewer shares being issued and no cash proceeds being received by us when the options are exercised. Our share-based compensation primarily consists of awards of stock options and RSUs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Comcast Class A common stock at a discount through payroll deductions.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We use the Black-Scholes option pricing model to estimate the fair value of stock option awards. RSUs are valued based on the</w:t>
      </w:r>
    </w:p>
    <w:p>
      <w:pPr>
        <w:spacing w:after="0" w:line="323"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111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closing price of our Class A common stock on the date of grant and are discounted for the lack of dividends, if any, during the vesting period. The table below presents the weighted-average fair value on the date of grant of RSUs and Class A common stock options awarded under our various plans and the related weighted-average valuation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3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580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3860" w:type="dxa"/>
            <w:vAlign w:val="bottom"/>
          </w:tcPr>
          <w:p>
            <w:pPr>
              <w:jc w:val="right"/>
              <w:ind w:right="235"/>
              <w:spacing w:after="0" w:line="177" w:lineRule="exact"/>
              <w:rPr>
                <w:sz w:val="20"/>
                <w:szCs w:val="20"/>
                <w:color w:val="auto"/>
              </w:rPr>
            </w:pPr>
            <w:r>
              <w:rPr>
                <w:rFonts w:ascii="Arial" w:cs="Arial" w:eastAsia="Arial" w:hAnsi="Arial"/>
                <w:sz w:val="18"/>
                <w:szCs w:val="18"/>
                <w:b w:val="1"/>
                <w:bCs w:val="1"/>
                <w:color w:val="auto"/>
              </w:rPr>
              <w:t>$ 47.91</w:t>
            </w:r>
          </w:p>
        </w:tc>
        <w:tc>
          <w:tcPr>
            <w:tcW w:w="920" w:type="dxa"/>
            <w:vAlign w:val="bottom"/>
            <w:gridSpan w:val="2"/>
          </w:tcPr>
          <w:p>
            <w:pPr>
              <w:jc w:val="right"/>
              <w:ind w:right="215"/>
              <w:spacing w:after="0" w:line="177" w:lineRule="exact"/>
              <w:rPr>
                <w:sz w:val="20"/>
                <w:szCs w:val="20"/>
                <w:color w:val="auto"/>
              </w:rPr>
            </w:pPr>
            <w:r>
              <w:rPr>
                <w:rFonts w:ascii="Arial" w:cs="Arial" w:eastAsia="Arial" w:hAnsi="Arial"/>
                <w:sz w:val="18"/>
                <w:szCs w:val="18"/>
                <w:color w:val="auto"/>
                <w:w w:val="99"/>
              </w:rPr>
              <w:t>$ 38.28</w:t>
            </w:r>
          </w:p>
        </w:tc>
        <w:tc>
          <w:tcPr>
            <w:tcW w:w="840" w:type="dxa"/>
            <w:vAlign w:val="bottom"/>
          </w:tcPr>
          <w:p>
            <w:pPr>
              <w:jc w:val="right"/>
              <w:ind w:right="135"/>
              <w:spacing w:after="0" w:line="177" w:lineRule="exact"/>
              <w:rPr>
                <w:sz w:val="20"/>
                <w:szCs w:val="20"/>
                <w:color w:val="auto"/>
              </w:rPr>
            </w:pPr>
            <w:r>
              <w:rPr>
                <w:rFonts w:ascii="Arial" w:cs="Arial" w:eastAsia="Arial" w:hAnsi="Arial"/>
                <w:sz w:val="18"/>
                <w:szCs w:val="18"/>
                <w:color w:val="auto"/>
                <w:w w:val="99"/>
              </w:rPr>
              <w:t>$ 27.80</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3860" w:type="dxa"/>
            <w:vAlign w:val="bottom"/>
          </w:tcPr>
          <w:p>
            <w:pPr>
              <w:jc w:val="right"/>
              <w:ind w:right="235"/>
              <w:spacing w:after="0"/>
              <w:rPr>
                <w:sz w:val="20"/>
                <w:szCs w:val="20"/>
                <w:color w:val="auto"/>
              </w:rPr>
            </w:pPr>
            <w:r>
              <w:rPr>
                <w:rFonts w:ascii="Arial" w:cs="Arial" w:eastAsia="Arial" w:hAnsi="Arial"/>
                <w:sz w:val="18"/>
                <w:szCs w:val="18"/>
                <w:b w:val="1"/>
                <w:bCs w:val="1"/>
                <w:color w:val="auto"/>
              </w:rPr>
              <w:t>$ 11.11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15"/>
              <w:spacing w:after="0"/>
              <w:rPr>
                <w:sz w:val="20"/>
                <w:szCs w:val="20"/>
                <w:color w:val="auto"/>
              </w:rPr>
            </w:pPr>
            <w:r>
              <w:rPr>
                <w:rFonts w:ascii="Arial" w:cs="Arial" w:eastAsia="Arial" w:hAnsi="Arial"/>
                <w:sz w:val="18"/>
                <w:szCs w:val="18"/>
                <w:color w:val="auto"/>
              </w:rPr>
              <w:t>8.80</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  7.38</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386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3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5"/>
              <w:spacing w:after="0" w:line="181" w:lineRule="exact"/>
              <w:rPr>
                <w:sz w:val="20"/>
                <w:szCs w:val="20"/>
                <w:color w:val="auto"/>
              </w:rPr>
            </w:pPr>
            <w:r>
              <w:rPr>
                <w:rFonts w:ascii="Arial" w:cs="Arial" w:eastAsia="Arial" w:hAnsi="Arial"/>
                <w:sz w:val="18"/>
                <w:szCs w:val="18"/>
                <w:color w:val="auto"/>
              </w:rPr>
              <w:t>1.9%</w:t>
            </w:r>
          </w:p>
        </w:tc>
        <w:tc>
          <w:tcPr>
            <w:tcW w:w="840" w:type="dxa"/>
            <w:vAlign w:val="bottom"/>
          </w:tcPr>
          <w:p>
            <w:pPr>
              <w:jc w:val="right"/>
              <w:spacing w:after="0" w:line="181"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38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24.0%</w:t>
            </w:r>
          </w:p>
        </w:tc>
        <w:tc>
          <w:tcPr>
            <w:tcW w:w="160" w:type="dxa"/>
            <w:vAlign w:val="bottom"/>
          </w:tcPr>
          <w:p>
            <w:pPr>
              <w:spacing w:after="0"/>
              <w:rPr>
                <w:sz w:val="17"/>
                <w:szCs w:val="17"/>
                <w:color w:val="auto"/>
              </w:rPr>
            </w:pPr>
          </w:p>
        </w:tc>
        <w:tc>
          <w:tcPr>
            <w:tcW w:w="7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25.0%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3860" w:type="dxa"/>
            <w:vAlign w:val="bottom"/>
          </w:tcPr>
          <w:p>
            <w:pPr>
              <w:jc w:val="right"/>
              <w:ind w:right="75"/>
              <w:spacing w:after="0" w:line="202" w:lineRule="exact"/>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7"/>
                <w:szCs w:val="17"/>
                <w:color w:val="auto"/>
              </w:rPr>
            </w:pPr>
          </w:p>
        </w:tc>
        <w:tc>
          <w:tcPr>
            <w:tcW w:w="7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38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6.5</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7.0</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32"/>
        </w:trPr>
        <w:tc>
          <w:tcPr>
            <w:tcW w:w="5800" w:type="dxa"/>
            <w:vAlign w:val="bottom"/>
          </w:tcPr>
          <w:p>
            <w:pPr>
              <w:spacing w:after="0"/>
              <w:rPr>
                <w:sz w:val="20"/>
                <w:szCs w:val="20"/>
                <w:color w:val="auto"/>
              </w:rPr>
            </w:pPr>
            <w:r>
              <w:rPr>
                <w:rFonts w:ascii="Arial" w:cs="Arial" w:eastAsia="Arial" w:hAnsi="Arial"/>
                <w:sz w:val="18"/>
                <w:szCs w:val="18"/>
                <w:b w:val="1"/>
                <w:bCs w:val="1"/>
                <w:color w:val="0C6DFF"/>
              </w:rPr>
              <w:t>Note 15: Income Taxes</w:t>
            </w: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800" w:type="dxa"/>
            <w:vAlign w:val="bottom"/>
            <w:tcBorders>
              <w:bottom w:val="single" w:sz="8" w:color="0C6DFF"/>
            </w:tcBorders>
          </w:tcPr>
          <w:p>
            <w:pPr>
              <w:spacing w:after="0"/>
              <w:rPr>
                <w:sz w:val="3"/>
                <w:szCs w:val="3"/>
                <w:color w:val="auto"/>
              </w:rPr>
            </w:pPr>
          </w:p>
        </w:tc>
        <w:tc>
          <w:tcPr>
            <w:tcW w:w="3860" w:type="dxa"/>
            <w:vAlign w:val="bottom"/>
            <w:tcBorders>
              <w:bottom w:val="single" w:sz="8" w:color="0C6DFF"/>
            </w:tcBorders>
          </w:tcPr>
          <w:p>
            <w:pPr>
              <w:spacing w:after="0"/>
              <w:rPr>
                <w:sz w:val="3"/>
                <w:szCs w:val="3"/>
                <w:color w:val="auto"/>
              </w:rPr>
            </w:pPr>
          </w:p>
        </w:tc>
        <w:tc>
          <w:tcPr>
            <w:tcW w:w="160" w:type="dxa"/>
            <w:vAlign w:val="bottom"/>
            <w:tcBorders>
              <w:bottom w:val="single" w:sz="8" w:color="0C6DFF"/>
            </w:tcBorders>
          </w:tcPr>
          <w:p>
            <w:pPr>
              <w:spacing w:after="0"/>
              <w:rPr>
                <w:sz w:val="3"/>
                <w:szCs w:val="3"/>
                <w:color w:val="auto"/>
              </w:rPr>
            </w:pPr>
          </w:p>
        </w:tc>
        <w:tc>
          <w:tcPr>
            <w:tcW w:w="760" w:type="dxa"/>
            <w:vAlign w:val="bottom"/>
            <w:tcBorders>
              <w:bottom w:val="single" w:sz="8" w:color="0C6DFF"/>
            </w:tcBorders>
          </w:tcPr>
          <w:p>
            <w:pPr>
              <w:spacing w:after="0"/>
              <w:rPr>
                <w:sz w:val="3"/>
                <w:szCs w:val="3"/>
                <w:color w:val="auto"/>
              </w:rPr>
            </w:pPr>
          </w:p>
        </w:tc>
        <w:tc>
          <w:tcPr>
            <w:tcW w:w="840" w:type="dxa"/>
            <w:vAlign w:val="bottom"/>
            <w:tcBorders>
              <w:bottom w:val="single" w:sz="8" w:color="0C6DFF"/>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color w:val="0C6DFF"/>
              </w:rPr>
              <w:t>Components of Income Tax Expense</w:t>
            </w: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80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3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580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3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$ 2,392</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3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5"/>
              <w:spacing w:after="0" w:line="181" w:lineRule="exact"/>
              <w:rPr>
                <w:sz w:val="20"/>
                <w:szCs w:val="20"/>
                <w:color w:val="auto"/>
              </w:rPr>
            </w:pPr>
            <w:r>
              <w:rPr>
                <w:rFonts w:ascii="Arial" w:cs="Arial" w:eastAsia="Arial" w:hAnsi="Arial"/>
                <w:sz w:val="18"/>
                <w:szCs w:val="18"/>
                <w:color w:val="auto"/>
              </w:rPr>
              <w:t>$ 3,183</w:t>
            </w:r>
          </w:p>
        </w:tc>
        <w:tc>
          <w:tcPr>
            <w:tcW w:w="8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$ 3,004</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174</w:t>
            </w:r>
          </w:p>
        </w:tc>
        <w:tc>
          <w:tcPr>
            <w:tcW w:w="16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581</w:t>
            </w:r>
          </w:p>
        </w:tc>
        <w:tc>
          <w:tcPr>
            <w:tcW w:w="8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200</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2,708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3,964</w:t>
            </w:r>
          </w:p>
        </w:tc>
        <w:tc>
          <w:tcPr>
            <w:tcW w:w="8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199"/>
        </w:trPr>
        <w:tc>
          <w:tcPr>
            <w:tcW w:w="580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3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3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(76)</w:t>
            </w:r>
          </w:p>
        </w:tc>
        <w:tc>
          <w:tcPr>
            <w:tcW w:w="8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w:t>
            </w:r>
          </w:p>
        </w:tc>
        <w:tc>
          <w:tcPr>
            <w:tcW w:w="160" w:type="dxa"/>
            <w:vAlign w:val="bottom"/>
          </w:tcPr>
          <w:p>
            <w:pPr>
              <w:spacing w:after="0"/>
              <w:rPr>
                <w:sz w:val="17"/>
                <w:szCs w:val="17"/>
                <w:color w:val="auto"/>
              </w:rPr>
            </w:pPr>
          </w:p>
        </w:tc>
        <w:tc>
          <w:tcPr>
            <w:tcW w:w="7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4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1,165</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jc w:val="right"/>
              <w:ind w:right="15"/>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3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$ 3,873</w:t>
            </w:r>
          </w:p>
        </w:tc>
        <w:tc>
          <w:tcPr>
            <w:tcW w:w="160" w:type="dxa"/>
            <w:vAlign w:val="bottom"/>
            <w:tcBorders>
              <w:bottom w:val="single" w:sz="8" w:color="0C6DFF"/>
            </w:tcBorders>
          </w:tcPr>
          <w:p>
            <w:pPr>
              <w:spacing w:after="0"/>
              <w:rPr>
                <w:sz w:val="17"/>
                <w:szCs w:val="17"/>
                <w:color w:val="auto"/>
              </w:rPr>
            </w:pPr>
          </w:p>
        </w:tc>
        <w:tc>
          <w:tcPr>
            <w:tcW w:w="7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$ 3,980</w:t>
            </w:r>
          </w:p>
        </w:tc>
        <w:tc>
          <w:tcPr>
            <w:tcW w:w="8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$ 3,744</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r>
      <w:tr>
        <w:trPr>
          <w:trHeight w:val="177"/>
        </w:trPr>
        <w:tc>
          <w:tcPr>
            <w:tcW w:w="7220" w:type="dxa"/>
            <w:vAlign w:val="bottom"/>
          </w:tcPr>
          <w:p>
            <w:pPr>
              <w:spacing w:after="0" w:line="177" w:lineRule="exact"/>
              <w:rPr>
                <w:sz w:val="20"/>
                <w:szCs w:val="20"/>
                <w:color w:val="auto"/>
              </w:rPr>
            </w:pPr>
            <w:r>
              <w:rPr>
                <w:rFonts w:ascii="Arial" w:cs="Arial" w:eastAsia="Arial" w:hAnsi="Arial"/>
                <w:sz w:val="18"/>
                <w:szCs w:val="18"/>
                <w:color w:val="auto"/>
              </w:rPr>
              <w:t>Federal tax at statutory rate</w:t>
            </w:r>
          </w:p>
        </w:tc>
        <w:tc>
          <w:tcPr>
            <w:tcW w:w="25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$ 4,363</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$ 3,890</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$ 4,063</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329</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178</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credit</w:t>
            </w:r>
          </w:p>
        </w:tc>
        <w:tc>
          <w:tcPr>
            <w:tcW w:w="25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92</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Nontaxable income attributable to noncontrolling interests</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Adjustments to uncertain and effectively settled tax positions, net</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114</w:t>
            </w: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Accrued interest on uncertain and effectively settled tax positions, net</w:t>
            </w:r>
          </w:p>
        </w:tc>
        <w:tc>
          <w:tcPr>
            <w:tcW w:w="2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(235)</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w:t>
            </w:r>
          </w:p>
        </w:tc>
      </w:tr>
      <w:tr>
        <w:trPr>
          <w:trHeight w:val="221"/>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196"/>
        </w:trPr>
        <w:tc>
          <w:tcPr>
            <w:tcW w:w="7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5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$ 3,873</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$ 3,980</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$ 3,744</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 consequences that arise in connection with a business combination include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taxing authorities. The effects of these adjustments are recorded to income tax expense.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certain financing transactions, and the allocation of income among state and local taxing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consolidated financial statements. We classify interest and penalties, if any, associated with our uncertain tax positions as a component of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U.S. federal income tax purposes, NBCUniversal Holdings is treated as a partnership and NBCUniversal is disregarded as an entity separate from NBCUniversal Holdings. Accordingly, neither NBCUniversal Holdings nor NBCUniversal and its subsidiaries incur any material current or deferred domestic income taxes. Following the close of the NBCUniversal redemption transaction in March 2013, the taxable income of NBCUniversal Holdings and NBCUniversal is allocable entirely to us.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indemnified by GE for any income tax liability attributable to the NBCUniversal contributed businesses for periods prior to the close of the NBCUniversal transaction and also for any income tax liability attributable to NBCUniversal Enterprise for periods prior to the date of the NBCUniversal redemption transaction. We have indemnified GE for any income tax liability attributable to the businesses we contributed to NBCUniversal for periods prior to the close of the NBCUniversal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 and deferred foreign income taxes are incurred by NBCUniversal’s foreign subsidiaries. In 2014, 2013 and 2012, NBCUniversal had foreign income before taxes of $385 million, $524 million and $434 million, respectively, on which foreign income tax expense was recorded. We recorded U.S. income tax expense on our allocable share of NBCUniversal’s income before domestic and foreign taxes, which was reduced by a U.S. tax credit equal to our allocable share of NBCUniversal’s foreign income tax expense.</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113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0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870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448</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00" w:type="dxa"/>
            <w:vAlign w:val="bottom"/>
          </w:tcPr>
          <w:p>
            <w:pPr>
              <w:ind w:left="220"/>
              <w:spacing w:after="0" w:line="181" w:lineRule="exact"/>
              <w:rPr>
                <w:sz w:val="20"/>
                <w:szCs w:val="20"/>
                <w:color w:val="auto"/>
              </w:rPr>
            </w:pPr>
            <w:r>
              <w:rPr>
                <w:rFonts w:ascii="Arial" w:cs="Arial" w:eastAsia="Arial" w:hAnsi="Arial"/>
                <w:sz w:val="18"/>
                <w:szCs w:val="18"/>
                <w:color w:val="auto"/>
              </w:rPr>
              <w:t>Net operating loss carryforwards</w:t>
            </w:r>
          </w:p>
        </w:tc>
        <w:tc>
          <w:tcPr>
            <w:tcW w:w="10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870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long-term debt</w:t>
            </w: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116</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8700" w:type="dxa"/>
            <w:vAlign w:val="bottom"/>
          </w:tcPr>
          <w:p>
            <w:pPr>
              <w:ind w:left="220"/>
              <w:spacing w:after="0" w:line="202" w:lineRule="exact"/>
              <w:rPr>
                <w:sz w:val="20"/>
                <w:szCs w:val="20"/>
                <w:color w:val="auto"/>
              </w:rPr>
            </w:pPr>
            <w:r>
              <w:rPr>
                <w:rFonts w:ascii="Arial" w:cs="Arial" w:eastAsia="Arial" w:hAnsi="Arial"/>
                <w:sz w:val="18"/>
                <w:szCs w:val="18"/>
                <w:color w:val="auto"/>
              </w:rPr>
              <w:t>Nondeductible accruals and other</w:t>
            </w: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3,383</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Valuation allowance</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375</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3,572</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199"/>
        </w:trPr>
        <w:tc>
          <w:tcPr>
            <w:tcW w:w="870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17"/>
                <w:szCs w:val="17"/>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35,112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00" w:type="dxa"/>
            <w:vAlign w:val="bottom"/>
          </w:tcPr>
          <w:p>
            <w:pPr>
              <w:ind w:left="220"/>
              <w:spacing w:after="0" w:line="181"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0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34,044</w:t>
            </w:r>
          </w:p>
        </w:tc>
        <w:tc>
          <w:tcPr>
            <w:tcW w:w="0" w:type="dxa"/>
            <w:vAlign w:val="bottom"/>
          </w:tcPr>
          <w:p>
            <w:pPr>
              <w:spacing w:after="0"/>
              <w:rPr>
                <w:sz w:val="1"/>
                <w:szCs w:val="1"/>
                <w:color w:val="auto"/>
              </w:rPr>
            </w:pPr>
          </w:p>
        </w:tc>
      </w:tr>
      <w:tr>
        <w:trPr>
          <w:trHeight w:val="203"/>
        </w:trPr>
        <w:tc>
          <w:tcPr>
            <w:tcW w:w="870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186</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870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indexed debt securities</w:t>
            </w:r>
          </w:p>
        </w:tc>
        <w:tc>
          <w:tcPr>
            <w:tcW w:w="102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534</w:t>
            </w:r>
          </w:p>
        </w:tc>
        <w:tc>
          <w:tcPr>
            <w:tcW w:w="28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Differences between book and tax basis of foreign subsidiaries and undistributed foreign earnings</w:t>
            </w:r>
          </w:p>
        </w:tc>
        <w:tc>
          <w:tcPr>
            <w:tcW w:w="10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504</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36,336</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35,494</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10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32,764</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31,699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Changes in net deferred income tax liabilities in 2014 that were not recorded as deferred income tax expense are primarily related to decreases of $127 million associated with items included in other comprehensive income (loss) and increases of $26 million related to acquisitions made in 2014. Our net deferred tax liability includes $23 billion related to cable franchise rights that will remain unchanged unless we recognize an impairment or dispose of a cable franchise. Following the NBCUniversal redemption transaction, we recognized an increase in our deferred tax liabilities of $1.6 billion primarily due to an increase in our financial reporting basis in the consolidated net assets of NBCUniversal Holdings in excess of the tax basis.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Net deferred tax assets included in other current assets are primarily related to our current investments and current liabilities. As of December 31, 2014, we had federal net operating loss carryforwards of $127 million and various state net operating loss carryforwards that expire in periods through 2034. As of December 31, 2014, we also had foreign net operating loss carryforwards of $331 million that are related to the foreign operations of NBCUniversal, the majority of which expire in periods through 2024. The determination of the realization of the state and foreign net operating loss carryforwards is dependent on our subsidiaries’ taxable income or loss, apportionment percentages, and state and foreign laws that can change from year to year and impact the amount of such carryforwards. We recognize a valuation allowance if we determine it is more likely than not that some portion, or all, of a deferred tax asset will not be realized. As of December 31, 2014 and 2013, our valuation allowance was primarily related to state and foreign net operating loss carryforwards.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2014 totaled $1.2 billion, which excludes the federal benefits on state tax positions that were recorded as deferred income taxes. Included in our uncertain tax positions was $243 million related to tax positions of NBCUniversal and NBCUniversal Enterprise for which we have been indemnified by GE. If we were to recognize the tax benefit for our uncertain tax positions in the future, $603 million would impact our effective tax rate and the remaining amount would increase our deferred income tax liability. The amount and timing of the recognition of any such tax benefit is dependent on the completion of examinations of our tax filings and the expiration of statutes of limitations. In September 2014, we reduced our accruals for uncertain tax positions and the related accrued interest on these tax positions. The reduction resulted in a decrease of $724 million in income tax expense, which excludes the benefits of uncertain tax positions for which we have been indemnified.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2013</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2012</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January 1</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$ 1,701</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$ 1,573</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$ 1,435</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63</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90</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prior years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111</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from acquired subsidiaries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268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statutes of limitations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(448)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taxing authorities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$ 1,171</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$ 1,701</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$ 1,573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and 2013, our accrued interest associated with tax positions was $452 million and $780 million, respectively. As of December 31, 2014 and 2013, $44 million and $42 million, respectively, of these amounts were related to tax positions of NBCUniversal and NBCUniversal Enterprise for which we have been indemnified by GE.</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2014, the IRS completed its examination of our income tax returns for the year 2012. Various states are examining our tax returns through 2011. The tax years of our state tax returns currently under examination vary by state, with most periods relating to tax years 2000 and forward.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692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2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$ 6,885</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$ 6,972</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359</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375</w:t>
            </w: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205</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221</w:t>
            </w:r>
          </w:p>
        </w:tc>
      </w:tr>
      <w:tr>
        <w:trPr>
          <w:trHeight w:val="196"/>
        </w:trPr>
        <w:tc>
          <w:tcPr>
            <w:tcW w:w="6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$ 6,321</w:t>
            </w:r>
          </w:p>
        </w:tc>
        <w:tc>
          <w:tcPr>
            <w:tcW w:w="8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$ 6,376</w:t>
            </w:r>
          </w:p>
        </w:tc>
      </w:tr>
    </w:tbl>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amounts in the table above, noncurrent receivables of $569 million and $488 million as of December 31, 2014 and 2013,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2013</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2012</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4120" w:type="dxa"/>
            <w:vAlign w:val="bottom"/>
          </w:tcPr>
          <w:p>
            <w:pPr>
              <w:jc w:val="right"/>
              <w:ind w:right="39"/>
              <w:spacing w:after="0" w:line="177" w:lineRule="exact"/>
              <w:rPr>
                <w:sz w:val="20"/>
                <w:szCs w:val="20"/>
                <w:color w:val="auto"/>
              </w:rPr>
            </w:pPr>
            <w:r>
              <w:rPr>
                <w:rFonts w:ascii="Arial" w:cs="Arial" w:eastAsia="Arial" w:hAnsi="Arial"/>
                <w:sz w:val="18"/>
                <w:szCs w:val="18"/>
                <w:b w:val="1"/>
                <w:bCs w:val="1"/>
                <w:color w:val="auto"/>
              </w:rPr>
              <w:t>$ 2,389</w:t>
            </w:r>
          </w:p>
        </w:tc>
        <w:tc>
          <w:tcPr>
            <w:tcW w:w="820" w:type="dxa"/>
            <w:vAlign w:val="bottom"/>
          </w:tcPr>
          <w:p>
            <w:pPr>
              <w:jc w:val="right"/>
              <w:ind w:right="39"/>
              <w:spacing w:after="0" w:line="177" w:lineRule="exact"/>
              <w:rPr>
                <w:sz w:val="20"/>
                <w:szCs w:val="20"/>
                <w:color w:val="auto"/>
              </w:rPr>
            </w:pPr>
            <w:r>
              <w:rPr>
                <w:rFonts w:ascii="Arial" w:cs="Arial" w:eastAsia="Arial" w:hAnsi="Arial"/>
                <w:sz w:val="18"/>
                <w:szCs w:val="18"/>
                <w:color w:val="auto"/>
              </w:rPr>
              <w:t>$ 2,355</w:t>
            </w:r>
          </w:p>
        </w:tc>
        <w:tc>
          <w:tcPr>
            <w:tcW w:w="820" w:type="dxa"/>
            <w:vAlign w:val="bottom"/>
          </w:tcPr>
          <w:p>
            <w:pPr>
              <w:jc w:val="right"/>
              <w:ind w:right="19"/>
              <w:spacing w:after="0" w:line="177" w:lineRule="exact"/>
              <w:rPr>
                <w:sz w:val="20"/>
                <w:szCs w:val="20"/>
                <w:color w:val="auto"/>
              </w:rPr>
            </w:pPr>
            <w:r>
              <w:rPr>
                <w:rFonts w:ascii="Arial" w:cs="Arial" w:eastAsia="Arial" w:hAnsi="Arial"/>
                <w:sz w:val="18"/>
                <w:szCs w:val="18"/>
                <w:color w:val="auto"/>
              </w:rPr>
              <w:t>$ 2,314</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4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$ 3,668</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$ 3,946</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$ 2,841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2014:</w:t>
      </w:r>
    </w:p>
    <w:p>
      <w:pPr>
        <w:spacing w:after="0" w:line="117" w:lineRule="exact"/>
        <w:rPr>
          <w:sz w:val="20"/>
          <w:szCs w:val="20"/>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$797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liability of $572 million for a quarterly cash dividend of $0.225 per common share paid in January 2015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used $3.2 billion of equity securities to settle a portion of our obligations under prepaid forward sale agreements</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115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117" w:lineRule="exact"/>
        <w:rPr>
          <w:sz w:val="20"/>
          <w:szCs w:val="20"/>
          <w:color w:val="auto"/>
        </w:rPr>
      </w:pPr>
    </w:p>
    <w:p>
      <w:pPr>
        <w:jc w:val="both"/>
        <w:ind w:left="1020" w:right="1240" w:hanging="215"/>
        <w:spacing w:after="0" w:line="23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GE’s 49% common equity interest in NBCUniversal Holdings that we did not already own for total consideration of $16.7 billion, which included noncash consideration of $6 billion that was comprised of $4 billion aggregate principal amount of senior notes issued by NBCUniversal Enterprise, $1.25 billion of borrowings under NBCUniversal Enterprise’s credit facility and $725 million aggregate liquidation preference of NBCUniversal Enterprise Series A cumulative preferred stock (see Note 5 for additional information on the NBCUniversal redemption transaction)</w:t>
      </w:r>
    </w:p>
    <w:p>
      <w:pPr>
        <w:spacing w:after="0" w:line="115" w:lineRule="exact"/>
        <w:rPr>
          <w:rFonts w:ascii="Arial" w:cs="Arial" w:eastAsia="Arial" w:hAnsi="Arial"/>
          <w:sz w:val="18"/>
          <w:szCs w:val="18"/>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$872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of $509 million for a quarterly cash dividend of $0.195 per common share paid in January 2014</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used $1.4 billion of equity securities to settle a portion of our obligations under prepaid forward sale agreements</w:t>
      </w:r>
    </w:p>
    <w:p>
      <w:pPr>
        <w:spacing w:after="0" w:line="117"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closed a transaction with Liberty Media that included, among other things, the delivery of Liberty Media shares owned by us in exchange for Liberty Media’s interests in one of NBCUniversal’s contractual obligations (see Note 7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98" w:lineRule="exact"/>
        <w:rPr>
          <w:sz w:val="20"/>
          <w:szCs w:val="20"/>
          <w:color w:val="auto"/>
        </w:rPr>
      </w:pPr>
    </w:p>
    <w:p>
      <w:pPr>
        <w:ind w:left="1020" w:hanging="215"/>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$757 million of property and equipment and intangible assets that were accrued but unpaid</w:t>
      </w:r>
    </w:p>
    <w:p>
      <w:pPr>
        <w:spacing w:after="0" w:line="198"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recorded a liability of $430 million for a quarterly cash dividend of $0.1625 per common share paid in January 2013</w:t>
      </w:r>
    </w:p>
    <w:p>
      <w:pPr>
        <w:spacing w:after="0" w:line="195"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NBCUniversal entered into a capital lease transaction that resulted in an increase in property and equipment and debt of $85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creative talent and employment agreements, and various other television-related commitments. Many of NBCUniversal’s employees, including writers, directors, actors, technical and production personnel, and others, as well as some of its on-air and creative talent, are covered by collective bargaining agreements or works councils. As of December 31, 2014, the total number of NBCUniversal full-time, part-time and hourly employees on its payroll covered by collective bargaining agreements was 7,400 full-time equivalent employees. Of this total, approximately 30% of these full-time equivalent employees were covered by collective bargaining agreements that have expired or are scheduled to expire during 2015.</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through Comcast-Spectacor,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television rights to the Olympic Games through 2032,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and other programming commitments, as well as various contracts with creative talent and employment agreements.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right"/>
              <w:ind w:right="75"/>
              <w:spacing w:after="0"/>
              <w:rPr>
                <w:sz w:val="20"/>
                <w:szCs w:val="20"/>
                <w:color w:val="auto"/>
              </w:rPr>
            </w:pPr>
            <w:r>
              <w:rPr>
                <w:rFonts w:ascii="Arial" w:cs="Arial" w:eastAsia="Arial" w:hAnsi="Arial"/>
                <w:sz w:val="14"/>
                <w:szCs w:val="14"/>
                <w:color w:val="auto"/>
                <w:w w:val="97"/>
              </w:rPr>
              <w:t>Programming and</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Operating</w:t>
            </w:r>
          </w:p>
        </w:tc>
      </w:tr>
      <w:tr>
        <w:trPr>
          <w:trHeight w:val="149"/>
        </w:trPr>
        <w:tc>
          <w:tcPr>
            <w:tcW w:w="57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2014 (in millions)</w:t>
            </w:r>
          </w:p>
        </w:tc>
        <w:tc>
          <w:tcPr>
            <w:tcW w:w="4840" w:type="dxa"/>
            <w:vAlign w:val="bottom"/>
            <w:tcBorders>
              <w:bottom w:val="single" w:sz="8" w:color="auto"/>
            </w:tcBorders>
            <w:gridSpan w:val="2"/>
          </w:tcPr>
          <w:p>
            <w:pPr>
              <w:ind w:left="3460"/>
              <w:spacing w:after="0" w:line="149" w:lineRule="exact"/>
              <w:rPr>
                <w:sz w:val="20"/>
                <w:szCs w:val="20"/>
                <w:color w:val="auto"/>
              </w:rPr>
            </w:pPr>
            <w:r>
              <w:rPr>
                <w:rFonts w:ascii="Arial" w:cs="Arial" w:eastAsia="Arial" w:hAnsi="Arial"/>
                <w:sz w:val="14"/>
                <w:szCs w:val="14"/>
                <w:color w:val="auto"/>
              </w:rPr>
              <w:t>Talent Commitments</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5720" w:type="dxa"/>
            <w:vAlign w:val="bottom"/>
          </w:tcPr>
          <w:p>
            <w:pPr>
              <w:spacing w:after="0" w:line="200" w:lineRule="exact"/>
              <w:rPr>
                <w:sz w:val="20"/>
                <w:szCs w:val="20"/>
                <w:color w:val="auto"/>
              </w:rPr>
            </w:pPr>
            <w:r>
              <w:rPr>
                <w:rFonts w:ascii="Arial" w:cs="Arial" w:eastAsia="Arial" w:hAnsi="Arial"/>
                <w:sz w:val="18"/>
                <w:szCs w:val="18"/>
                <w:color w:val="auto"/>
              </w:rPr>
              <w:t>2015</w:t>
            </w:r>
          </w:p>
        </w:tc>
        <w:tc>
          <w:tcPr>
            <w:tcW w:w="3580" w:type="dxa"/>
            <w:vAlign w:val="bottom"/>
          </w:tcPr>
          <w:p>
            <w:pPr>
              <w:ind w:left="344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0" w:lineRule="exact"/>
              <w:rPr>
                <w:sz w:val="20"/>
                <w:szCs w:val="20"/>
                <w:color w:val="auto"/>
              </w:rPr>
            </w:pPr>
            <w:r>
              <w:rPr>
                <w:rFonts w:ascii="Arial" w:cs="Arial" w:eastAsia="Arial" w:hAnsi="Arial"/>
                <w:sz w:val="18"/>
                <w:szCs w:val="18"/>
                <w:color w:val="auto"/>
              </w:rPr>
              <w:t>4,915</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399</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4,657</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359</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3,177</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299</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3,999</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253</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580" w:type="dxa"/>
            <w:vAlign w:val="bottom"/>
          </w:tcPr>
          <w:p>
            <w:pPr>
              <w:ind w:left="34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2,793</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197</w:t>
            </w:r>
          </w:p>
        </w:tc>
      </w:tr>
      <w:tr>
        <w:trPr>
          <w:trHeight w:val="199"/>
        </w:trPr>
        <w:tc>
          <w:tcPr>
            <w:tcW w:w="57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580" w:type="dxa"/>
            <w:vAlign w:val="bottom"/>
            <w:tcBorders>
              <w:bottom w:val="single" w:sz="8" w:color="auto"/>
            </w:tcBorders>
          </w:tcPr>
          <w:p>
            <w:pPr>
              <w:ind w:left="344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26,130</w:t>
            </w:r>
          </w:p>
        </w:tc>
        <w:tc>
          <w:tcPr>
            <w:tcW w:w="28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754</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 expense charged to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2012</w:t>
            </w:r>
          </w:p>
        </w:tc>
      </w:tr>
      <w:tr>
        <w:trPr>
          <w:trHeight w:val="196"/>
        </w:trPr>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 expense</w:t>
            </w:r>
          </w:p>
        </w:tc>
        <w:tc>
          <w:tcPr>
            <w:tcW w:w="41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$ 580</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$ 616</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$ 688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Antitrust Cases</w:t>
      </w:r>
    </w:p>
    <w:p>
      <w:pPr>
        <w:jc w:val="both"/>
        <w:spacing w:after="0" w:line="236"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In June 2012, the U.S. Supreme Court granted our petition to review the Third Circuit Court of Appeals’ ruling and in March 2013, the Supreme Court ruled that the class had been improperly certified and reversed the judgment of the Third Circuit. In August 2013, the plaintiffs in the Philadelphia Cluster case moved to certify a new, smaller class, which we opposed in January 2014. The parties have been discussing possible resolution of the Philadelphia Cluster case. Accordingly, in February 2014, the plaintiff filed an unopposed motion to stay the case, which the District Court granted. In April 2014, the District Court granted our unopposed motion to de-certify the Chicago Cluster class and the plaintiffs’ unopposed motion to amend the Pennsylvania case so as to dismiss claims relating to the Chicago Cluster. In April 2014, lead counsel for the Boston Cluster cases withdrew, and in June 2014, new counsel requested the Boston Cluster cases be transferred to the federal court in Boston, which we have opposed. The District Court denied the request and dismissed the case, though the Boston plaintiffs have appealed both rulings. In December 2014, the District Court granted preliminary approval to a settlement of the Philadelphia Cluster case, which contains no admission or finding of liability. We do not expect the settlement of the Philadelphia Cluster case to have a material effect on our results of operations, cash flows or financial position.</w:t>
      </w:r>
    </w:p>
    <w:p>
      <w:pPr>
        <w:spacing w:after="0" w:line="330"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117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we are the defendant in 23 putative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A comprehensive settlement agreement for all 23 cases that had been submitted to the District Court for preliminary approval in June 2013 was withdrawn in October 2014, and we refiled our motion to compel arbitration. We do not expect these cases to have a material effect on our results of operations, cash flows or financial position.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18: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present our operations in one reportable business segment for Cable Communications and four reportable business segments for NBCUniversal. The Cable Networks, Broadcast Television, Filmed Entertainment and Theme Parks segments comprise the NBCUniversal businesses and are collectively referred to as the NBCUniversal segments. Our financial data by reportable business segment is presented in the tables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w w:val="96"/>
              </w:rPr>
              <w:t>Depreciation</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jc w:val="right"/>
              <w:ind w:right="3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2560" w:type="dxa"/>
            <w:vAlign w:val="bottom"/>
            <w:vMerge w:val="restart"/>
          </w:tcPr>
          <w:p>
            <w:pPr>
              <w:jc w:val="right"/>
              <w:ind w:right="5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180" w:type="dxa"/>
            <w:vAlign w:val="bottom"/>
          </w:tcPr>
          <w:p>
            <w:pPr>
              <w:spacing w:after="0"/>
              <w:rPr>
                <w:sz w:val="10"/>
                <w:szCs w:val="10"/>
                <w:color w:val="auto"/>
              </w:rPr>
            </w:pPr>
          </w:p>
        </w:tc>
        <w:tc>
          <w:tcPr>
            <w:tcW w:w="900" w:type="dxa"/>
            <w:vAlign w:val="bottom"/>
          </w:tcPr>
          <w:p>
            <w:pPr>
              <w:jc w:val="right"/>
              <w:ind w:right="38"/>
              <w:spacing w:after="0" w:line="123"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0"/>
                <w:szCs w:val="10"/>
                <w:color w:val="auto"/>
              </w:rPr>
            </w:pPr>
          </w:p>
        </w:tc>
        <w:tc>
          <w:tcPr>
            <w:tcW w:w="640" w:type="dxa"/>
            <w:vAlign w:val="bottom"/>
          </w:tcPr>
          <w:p>
            <w:pPr>
              <w:jc w:val="right"/>
              <w:ind w:right="14"/>
              <w:spacing w:after="0" w:line="123" w:lineRule="exact"/>
              <w:rPr>
                <w:sz w:val="20"/>
                <w:szCs w:val="20"/>
                <w:color w:val="auto"/>
              </w:rPr>
            </w:pPr>
            <w:r>
              <w:rPr>
                <w:rFonts w:ascii="Arial" w:cs="Arial" w:eastAsia="Arial" w:hAnsi="Arial"/>
                <w:sz w:val="14"/>
                <w:szCs w:val="14"/>
                <w:color w:val="auto"/>
              </w:rPr>
              <w:t>and</w:t>
            </w:r>
          </w:p>
        </w:tc>
        <w:tc>
          <w:tcPr>
            <w:tcW w:w="940" w:type="dxa"/>
            <w:vAlign w:val="bottom"/>
          </w:tcPr>
          <w:p>
            <w:pPr>
              <w:jc w:val="right"/>
              <w:ind w:right="37"/>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80" w:type="dxa"/>
            <w:vAlign w:val="bottom"/>
          </w:tcPr>
          <w:p>
            <w:pPr>
              <w:jc w:val="right"/>
              <w:ind w:right="14"/>
              <w:spacing w:after="0" w:line="123" w:lineRule="exact"/>
              <w:rPr>
                <w:sz w:val="20"/>
                <w:szCs w:val="20"/>
                <w:color w:val="auto"/>
              </w:rPr>
            </w:pPr>
            <w:r>
              <w:rPr>
                <w:rFonts w:ascii="Arial" w:cs="Arial" w:eastAsia="Arial" w:hAnsi="Arial"/>
                <w:sz w:val="14"/>
                <w:szCs w:val="14"/>
                <w:color w:val="auto"/>
              </w:rPr>
              <w:t>Capital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38"/>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2014</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$ 44,140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18,112</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6,422</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$ 11,690</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6,154</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$ 140,616</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(b)(c)</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9,563</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3,589</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748</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2,841</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(c)</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8,542</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734</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127</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607</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(b)</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5,008</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711</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690</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2,623</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1,168</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273</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895</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671</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414</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(321)</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5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25,428</w:t>
            </w:r>
          </w:p>
        </w:tc>
        <w:tc>
          <w:tcPr>
            <w:tcW w:w="180" w:type="dxa"/>
            <w:vAlign w:val="bottom"/>
          </w:tcPr>
          <w:p>
            <w:pPr>
              <w:spacing w:after="0"/>
              <w:rPr>
                <w:sz w:val="17"/>
                <w:szCs w:val="17"/>
                <w:color w:val="auto"/>
              </w:rPr>
            </w:pPr>
          </w:p>
        </w:tc>
        <w:tc>
          <w:tcPr>
            <w:tcW w:w="900" w:type="dxa"/>
            <w:vAlign w:val="bottom"/>
          </w:tcPr>
          <w:p>
            <w:pPr>
              <w:jc w:val="right"/>
              <w:ind w:right="38"/>
              <w:spacing w:after="0" w:line="200" w:lineRule="exact"/>
              <w:rPr>
                <w:sz w:val="20"/>
                <w:szCs w:val="20"/>
                <w:color w:val="auto"/>
              </w:rPr>
            </w:pPr>
            <w:r>
              <w:rPr>
                <w:rFonts w:ascii="Arial" w:cs="Arial" w:eastAsia="Arial" w:hAnsi="Arial"/>
                <w:sz w:val="18"/>
                <w:szCs w:val="18"/>
                <w:color w:val="auto"/>
              </w:rPr>
              <w:t>5,588</w:t>
            </w:r>
          </w:p>
        </w:tc>
        <w:tc>
          <w:tcPr>
            <w:tcW w:w="30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1,495</w:t>
            </w:r>
          </w:p>
        </w:tc>
        <w:tc>
          <w:tcPr>
            <w:tcW w:w="9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4,093</w:t>
            </w:r>
          </w:p>
        </w:tc>
        <w:tc>
          <w:tcPr>
            <w:tcW w:w="300" w:type="dxa"/>
            <w:vAlign w:val="bottom"/>
          </w:tcPr>
          <w:p>
            <w:pPr>
              <w:spacing w:after="0"/>
              <w:rPr>
                <w:sz w:val="17"/>
                <w:szCs w:val="17"/>
                <w:color w:val="auto"/>
              </w:rPr>
            </w:pPr>
          </w:p>
        </w:tc>
        <w:tc>
          <w:tcPr>
            <w:tcW w:w="6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1,221</w:t>
            </w:r>
          </w:p>
        </w:tc>
        <w:tc>
          <w:tcPr>
            <w:tcW w:w="10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52,617</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709</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45</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(1,502)</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Comcast Consolidated</w:t>
            </w:r>
          </w:p>
        </w:tc>
        <w:tc>
          <w:tcPr>
            <w:tcW w:w="256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$ 68,775</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38"/>
              <w:spacing w:after="0" w:line="196" w:lineRule="exact"/>
              <w:rPr>
                <w:sz w:val="20"/>
                <w:szCs w:val="20"/>
                <w:color w:val="auto"/>
              </w:rPr>
            </w:pPr>
            <w:r>
              <w:rPr>
                <w:rFonts w:ascii="Arial" w:cs="Arial" w:eastAsia="Arial" w:hAnsi="Arial"/>
                <w:sz w:val="18"/>
                <w:szCs w:val="18"/>
                <w:b w:val="1"/>
                <w:bCs w:val="1"/>
                <w:color w:val="auto"/>
              </w:rPr>
              <w:t>22,923</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8,019</w:t>
            </w:r>
          </w:p>
        </w:tc>
        <w:tc>
          <w:tcPr>
            <w:tcW w:w="94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$ 14,904</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7,420</w:t>
            </w:r>
          </w:p>
        </w:tc>
        <w:tc>
          <w:tcPr>
            <w:tcW w:w="10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$ 159,339</w:t>
            </w: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w w:val="96"/>
              </w:rPr>
              <w:t>Depreciation</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jc w:val="right"/>
              <w:ind w:right="3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2560" w:type="dxa"/>
            <w:vAlign w:val="bottom"/>
            <w:vMerge w:val="restart"/>
          </w:tcPr>
          <w:p>
            <w:pPr>
              <w:jc w:val="right"/>
              <w:ind w:right="5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180" w:type="dxa"/>
            <w:vAlign w:val="bottom"/>
          </w:tcPr>
          <w:p>
            <w:pPr>
              <w:spacing w:after="0"/>
              <w:rPr>
                <w:sz w:val="10"/>
                <w:szCs w:val="10"/>
                <w:color w:val="auto"/>
              </w:rPr>
            </w:pPr>
          </w:p>
        </w:tc>
        <w:tc>
          <w:tcPr>
            <w:tcW w:w="900" w:type="dxa"/>
            <w:vAlign w:val="bottom"/>
          </w:tcPr>
          <w:p>
            <w:pPr>
              <w:jc w:val="right"/>
              <w:ind w:right="38"/>
              <w:spacing w:after="0" w:line="123"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0"/>
                <w:szCs w:val="10"/>
                <w:color w:val="auto"/>
              </w:rPr>
            </w:pPr>
          </w:p>
        </w:tc>
        <w:tc>
          <w:tcPr>
            <w:tcW w:w="640" w:type="dxa"/>
            <w:vAlign w:val="bottom"/>
          </w:tcPr>
          <w:p>
            <w:pPr>
              <w:jc w:val="right"/>
              <w:ind w:right="14"/>
              <w:spacing w:after="0" w:line="123" w:lineRule="exact"/>
              <w:rPr>
                <w:sz w:val="20"/>
                <w:szCs w:val="20"/>
                <w:color w:val="auto"/>
              </w:rPr>
            </w:pPr>
            <w:r>
              <w:rPr>
                <w:rFonts w:ascii="Arial" w:cs="Arial" w:eastAsia="Arial" w:hAnsi="Arial"/>
                <w:sz w:val="14"/>
                <w:szCs w:val="14"/>
                <w:color w:val="auto"/>
              </w:rPr>
              <w:t>and</w:t>
            </w:r>
          </w:p>
        </w:tc>
        <w:tc>
          <w:tcPr>
            <w:tcW w:w="940" w:type="dxa"/>
            <w:vAlign w:val="bottom"/>
          </w:tcPr>
          <w:p>
            <w:pPr>
              <w:jc w:val="right"/>
              <w:ind w:right="37"/>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80" w:type="dxa"/>
            <w:vAlign w:val="bottom"/>
          </w:tcPr>
          <w:p>
            <w:pPr>
              <w:jc w:val="right"/>
              <w:ind w:right="14"/>
              <w:spacing w:after="0" w:line="123" w:lineRule="exact"/>
              <w:rPr>
                <w:sz w:val="20"/>
                <w:szCs w:val="20"/>
                <w:color w:val="auto"/>
              </w:rPr>
            </w:pPr>
            <w:r>
              <w:rPr>
                <w:rFonts w:ascii="Arial" w:cs="Arial" w:eastAsia="Arial" w:hAnsi="Arial"/>
                <w:sz w:val="14"/>
                <w:szCs w:val="14"/>
                <w:color w:val="auto"/>
              </w:rPr>
              <w:t>Capital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38"/>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2013</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$ 41,836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17,205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6,394</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$ 10,811</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5,403</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$ 132,082</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(b)</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9,201</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3,501</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734</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2,767</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29,413</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7,120</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345</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98</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247</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(b)</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5,452</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483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468</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2,235</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1,004</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300</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704</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580</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439</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(389)</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5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23,650</w:t>
            </w:r>
          </w:p>
        </w:tc>
        <w:tc>
          <w:tcPr>
            <w:tcW w:w="180" w:type="dxa"/>
            <w:vAlign w:val="bottom"/>
          </w:tcPr>
          <w:p>
            <w:pPr>
              <w:spacing w:after="0"/>
              <w:rPr>
                <w:sz w:val="17"/>
                <w:szCs w:val="17"/>
                <w:color w:val="auto"/>
              </w:rPr>
            </w:pPr>
          </w:p>
        </w:tc>
        <w:tc>
          <w:tcPr>
            <w:tcW w:w="900" w:type="dxa"/>
            <w:vAlign w:val="bottom"/>
          </w:tcPr>
          <w:p>
            <w:pPr>
              <w:jc w:val="right"/>
              <w:ind w:right="38"/>
              <w:spacing w:after="0" w:line="200" w:lineRule="exact"/>
              <w:rPr>
                <w:sz w:val="20"/>
                <w:szCs w:val="20"/>
                <w:color w:val="auto"/>
              </w:rPr>
            </w:pPr>
            <w:r>
              <w:rPr>
                <w:rFonts w:ascii="Arial" w:cs="Arial" w:eastAsia="Arial" w:hAnsi="Arial"/>
                <w:sz w:val="18"/>
                <w:szCs w:val="18"/>
                <w:color w:val="auto"/>
              </w:rPr>
              <w:t>4,732</w:t>
            </w:r>
          </w:p>
        </w:tc>
        <w:tc>
          <w:tcPr>
            <w:tcW w:w="30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1,411</w:t>
            </w:r>
          </w:p>
        </w:tc>
        <w:tc>
          <w:tcPr>
            <w:tcW w:w="940" w:type="dxa"/>
            <w:vAlign w:val="bottom"/>
          </w:tcPr>
          <w:p>
            <w:pPr>
              <w:jc w:val="right"/>
              <w:ind w:right="37"/>
              <w:spacing w:after="0" w:line="200" w:lineRule="exact"/>
              <w:rPr>
                <w:sz w:val="20"/>
                <w:szCs w:val="20"/>
                <w:color w:val="auto"/>
              </w:rPr>
            </w:pPr>
            <w:r>
              <w:rPr>
                <w:rFonts w:ascii="Arial" w:cs="Arial" w:eastAsia="Arial" w:hAnsi="Arial"/>
                <w:sz w:val="18"/>
                <w:szCs w:val="18"/>
                <w:color w:val="auto"/>
              </w:rPr>
              <w:t>3,321</w:t>
            </w:r>
          </w:p>
        </w:tc>
        <w:tc>
          <w:tcPr>
            <w:tcW w:w="300" w:type="dxa"/>
            <w:vAlign w:val="bottom"/>
          </w:tcPr>
          <w:p>
            <w:pPr>
              <w:spacing w:after="0"/>
              <w:rPr>
                <w:sz w:val="17"/>
                <w:szCs w:val="17"/>
                <w:color w:val="auto"/>
              </w:rPr>
            </w:pPr>
          </w:p>
        </w:tc>
        <w:tc>
          <w:tcPr>
            <w:tcW w:w="6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1,160</w:t>
            </w:r>
          </w:p>
        </w:tc>
        <w:tc>
          <w:tcPr>
            <w:tcW w:w="100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51,739</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600</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(489)</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300" w:type="dxa"/>
            <w:vAlign w:val="bottom"/>
          </w:tcPr>
          <w:p>
            <w:pPr>
              <w:spacing w:after="0"/>
              <w:rPr>
                <w:sz w:val="17"/>
                <w:szCs w:val="17"/>
                <w:color w:val="auto"/>
              </w:rPr>
            </w:pPr>
          </w:p>
        </w:tc>
        <w:tc>
          <w:tcPr>
            <w:tcW w:w="6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(1,429)</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(33,160)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56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$ 64,657</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ind w:right="38"/>
              <w:spacing w:after="0" w:line="196" w:lineRule="exact"/>
              <w:rPr>
                <w:sz w:val="20"/>
                <w:szCs w:val="20"/>
                <w:color w:val="auto"/>
              </w:rPr>
            </w:pPr>
            <w:r>
              <w:rPr>
                <w:rFonts w:ascii="Arial" w:cs="Arial" w:eastAsia="Arial" w:hAnsi="Arial"/>
                <w:sz w:val="18"/>
                <w:szCs w:val="18"/>
                <w:color w:val="auto"/>
              </w:rPr>
              <w:t>21,434</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7,871</w:t>
            </w:r>
          </w:p>
        </w:tc>
        <w:tc>
          <w:tcPr>
            <w:tcW w:w="94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color w:val="auto"/>
              </w:rPr>
              <w:t>$ 13,563</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6,596</w:t>
            </w:r>
          </w:p>
        </w:tc>
        <w:tc>
          <w:tcPr>
            <w:tcW w:w="10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$ 158,813</w:t>
            </w:r>
          </w:p>
        </w:tc>
        <w:tc>
          <w:tcPr>
            <w:tcW w:w="0" w:type="dxa"/>
            <w:vAlign w:val="bottom"/>
          </w:tcPr>
          <w:p>
            <w:pPr>
              <w:spacing w:after="0"/>
              <w:rPr>
                <w:sz w:val="1"/>
                <w:szCs w:val="1"/>
                <w:color w:val="auto"/>
              </w:rPr>
            </w:pPr>
          </w:p>
        </w:tc>
      </w:tr>
      <w:tr>
        <w:trPr>
          <w:trHeight w:val="506"/>
        </w:trPr>
        <w:tc>
          <w:tcPr>
            <w:tcW w:w="3920" w:type="dxa"/>
            <w:vAlign w:val="bottom"/>
          </w:tcPr>
          <w:p>
            <w:pPr>
              <w:spacing w:after="0"/>
              <w:rPr>
                <w:sz w:val="24"/>
                <w:szCs w:val="24"/>
                <w:color w:val="auto"/>
              </w:rPr>
            </w:pPr>
          </w:p>
        </w:tc>
        <w:tc>
          <w:tcPr>
            <w:tcW w:w="2560" w:type="dxa"/>
            <w:vAlign w:val="bottom"/>
          </w:tcPr>
          <w:p>
            <w:pPr>
              <w:jc w:val="right"/>
              <w:ind w:right="575"/>
              <w:spacing w:after="0"/>
              <w:rPr>
                <w:sz w:val="20"/>
                <w:szCs w:val="20"/>
                <w:color w:val="auto"/>
              </w:rPr>
            </w:pPr>
            <w:r>
              <w:rPr>
                <w:rFonts w:ascii="Arial" w:cs="Arial" w:eastAsia="Arial" w:hAnsi="Arial"/>
                <w:sz w:val="14"/>
                <w:szCs w:val="14"/>
                <w:b w:val="1"/>
                <w:bCs w:val="1"/>
                <w:color w:val="auto"/>
              </w:rPr>
              <w:t>119</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4"/>
          </w:tcPr>
          <w:p>
            <w:pPr>
              <w:jc w:val="right"/>
              <w:spacing w:after="0"/>
              <w:rPr>
                <w:sz w:val="20"/>
                <w:szCs w:val="20"/>
                <w:color w:val="auto"/>
              </w:rPr>
            </w:pPr>
            <w:r>
              <w:rPr>
                <w:rFonts w:ascii="Arial" w:cs="Arial" w:eastAsia="Arial" w:hAnsi="Arial"/>
                <w:sz w:val="14"/>
                <w:szCs w:val="14"/>
                <w:color w:val="auto"/>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8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8"/>
              <w:spacing w:after="0" w:line="149" w:lineRule="exact"/>
              <w:rPr>
                <w:sz w:val="20"/>
                <w:szCs w:val="20"/>
                <w:color w:val="auto"/>
              </w:rPr>
            </w:pPr>
            <w:r>
              <w:rPr>
                <w:rFonts w:ascii="Arial" w:cs="Arial" w:eastAsia="Arial" w:hAnsi="Arial"/>
                <w:sz w:val="14"/>
                <w:szCs w:val="14"/>
                <w:color w:val="auto"/>
                <w:w w:val="96"/>
              </w:rPr>
              <w:t>Depreciation</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4"/>
              </w:rPr>
              <w:t>Operating</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38"/>
              <w:spacing w:after="0" w:line="129"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1"/>
                <w:szCs w:val="11"/>
                <w:color w:val="auto"/>
              </w:rPr>
            </w:pPr>
          </w:p>
        </w:tc>
        <w:tc>
          <w:tcPr>
            <w:tcW w:w="640" w:type="dxa"/>
            <w:vAlign w:val="bottom"/>
          </w:tcPr>
          <w:p>
            <w:pPr>
              <w:jc w:val="right"/>
              <w:ind w:right="14"/>
              <w:spacing w:after="0" w:line="129" w:lineRule="exact"/>
              <w:rPr>
                <w:sz w:val="20"/>
                <w:szCs w:val="20"/>
                <w:color w:val="auto"/>
              </w:rPr>
            </w:pPr>
            <w:r>
              <w:rPr>
                <w:rFonts w:ascii="Arial" w:cs="Arial" w:eastAsia="Arial" w:hAnsi="Arial"/>
                <w:sz w:val="14"/>
                <w:szCs w:val="14"/>
                <w:color w:val="auto"/>
              </w:rPr>
              <w:t>and</w:t>
            </w: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Income</w:t>
            </w:r>
          </w:p>
        </w:tc>
        <w:tc>
          <w:tcPr>
            <w:tcW w:w="460" w:type="dxa"/>
            <w:vAlign w:val="bottom"/>
          </w:tcPr>
          <w:p>
            <w:pPr>
              <w:spacing w:after="0"/>
              <w:rPr>
                <w:sz w:val="11"/>
                <w:szCs w:val="11"/>
                <w:color w:val="auto"/>
              </w:rPr>
            </w:pPr>
          </w:p>
        </w:tc>
        <w:tc>
          <w:tcPr>
            <w:tcW w:w="580" w:type="dxa"/>
            <w:vAlign w:val="bottom"/>
          </w:tcPr>
          <w:p>
            <w:pPr>
              <w:jc w:val="right"/>
              <w:ind w:right="21"/>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(f)</w:t>
            </w:r>
          </w:p>
        </w:tc>
        <w:tc>
          <w:tcPr>
            <w:tcW w:w="1080" w:type="dxa"/>
            <w:vAlign w:val="bottom"/>
            <w:tcBorders>
              <w:bottom w:val="single" w:sz="8" w:color="auto"/>
            </w:tcBorders>
            <w:gridSpan w:val="2"/>
          </w:tcPr>
          <w:p>
            <w:pPr>
              <w:jc w:val="right"/>
              <w:ind w:right="38"/>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(g)</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p>
        </w:tc>
        <w:tc>
          <w:tcPr>
            <w:tcW w:w="10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color w:val="auto"/>
              </w:rPr>
              <w:t>Expenditures</w:t>
            </w:r>
          </w:p>
        </w:tc>
      </w:tr>
      <w:tr>
        <w:trPr>
          <w:trHeight w:val="199"/>
        </w:trPr>
        <w:tc>
          <w:tcPr>
            <w:tcW w:w="44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2012</w:t>
            </w: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$ 39,604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16,255</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6,405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9,850</w:t>
            </w:r>
          </w:p>
        </w:tc>
        <w:tc>
          <w:tcPr>
            <w:tcW w:w="460" w:type="dxa"/>
            <w:vAlign w:val="bottom"/>
          </w:tcPr>
          <w:p>
            <w:pPr>
              <w:jc w:val="right"/>
              <w:ind w:right="149"/>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4,921</w:t>
            </w: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NBCUniversal</w:t>
            </w: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8,727</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3,303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735</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2,568</w:t>
            </w:r>
          </w:p>
        </w:tc>
        <w:tc>
          <w:tcPr>
            <w:tcW w:w="46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150</w:t>
            </w:r>
          </w:p>
        </w:tc>
      </w:tr>
      <w:tr>
        <w:trPr>
          <w:trHeight w:val="203"/>
        </w:trPr>
        <w:tc>
          <w:tcPr>
            <w:tcW w:w="20" w:type="dxa"/>
            <w:vAlign w:val="bottom"/>
          </w:tcPr>
          <w:p>
            <w:pPr>
              <w:spacing w:after="0"/>
              <w:rPr>
                <w:sz w:val="17"/>
                <w:szCs w:val="17"/>
                <w:color w:val="auto"/>
              </w:rPr>
            </w:pPr>
          </w:p>
        </w:tc>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8,200</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358</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97</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46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65</w:t>
            </w:r>
          </w:p>
        </w:tc>
      </w:tr>
      <w:tr>
        <w:trPr>
          <w:trHeight w:val="203"/>
        </w:trPr>
        <w:tc>
          <w:tcPr>
            <w:tcW w:w="20" w:type="dxa"/>
            <w:vAlign w:val="bottom"/>
          </w:tcPr>
          <w:p>
            <w:pPr>
              <w:spacing w:after="0"/>
              <w:rPr>
                <w:sz w:val="17"/>
                <w:szCs w:val="17"/>
                <w:color w:val="auto"/>
              </w:rPr>
            </w:pPr>
          </w:p>
        </w:tc>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(b)</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5,159</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46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2,085</w:t>
            </w:r>
          </w:p>
        </w:tc>
        <w:tc>
          <w:tcPr>
            <w:tcW w:w="180" w:type="dxa"/>
            <w:vAlign w:val="bottom"/>
          </w:tcPr>
          <w:p>
            <w:pPr>
              <w:spacing w:after="0"/>
              <w:rPr>
                <w:sz w:val="17"/>
                <w:szCs w:val="17"/>
                <w:color w:val="auto"/>
              </w:rPr>
            </w:pPr>
          </w:p>
        </w:tc>
        <w:tc>
          <w:tcPr>
            <w:tcW w:w="9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953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268</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c>
          <w:tcPr>
            <w:tcW w:w="46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272</w:t>
            </w:r>
          </w:p>
        </w:tc>
      </w:tr>
      <w:tr>
        <w:trPr>
          <w:trHeight w:val="203"/>
        </w:trPr>
        <w:tc>
          <w:tcPr>
            <w:tcW w:w="20" w:type="dxa"/>
            <w:vAlign w:val="bottom"/>
          </w:tcPr>
          <w:p>
            <w:pPr>
              <w:spacing w:after="0"/>
              <w:rPr>
                <w:sz w:val="17"/>
                <w:szCs w:val="17"/>
                <w:color w:val="auto"/>
              </w:rPr>
            </w:pPr>
          </w:p>
        </w:tc>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46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269</w:t>
            </w:r>
          </w:p>
        </w:tc>
      </w:tr>
      <w:tr>
        <w:trPr>
          <w:trHeight w:val="199"/>
        </w:trPr>
        <w:tc>
          <w:tcPr>
            <w:tcW w:w="20" w:type="dxa"/>
            <w:vAlign w:val="bottom"/>
          </w:tcPr>
          <w:p>
            <w:pPr>
              <w:spacing w:after="0"/>
              <w:rPr>
                <w:sz w:val="17"/>
                <w:szCs w:val="17"/>
                <w:color w:val="auto"/>
              </w:rPr>
            </w:pPr>
          </w:p>
        </w:tc>
        <w:tc>
          <w:tcPr>
            <w:tcW w:w="44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3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(402)</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
              <w:spacing w:after="0" w:line="200" w:lineRule="exact"/>
              <w:rPr>
                <w:sz w:val="20"/>
                <w:szCs w:val="20"/>
                <w:color w:val="auto"/>
              </w:rPr>
            </w:pPr>
            <w:r>
              <w:rPr>
                <w:rFonts w:ascii="Arial" w:cs="Arial" w:eastAsia="Arial" w:hAnsi="Arial"/>
                <w:sz w:val="18"/>
                <w:szCs w:val="18"/>
                <w:color w:val="auto"/>
              </w:rPr>
              <w:t>—</w:t>
            </w:r>
          </w:p>
        </w:tc>
      </w:tr>
      <w:tr>
        <w:trPr>
          <w:trHeight w:val="199"/>
        </w:trPr>
        <w:tc>
          <w:tcPr>
            <w:tcW w:w="4440" w:type="dxa"/>
            <w:vAlign w:val="bottom"/>
            <w:gridSpan w:val="2"/>
          </w:tcPr>
          <w:p>
            <w:pPr>
              <w:spacing w:after="0" w:line="200" w:lineRule="exact"/>
              <w:rPr>
                <w:sz w:val="20"/>
                <w:szCs w:val="20"/>
                <w:color w:val="auto"/>
              </w:rPr>
            </w:pPr>
            <w:r>
              <w:rPr>
                <w:rFonts w:ascii="Arial" w:cs="Arial" w:eastAsia="Arial" w:hAnsi="Arial"/>
                <w:sz w:val="18"/>
                <w:szCs w:val="18"/>
                <w:color w:val="auto"/>
              </w:rPr>
              <w:t>NBCUniversal</w:t>
            </w:r>
          </w:p>
        </w:tc>
        <w:tc>
          <w:tcPr>
            <w:tcW w:w="3040" w:type="dxa"/>
            <w:vAlign w:val="bottom"/>
          </w:tcPr>
          <w:p>
            <w:pPr>
              <w:jc w:val="right"/>
              <w:ind w:right="55"/>
              <w:spacing w:after="0" w:line="200" w:lineRule="exact"/>
              <w:rPr>
                <w:sz w:val="20"/>
                <w:szCs w:val="20"/>
                <w:color w:val="auto"/>
              </w:rPr>
            </w:pPr>
            <w:r>
              <w:rPr>
                <w:rFonts w:ascii="Arial" w:cs="Arial" w:eastAsia="Arial" w:hAnsi="Arial"/>
                <w:sz w:val="18"/>
                <w:szCs w:val="18"/>
                <w:color w:val="auto"/>
              </w:rPr>
              <w:t>23,812</w:t>
            </w:r>
          </w:p>
        </w:tc>
        <w:tc>
          <w:tcPr>
            <w:tcW w:w="180" w:type="dxa"/>
            <w:vAlign w:val="bottom"/>
          </w:tcPr>
          <w:p>
            <w:pPr>
              <w:spacing w:after="0"/>
              <w:rPr>
                <w:sz w:val="17"/>
                <w:szCs w:val="17"/>
                <w:color w:val="auto"/>
              </w:rPr>
            </w:pPr>
          </w:p>
        </w:tc>
        <w:tc>
          <w:tcPr>
            <w:tcW w:w="900" w:type="dxa"/>
            <w:vAlign w:val="bottom"/>
          </w:tcPr>
          <w:p>
            <w:pPr>
              <w:jc w:val="right"/>
              <w:ind w:right="38"/>
              <w:spacing w:after="0" w:line="200" w:lineRule="exact"/>
              <w:rPr>
                <w:sz w:val="20"/>
                <w:szCs w:val="20"/>
                <w:color w:val="auto"/>
              </w:rPr>
            </w:pPr>
            <w:r>
              <w:rPr>
                <w:rFonts w:ascii="Arial" w:cs="Arial" w:eastAsia="Arial" w:hAnsi="Arial"/>
                <w:sz w:val="18"/>
                <w:szCs w:val="18"/>
                <w:color w:val="auto"/>
              </w:rPr>
              <w:t>4,107</w:t>
            </w:r>
          </w:p>
        </w:tc>
        <w:tc>
          <w:tcPr>
            <w:tcW w:w="30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1,326</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2,781</w:t>
            </w:r>
          </w:p>
        </w:tc>
        <w:tc>
          <w:tcPr>
            <w:tcW w:w="460" w:type="dxa"/>
            <w:vAlign w:val="bottom"/>
          </w:tcPr>
          <w:p>
            <w:pPr>
              <w:spacing w:after="0"/>
              <w:rPr>
                <w:sz w:val="17"/>
                <w:szCs w:val="17"/>
                <w:color w:val="auto"/>
              </w:rPr>
            </w:pPr>
          </w:p>
        </w:tc>
        <w:tc>
          <w:tcPr>
            <w:tcW w:w="580" w:type="dxa"/>
            <w:vAlign w:val="bottom"/>
          </w:tcPr>
          <w:p>
            <w:pPr>
              <w:jc w:val="right"/>
              <w:ind w:right="21"/>
              <w:spacing w:after="0" w:line="200" w:lineRule="exact"/>
              <w:rPr>
                <w:sz w:val="20"/>
                <w:szCs w:val="20"/>
                <w:color w:val="auto"/>
              </w:rPr>
            </w:pPr>
            <w:r>
              <w:rPr>
                <w:rFonts w:ascii="Arial" w:cs="Arial" w:eastAsia="Arial" w:hAnsi="Arial"/>
                <w:sz w:val="18"/>
                <w:szCs w:val="18"/>
                <w:color w:val="auto"/>
              </w:rPr>
              <w:t>763</w:t>
            </w: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Other</w:t>
            </w:r>
          </w:p>
        </w:tc>
        <w:tc>
          <w:tcPr>
            <w:tcW w:w="3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498</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0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(443)</w:t>
            </w:r>
          </w:p>
        </w:tc>
        <w:tc>
          <w:tcPr>
            <w:tcW w:w="460" w:type="dxa"/>
            <w:vAlign w:val="bottom"/>
          </w:tcPr>
          <w:p>
            <w:pPr>
              <w:spacing w:after="0"/>
              <w:rPr>
                <w:sz w:val="17"/>
                <w:szCs w:val="17"/>
                <w:color w:val="auto"/>
              </w:rPr>
            </w:pPr>
          </w:p>
        </w:tc>
        <w:tc>
          <w:tcPr>
            <w:tcW w:w="580" w:type="dxa"/>
            <w:vAlign w:val="bottom"/>
          </w:tcPr>
          <w:p>
            <w:pPr>
              <w:jc w:val="right"/>
              <w:ind w:right="21"/>
              <w:spacing w:after="0" w:line="202" w:lineRule="exact"/>
              <w:rPr>
                <w:sz w:val="20"/>
                <w:szCs w:val="20"/>
                <w:color w:val="auto"/>
              </w:rPr>
            </w:pPr>
            <w:r>
              <w:rPr>
                <w:rFonts w:ascii="Arial" w:cs="Arial" w:eastAsia="Arial" w:hAnsi="Arial"/>
                <w:sz w:val="18"/>
                <w:szCs w:val="18"/>
                <w:color w:val="auto"/>
              </w:rPr>
              <w:t>30</w:t>
            </w:r>
          </w:p>
        </w:tc>
      </w:tr>
      <w:tr>
        <w:trPr>
          <w:trHeight w:val="199"/>
        </w:trPr>
        <w:tc>
          <w:tcPr>
            <w:tcW w:w="44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3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(1,344)</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1"/>
              <w:spacing w:after="0" w:line="200" w:lineRule="exact"/>
              <w:rPr>
                <w:sz w:val="20"/>
                <w:szCs w:val="20"/>
                <w:color w:val="auto"/>
              </w:rPr>
            </w:pPr>
            <w:r>
              <w:rPr>
                <w:rFonts w:ascii="Arial" w:cs="Arial" w:eastAsia="Arial" w:hAnsi="Arial"/>
                <w:sz w:val="18"/>
                <w:szCs w:val="18"/>
                <w:color w:val="auto"/>
              </w:rPr>
              <w:t>—</w:t>
            </w:r>
          </w:p>
        </w:tc>
      </w:tr>
      <w:tr>
        <w:trPr>
          <w:trHeight w:val="196"/>
        </w:trPr>
        <w:tc>
          <w:tcPr>
            <w:tcW w:w="44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Comcast Consolidated</w:t>
            </w:r>
          </w:p>
        </w:tc>
        <w:tc>
          <w:tcPr>
            <w:tcW w:w="304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$ 62,570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ind w:right="38"/>
              <w:spacing w:after="0" w:line="196" w:lineRule="exact"/>
              <w:rPr>
                <w:sz w:val="20"/>
                <w:szCs w:val="20"/>
                <w:color w:val="auto"/>
              </w:rPr>
            </w:pPr>
            <w:r>
              <w:rPr>
                <w:rFonts w:ascii="Arial" w:cs="Arial" w:eastAsia="Arial" w:hAnsi="Arial"/>
                <w:sz w:val="18"/>
                <w:szCs w:val="18"/>
                <w:color w:val="auto"/>
              </w:rPr>
              <w:t>19,977</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7,798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12,179</w:t>
            </w:r>
          </w:p>
        </w:tc>
        <w:tc>
          <w:tcPr>
            <w:tcW w:w="460" w:type="dxa"/>
            <w:vAlign w:val="bottom"/>
            <w:tcBorders>
              <w:bottom w:val="single" w:sz="8" w:color="0C6DFF"/>
            </w:tcBorders>
          </w:tcPr>
          <w:p>
            <w:pPr>
              <w:jc w:val="right"/>
              <w:ind w:right="149"/>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21"/>
              <w:spacing w:after="0" w:line="196" w:lineRule="exact"/>
              <w:rPr>
                <w:sz w:val="20"/>
                <w:szCs w:val="20"/>
                <w:color w:val="auto"/>
              </w:rPr>
            </w:pPr>
            <w:r>
              <w:rPr>
                <w:rFonts w:ascii="Arial" w:cs="Arial" w:eastAsia="Arial" w:hAnsi="Arial"/>
                <w:sz w:val="18"/>
                <w:szCs w:val="18"/>
                <w:color w:val="auto"/>
              </w:rPr>
              <w:t>5,714</w:t>
            </w:r>
          </w:p>
        </w:tc>
      </w:tr>
      <w:tr>
        <w:trPr>
          <w:trHeight w:val="223"/>
        </w:trPr>
        <w:tc>
          <w:tcPr>
            <w:tcW w:w="8860" w:type="dxa"/>
            <w:vAlign w:val="bottom"/>
            <w:gridSpan w:val="6"/>
          </w:tcPr>
          <w:p>
            <w:pPr>
              <w:spacing w:after="0"/>
              <w:rPr>
                <w:sz w:val="20"/>
                <w:szCs w:val="20"/>
                <w:color w:val="auto"/>
              </w:rPr>
            </w:pPr>
            <w:r>
              <w:rPr>
                <w:rFonts w:ascii="Arial" w:cs="Arial" w:eastAsia="Arial" w:hAnsi="Arial"/>
                <w:sz w:val="14"/>
                <w:szCs w:val="14"/>
                <w:color w:val="auto"/>
                <w:w w:val="99"/>
              </w:rPr>
              <w:t>(a)  For the years ended December 31, 2014, 2013 and 2012, Cable Communications segment revenue was derived from the following sources: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2014</w:t>
            </w:r>
          </w:p>
        </w:tc>
        <w:tc>
          <w:tcPr>
            <w:tcW w:w="4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89"/>
              </w:rPr>
              <w:t>2013</w:t>
            </w: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2012</w:t>
            </w:r>
          </w:p>
        </w:tc>
      </w:tr>
      <w:tr>
        <w:trPr>
          <w:trHeight w:val="141"/>
        </w:trPr>
        <w:tc>
          <w:tcPr>
            <w:tcW w:w="20" w:type="dxa"/>
            <w:vAlign w:val="bottom"/>
          </w:tcPr>
          <w:p>
            <w:pPr>
              <w:spacing w:after="0"/>
              <w:rPr>
                <w:sz w:val="12"/>
                <w:szCs w:val="12"/>
                <w:color w:val="auto"/>
              </w:rPr>
            </w:pPr>
          </w:p>
        </w:tc>
        <w:tc>
          <w:tcPr>
            <w:tcW w:w="4420" w:type="dxa"/>
            <w:vAlign w:val="bottom"/>
          </w:tcPr>
          <w:p>
            <w:pPr>
              <w:spacing w:after="0" w:line="141" w:lineRule="exact"/>
              <w:rPr>
                <w:sz w:val="20"/>
                <w:szCs w:val="20"/>
                <w:color w:val="auto"/>
              </w:rPr>
            </w:pPr>
            <w:r>
              <w:rPr>
                <w:rFonts w:ascii="Arial" w:cs="Arial" w:eastAsia="Arial" w:hAnsi="Arial"/>
                <w:sz w:val="14"/>
                <w:szCs w:val="14"/>
                <w:color w:val="auto"/>
              </w:rPr>
              <w:t>Residential:</w:t>
            </w: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Video</w:t>
            </w: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color w:val="auto"/>
              </w:rPr>
              <w:t>47.1%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49.1%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High-speed Internet</w:t>
            </w: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color w:val="auto"/>
              </w:rPr>
              <w:t>25.6%</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r>
      <w:tr>
        <w:trPr>
          <w:trHeight w:val="149"/>
        </w:trPr>
        <w:tc>
          <w:tcPr>
            <w:tcW w:w="20" w:type="dxa"/>
            <w:vAlign w:val="bottom"/>
          </w:tcPr>
          <w:p>
            <w:pPr>
              <w:spacing w:after="0"/>
              <w:rPr>
                <w:sz w:val="12"/>
                <w:szCs w:val="12"/>
                <w:color w:val="auto"/>
              </w:rPr>
            </w:pPr>
          </w:p>
        </w:tc>
        <w:tc>
          <w:tcPr>
            <w:tcW w:w="4420" w:type="dxa"/>
            <w:vAlign w:val="bottom"/>
          </w:tcPr>
          <w:p>
            <w:pPr>
              <w:ind w:left="200"/>
              <w:spacing w:after="0" w:line="149" w:lineRule="exact"/>
              <w:rPr>
                <w:sz w:val="20"/>
                <w:szCs w:val="20"/>
                <w:color w:val="auto"/>
              </w:rPr>
            </w:pPr>
            <w:r>
              <w:rPr>
                <w:rFonts w:ascii="Arial" w:cs="Arial" w:eastAsia="Arial" w:hAnsi="Arial"/>
                <w:sz w:val="14"/>
                <w:szCs w:val="14"/>
                <w:color w:val="auto"/>
              </w:rPr>
              <w:t>Voice</w:t>
            </w: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color w:val="auto"/>
              </w:rPr>
              <w:t>8.3%</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color w:val="auto"/>
              </w:rPr>
              <w:t>9.0%</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color w:val="auto"/>
              </w:rPr>
              <w:t>5.5%</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r>
      <w:tr>
        <w:trPr>
          <w:trHeight w:val="149"/>
        </w:trPr>
        <w:tc>
          <w:tcPr>
            <w:tcW w:w="44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w:t>
            </w:r>
          </w:p>
        </w:tc>
        <w:tc>
          <w:tcPr>
            <w:tcW w:w="30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2"/>
              <w:spacing w:after="0" w:line="149" w:lineRule="exact"/>
              <w:rPr>
                <w:sz w:val="20"/>
                <w:szCs w:val="20"/>
                <w:color w:val="auto"/>
              </w:rPr>
            </w:pPr>
            <w:r>
              <w:rPr>
                <w:rFonts w:ascii="Arial" w:cs="Arial" w:eastAsia="Arial" w:hAnsi="Arial"/>
                <w:sz w:val="14"/>
                <w:szCs w:val="14"/>
                <w:color w:val="auto"/>
              </w:rPr>
              <w:t>4.5%</w:t>
            </w: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2"/>
        </w:trPr>
        <w:tc>
          <w:tcPr>
            <w:tcW w:w="4440" w:type="dxa"/>
            <w:vAlign w:val="bottom"/>
            <w:tcBorders>
              <w:bottom w:val="single" w:sz="8" w:color="0C6DFF"/>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3040" w:type="dxa"/>
            <w:vAlign w:val="bottom"/>
            <w:tcBorders>
              <w:bottom w:val="single" w:sz="8" w:color="0C6DFF"/>
            </w:tcBorders>
          </w:tcPr>
          <w:p>
            <w:pPr>
              <w:spacing w:after="0"/>
              <w:rPr>
                <w:sz w:val="12"/>
                <w:szCs w:val="12"/>
                <w:color w:val="auto"/>
              </w:rPr>
            </w:pPr>
          </w:p>
        </w:tc>
        <w:tc>
          <w:tcPr>
            <w:tcW w:w="180" w:type="dxa"/>
            <w:vAlign w:val="bottom"/>
            <w:tcBorders>
              <w:bottom w:val="single" w:sz="8" w:color="0C6DFF"/>
            </w:tcBorders>
          </w:tcPr>
          <w:p>
            <w:pPr>
              <w:spacing w:after="0"/>
              <w:rPr>
                <w:sz w:val="12"/>
                <w:szCs w:val="12"/>
                <w:color w:val="auto"/>
              </w:rPr>
            </w:pPr>
          </w:p>
        </w:tc>
        <w:tc>
          <w:tcPr>
            <w:tcW w:w="900" w:type="dxa"/>
            <w:vAlign w:val="bottom"/>
            <w:tcBorders>
              <w:bottom w:val="single" w:sz="8" w:color="0C6DFF"/>
            </w:tcBorders>
          </w:tcPr>
          <w:p>
            <w:pPr>
              <w:spacing w:after="0"/>
              <w:rPr>
                <w:sz w:val="12"/>
                <w:szCs w:val="12"/>
                <w:color w:val="auto"/>
              </w:rPr>
            </w:pPr>
          </w:p>
        </w:tc>
        <w:tc>
          <w:tcPr>
            <w:tcW w:w="300" w:type="dxa"/>
            <w:vAlign w:val="bottom"/>
            <w:tcBorders>
              <w:bottom w:val="single" w:sz="8" w:color="0C6DFF"/>
            </w:tcBorders>
          </w:tcPr>
          <w:p>
            <w:pPr>
              <w:spacing w:after="0"/>
              <w:rPr>
                <w:sz w:val="12"/>
                <w:szCs w:val="12"/>
                <w:color w:val="auto"/>
              </w:rPr>
            </w:pPr>
          </w:p>
        </w:tc>
        <w:tc>
          <w:tcPr>
            <w:tcW w:w="640" w:type="dxa"/>
            <w:vAlign w:val="bottom"/>
            <w:tcBorders>
              <w:bottom w:val="single" w:sz="8" w:color="0C6DFF"/>
            </w:tcBorders>
          </w:tcPr>
          <w:p>
            <w:pPr>
              <w:spacing w:after="0"/>
              <w:rPr>
                <w:sz w:val="12"/>
                <w:szCs w:val="12"/>
                <w:color w:val="auto"/>
              </w:rPr>
            </w:pPr>
          </w:p>
        </w:tc>
        <w:tc>
          <w:tcPr>
            <w:tcW w:w="220" w:type="dxa"/>
            <w:vAlign w:val="bottom"/>
            <w:tcBorders>
              <w:bottom w:val="single" w:sz="8" w:color="0C6DFF"/>
            </w:tcBorders>
          </w:tcPr>
          <w:p>
            <w:pPr>
              <w:spacing w:after="0"/>
              <w:rPr>
                <w:sz w:val="12"/>
                <w:szCs w:val="12"/>
                <w:color w:val="auto"/>
              </w:rPr>
            </w:pPr>
          </w:p>
        </w:tc>
        <w:tc>
          <w:tcPr>
            <w:tcW w:w="660" w:type="dxa"/>
            <w:vAlign w:val="bottom"/>
            <w:tcBorders>
              <w:bottom w:val="single" w:sz="8" w:color="0C6DFF"/>
            </w:tcBorders>
          </w:tcPr>
          <w:p>
            <w:pPr>
              <w:jc w:val="right"/>
              <w:ind w:right="82"/>
              <w:spacing w:after="0" w:line="142" w:lineRule="exact"/>
              <w:rPr>
                <w:sz w:val="20"/>
                <w:szCs w:val="20"/>
                <w:color w:val="auto"/>
              </w:rPr>
            </w:pPr>
            <w:r>
              <w:rPr>
                <w:rFonts w:ascii="Arial" w:cs="Arial" w:eastAsia="Arial" w:hAnsi="Arial"/>
                <w:sz w:val="14"/>
                <w:szCs w:val="14"/>
                <w:color w:val="auto"/>
              </w:rPr>
              <w:t>100%</w:t>
            </w:r>
          </w:p>
        </w:tc>
        <w:tc>
          <w:tcPr>
            <w:tcW w:w="46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5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67" w:lineRule="exact"/>
        <w:rPr>
          <w:sz w:val="20"/>
          <w:szCs w:val="20"/>
          <w:color w:val="auto"/>
        </w:rPr>
      </w:pPr>
    </w:p>
    <w:p>
      <w:pPr>
        <w:ind w:left="280"/>
        <w:spacing w:after="0" w:line="231"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 each of 2014, 2013 and 2012, 2.8% of Cable Communications revenue was derived from franchise and other regulatory fees.</w:t>
      </w:r>
    </w:p>
    <w:p>
      <w:pPr>
        <w:spacing w:after="0" w:line="55" w:lineRule="exact"/>
        <w:rPr>
          <w:sz w:val="20"/>
          <w:szCs w:val="20"/>
          <w:color w:val="auto"/>
        </w:rPr>
      </w:pPr>
    </w:p>
    <w:p>
      <w:pPr>
        <w:ind w:left="300" w:hanging="292"/>
        <w:spacing w:after="0" w:line="231" w:lineRule="auto"/>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54" w:lineRule="exact"/>
        <w:rPr>
          <w:rFonts w:ascii="Arial" w:cs="Arial" w:eastAsia="Arial" w:hAnsi="Arial"/>
          <w:sz w:val="14"/>
          <w:szCs w:val="14"/>
          <w:color w:val="auto"/>
        </w:rPr>
      </w:pPr>
    </w:p>
    <w:p>
      <w:pPr>
        <w:ind w:left="280" w:right="20" w:hanging="272"/>
        <w:spacing w:after="0" w:line="300" w:lineRule="auto"/>
        <w:tabs>
          <w:tab w:leader="none" w:pos="2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revenue and operating costs and expenses associated with our broadcast of the 2014 Sochi Olympics were reported in our Cable Networks and Broadcast Television segments. The revenue and operating costs and expenses associated with our broadcasts of the 2012 London Olympics and the 2012 Super Bowl were reported in our Broadcast Television segment.</w:t>
      </w:r>
    </w:p>
    <w:p>
      <w:pPr>
        <w:spacing w:after="0" w:line="19" w:lineRule="exact"/>
        <w:rPr>
          <w:rFonts w:ascii="Arial" w:cs="Arial" w:eastAsia="Arial" w:hAnsi="Arial"/>
          <w:sz w:val="12"/>
          <w:szCs w:val="12"/>
          <w:color w:val="auto"/>
        </w:rPr>
      </w:pPr>
    </w:p>
    <w:p>
      <w:pPr>
        <w:ind w:left="300" w:hanging="292"/>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4" w:lineRule="exact"/>
        <w:rPr>
          <w:rFonts w:ascii="Arial" w:cs="Arial" w:eastAsia="Arial" w:hAnsi="Arial"/>
          <w:sz w:val="14"/>
          <w:szCs w:val="14"/>
          <w:color w:val="auto"/>
        </w:rPr>
      </w:pPr>
    </w:p>
    <w:p>
      <w:pPr>
        <w:ind w:left="1020" w:hanging="215"/>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60" w:hanging="215"/>
        <w:spacing w:after="0" w:line="231" w:lineRule="auto"/>
        <w:tabs>
          <w:tab w:leader="none" w:pos="1020" w:val="left"/>
        </w:tabs>
        <w:numPr>
          <w:ilvl w:val="1"/>
          <w:numId w:val="35"/>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54" w:lineRule="exact"/>
        <w:rPr>
          <w:rFonts w:ascii="Arial" w:cs="Arial" w:eastAsia="Arial" w:hAnsi="Arial"/>
          <w:sz w:val="14"/>
          <w:szCs w:val="14"/>
          <w:color w:val="auto"/>
        </w:rPr>
      </w:pPr>
    </w:p>
    <w:p>
      <w:pPr>
        <w:ind w:left="260" w:hanging="252"/>
        <w:spacing w:after="0" w:line="231"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Revenue from customers located outside of the United States, primarily in Europe and Asia, for the years ended December 31, 2014, 2013 and 2012 was $4.4 billion, $4.8 billion and $4.5 billion, respectively. No single customer accounted for a significant amount of revenue in any period.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0" w:lineRule="exact"/>
        <w:rPr>
          <w:sz w:val="20"/>
          <w:szCs w:val="20"/>
          <w:color w:val="auto"/>
        </w:rPr>
      </w:pPr>
    </w:p>
    <w:p>
      <w:pPr>
        <w:jc w:val="both"/>
        <w:ind w:left="300" w:hanging="292"/>
        <w:spacing w:after="0" w:line="224" w:lineRule="auto"/>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19: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First</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Second</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Fourth</w:t>
            </w:r>
          </w:p>
        </w:tc>
        <w:tc>
          <w:tcPr>
            <w:tcW w:w="24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Total</w:t>
            </w:r>
          </w:p>
        </w:tc>
      </w:tr>
      <w:tr>
        <w:trPr>
          <w:trHeight w:val="163"/>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Quarter</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Year</w:t>
            </w:r>
          </w:p>
        </w:tc>
      </w:tr>
      <w:tr>
        <w:trPr>
          <w:trHeight w:val="177"/>
        </w:trPr>
        <w:tc>
          <w:tcPr>
            <w:tcW w:w="6800" w:type="dxa"/>
            <w:vAlign w:val="bottom"/>
          </w:tcPr>
          <w:p>
            <w:pPr>
              <w:spacing w:after="0" w:line="177" w:lineRule="exact"/>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17,408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16,844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16,791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17,732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68,775</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3,568</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3,804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3,745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3,787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14,904</w:t>
            </w:r>
          </w:p>
        </w:tc>
      </w:tr>
      <w:tr>
        <w:trPr>
          <w:trHeight w:val="203"/>
        </w:trPr>
        <w:tc>
          <w:tcPr>
            <w:tcW w:w="6800" w:type="dxa"/>
            <w:vAlign w:val="bottom"/>
          </w:tcPr>
          <w:p>
            <w:pPr>
              <w:spacing w:after="0" w:line="203" w:lineRule="exact"/>
              <w:rPr>
                <w:sz w:val="20"/>
                <w:szCs w:val="20"/>
                <w:color w:val="auto"/>
              </w:rPr>
            </w:pPr>
            <w:r>
              <w:rPr>
                <w:rFonts w:ascii="Arial" w:cs="Arial" w:eastAsia="Arial" w:hAnsi="Arial"/>
                <w:sz w:val="18"/>
                <w:szCs w:val="18"/>
                <w:b w:val="1"/>
                <w:bCs w:val="1"/>
                <w:color w:val="auto"/>
              </w:rPr>
              <w:t>Net income attributable to Comcast Corporation</w:t>
            </w:r>
            <w:r>
              <w:rPr>
                <w:rFonts w:ascii="Arial" w:cs="Arial" w:eastAsia="Arial" w:hAnsi="Arial"/>
                <w:sz w:val="22"/>
                <w:szCs w:val="22"/>
                <w:b w:val="1"/>
                <w:bCs w:val="1"/>
                <w:color w:val="auto"/>
                <w:vertAlign w:val="superscript"/>
              </w:rPr>
              <w:t>(a)</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1,871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1,992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2,592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1,925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8,380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Basic earnings per common share attributable to Comcast Corporation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0.72</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0.77</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0.75</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3.24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0.71</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0.76</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0.99</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0.74</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3.20</w:t>
            </w:r>
          </w:p>
        </w:tc>
      </w:tr>
      <w:tr>
        <w:trPr>
          <w:trHeight w:val="225"/>
        </w:trPr>
        <w:tc>
          <w:tcPr>
            <w:tcW w:w="680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0.225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b w:val="1"/>
                <w:bCs w:val="1"/>
                <w:color w:val="auto"/>
              </w:rPr>
              <w:t>0.90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15,310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16,270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16,151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16,926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64,657</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3,067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3,435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3,414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3,647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13,563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1,437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1,734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1,913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6,816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0.55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0.66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0.66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2.60</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w w:val="99"/>
              </w:rPr>
              <w:t>Diluted earnings per common share attributable to Comcast Corporation shareholders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0.54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0.65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0.65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0.72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2.56</w:t>
            </w:r>
          </w:p>
        </w:tc>
      </w:tr>
      <w:tr>
        <w:trPr>
          <w:trHeight w:val="199"/>
        </w:trPr>
        <w:tc>
          <w:tcPr>
            <w:tcW w:w="68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0.195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0.195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0.195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0.195</w:t>
            </w:r>
          </w:p>
        </w:tc>
        <w:tc>
          <w:tcPr>
            <w:tcW w:w="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0.78</w:t>
            </w:r>
          </w:p>
        </w:tc>
      </w:tr>
    </w:tbl>
    <w:p>
      <w:pPr>
        <w:spacing w:after="0" w:line="67" w:lineRule="exact"/>
        <w:rPr>
          <w:sz w:val="20"/>
          <w:szCs w:val="20"/>
          <w:color w:val="auto"/>
        </w:rPr>
      </w:pPr>
    </w:p>
    <w:p>
      <w:pPr>
        <w:ind w:left="300" w:hanging="292"/>
        <w:spacing w:after="0" w:line="231" w:lineRule="auto"/>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third quarter of 2014, net income attributable to Comcast Corporation included $724 million of favorable tax adjustments resulting from a reduction in our accruals for uncertain tax positions and the related accrued interest on these tax positions. See Note 15 for additional information.</w:t>
      </w:r>
    </w:p>
    <w:p>
      <w:pPr>
        <w:spacing w:after="0" w:line="322"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121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20: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(“Comcast Parent”), Comcast Cable Communications, LLC (“CCCL Parent”), Comcast MO Group, Inc. (“Comcast MO Group”), Comcast Cable Holdings, LLC (“CCH”) and Comcast MO of Delaware, LLC (“Comcast MO of Delaware”) (collectively, the “cable guarantors”) and NBCUniversal (“NBCUniversal Media Parent”) have fully and unconditionally guaranteed each other’s debt securities. In addition, the Comcast and Comcast Cable Communications, LLC $6.25 billion revolving credit facility due June 2017 and the Comcast commercial paper program are also fully and unconditionally guaranteed by NBCUniversal. The Comcast commercial paper program is supported by the Comcast and Comcast Cable Communications, LLC revolving credit facility. Comcast MO Group, CCH and Comcast MO of Delaware are collectively referred to as the “Combined CCHMO Parents.” The debt securities within the guarantee structure total $32.6 billion, of which $9.3 billion will mature within the next five years.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of senior notes, as well as its $1.35 billion credit facility due March 2018 and the associated commercial paper program. NBCUniversal Media Parent does not guarantee the NBCUniversal Enterprise senior notes, credit facility or commercial paper program.</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Parent guarantee the Comcast Holdings’ ZONES due October 2029. None of Comcast Parent, the cable guarantors nor NBCUniversal Media Parent guarantee the $62 million principal amount currently outstanding of Comcast Holdings’ ZONES due November 2029.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122</w:t>
            </w: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2"/>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gridSpan w:val="2"/>
          </w:tcPr>
          <w:p>
            <w:pPr>
              <w:jc w:val="right"/>
              <w:ind w:right="13"/>
              <w:spacing w:after="0" w:line="152" w:lineRule="exact"/>
              <w:rPr>
                <w:sz w:val="20"/>
                <w:szCs w:val="20"/>
                <w:color w:val="auto"/>
              </w:rPr>
            </w:pPr>
            <w:r>
              <w:rPr>
                <w:rFonts w:ascii="Arial" w:cs="Arial" w:eastAsia="Arial" w:hAnsi="Arial"/>
                <w:sz w:val="14"/>
                <w:szCs w:val="14"/>
                <w:b w:val="1"/>
                <w:bCs w:val="1"/>
                <w:color w:val="auto"/>
              </w:rPr>
              <w:t>Combined</w:t>
            </w:r>
          </w:p>
        </w:tc>
        <w:tc>
          <w:tcPr>
            <w:tcW w:w="108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880" w:type="dxa"/>
            <w:vAlign w:val="bottom"/>
          </w:tcPr>
          <w:p>
            <w:pPr>
              <w:jc w:val="right"/>
              <w:ind w:right="13"/>
              <w:spacing w:after="0" w:line="152"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4"/>
              </w:rPr>
              <w:t>Comcast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7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CCCL</w:t>
            </w:r>
          </w:p>
        </w:tc>
        <w:tc>
          <w:tcPr>
            <w:tcW w:w="22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CCHMO</w:t>
            </w:r>
          </w:p>
        </w:tc>
        <w:tc>
          <w:tcPr>
            <w:tcW w:w="3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6"/>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2014 (in millions)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Holdings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Parents</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35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385</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3,525</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3,910</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602</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6,321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6,321</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839</w:t>
            </w:r>
          </w:p>
        </w:tc>
      </w:tr>
      <w:tr>
        <w:trPr>
          <w:trHeight w:val="199"/>
        </w:trPr>
        <w:tc>
          <w:tcPr>
            <w:tcW w:w="35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267</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1,551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1,859</w:t>
            </w:r>
          </w:p>
        </w:tc>
      </w:tr>
      <w:tr>
        <w:trPr>
          <w:trHeight w:val="199"/>
        </w:trPr>
        <w:tc>
          <w:tcPr>
            <w:tcW w:w="356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267</w:t>
            </w:r>
          </w:p>
        </w:tc>
        <w:tc>
          <w:tcPr>
            <w:tcW w:w="20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426</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12,838</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13,531</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5,727</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5,727</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2,721</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3,135</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w w:val="98"/>
              </w:rPr>
              <w:t>subsidiaries eliminated upon consolidation</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84,142</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103,420</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8"/>
              </w:rPr>
              <w:t>110,323</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58,677</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41,239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98,152</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(495,953)</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30,754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30,953</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59,364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27,316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27,316</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16,969</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16,980</w:t>
            </w:r>
          </w:p>
        </w:tc>
      </w:tr>
      <w:tr>
        <w:trPr>
          <w:trHeight w:val="199"/>
        </w:trPr>
        <w:tc>
          <w:tcPr>
            <w:tcW w:w="3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1,224</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1,949</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(1,080)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2,333</w:t>
            </w:r>
          </w:p>
        </w:tc>
      </w:tr>
      <w:tr>
        <w:trPr>
          <w:trHeight w:val="196"/>
        </w:trPr>
        <w:tc>
          <w:tcPr>
            <w:tcW w:w="3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85,879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103,568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8"/>
              </w:rPr>
              <w:t>110,323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58,677</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42,135</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255,790</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(497,033)</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159,339</w:t>
            </w:r>
          </w:p>
        </w:tc>
      </w:tr>
      <w:tr>
        <w:trPr>
          <w:trHeight w:val="199"/>
        </w:trPr>
        <w:tc>
          <w:tcPr>
            <w:tcW w:w="356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440"/>
              <w:spacing w:after="0" w:line="202" w:lineRule="exact"/>
              <w:rPr>
                <w:sz w:val="20"/>
                <w:szCs w:val="20"/>
                <w:color w:val="auto"/>
              </w:rPr>
            </w:pPr>
            <w:r>
              <w:rPr>
                <w:rFonts w:ascii="Arial" w:cs="Arial" w:eastAsia="Arial" w:hAnsi="Arial"/>
                <w:sz w:val="18"/>
                <w:szCs w:val="18"/>
                <w:color w:val="auto"/>
              </w:rPr>
              <w:t>related to trade creditors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5,618</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5,638</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1,347</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1,347</w:t>
            </w: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440"/>
              <w:spacing w:after="0" w:line="202" w:lineRule="exact"/>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1,547</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233</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3,767</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6,208</w:t>
            </w:r>
          </w:p>
        </w:tc>
      </w:tr>
      <w:tr>
        <w:trPr>
          <w:trHeight w:val="199"/>
        </w:trPr>
        <w:tc>
          <w:tcPr>
            <w:tcW w:w="35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1,650</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677</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1,006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4,217</w:t>
            </w:r>
          </w:p>
        </w:tc>
      </w:tr>
      <w:tr>
        <w:trPr>
          <w:trHeight w:val="199"/>
        </w:trPr>
        <w:tc>
          <w:tcPr>
            <w:tcW w:w="356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3,216</w:t>
            </w:r>
          </w:p>
        </w:tc>
        <w:tc>
          <w:tcPr>
            <w:tcW w:w="20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283</w:t>
            </w:r>
          </w:p>
        </w:tc>
        <w:tc>
          <w:tcPr>
            <w:tcW w:w="220" w:type="dxa"/>
            <w:vAlign w:val="bottom"/>
          </w:tcPr>
          <w:p>
            <w:pPr>
              <w:spacing w:after="0"/>
              <w:rPr>
                <w:sz w:val="17"/>
                <w:szCs w:val="17"/>
                <w:color w:val="auto"/>
              </w:rPr>
            </w:pPr>
          </w:p>
        </w:tc>
        <w:tc>
          <w:tcPr>
            <w:tcW w:w="7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233</w:t>
            </w:r>
          </w:p>
        </w:tc>
        <w:tc>
          <w:tcPr>
            <w:tcW w:w="2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725</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1,337</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11,616</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17,410</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27,616</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1,827</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822</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9,218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4,408</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44,017</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33,127</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(936)</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32,959</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2,336</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1,143</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7,484</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10,819</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redeemable subsidiary preferred stock</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1,066</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199"/>
        </w:trPr>
        <w:tc>
          <w:tcPr>
            <w:tcW w:w="35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52,681</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102,458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w w:val="98"/>
              </w:rPr>
              <w:t>108,263</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57,130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30,370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197,732</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(495,953)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52,681</w:t>
            </w:r>
          </w:p>
        </w:tc>
      </w:tr>
      <w:tr>
        <w:trPr>
          <w:trHeight w:val="199"/>
        </w:trPr>
        <w:tc>
          <w:tcPr>
            <w:tcW w:w="356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52,711</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102,458</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8"/>
              </w:rPr>
              <w:t>108,263</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57,130</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30,370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197,732</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(495,953)</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52,711</w:t>
            </w:r>
          </w:p>
        </w:tc>
      </w:tr>
      <w:tr>
        <w:trPr>
          <w:trHeight w:val="199"/>
        </w:trPr>
        <w:tc>
          <w:tcPr>
            <w:tcW w:w="35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357</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357</w:t>
            </w:r>
          </w:p>
        </w:tc>
      </w:tr>
      <w:tr>
        <w:trPr>
          <w:trHeight w:val="196"/>
        </w:trPr>
        <w:tc>
          <w:tcPr>
            <w:tcW w:w="3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52,711</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102,458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8"/>
              </w:rPr>
              <w:t>108,263</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57,130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30,370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198,089</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(495,953)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53,068</w:t>
            </w:r>
          </w:p>
        </w:tc>
      </w:tr>
      <w:tr>
        <w:trPr>
          <w:trHeight w:val="196"/>
        </w:trPr>
        <w:tc>
          <w:tcPr>
            <w:tcW w:w="3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85,879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103,568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8"/>
              </w:rPr>
              <w:t>110,323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58,677</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42,135</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255,790</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(497,033)</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159,339</w:t>
            </w:r>
          </w:p>
        </w:tc>
      </w:tr>
      <w:tr>
        <w:trPr>
          <w:trHeight w:val="506"/>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434"/>
              <w:spacing w:after="0"/>
              <w:rPr>
                <w:sz w:val="20"/>
                <w:szCs w:val="20"/>
                <w:color w:val="auto"/>
              </w:rPr>
            </w:pPr>
            <w:r>
              <w:rPr>
                <w:rFonts w:ascii="Arial" w:cs="Arial" w:eastAsia="Arial" w:hAnsi="Arial"/>
                <w:sz w:val="14"/>
                <w:szCs w:val="14"/>
                <w:b w:val="1"/>
                <w:bCs w:val="1"/>
                <w:color w:val="auto"/>
                <w:w w:val="94"/>
              </w:rPr>
              <w:t>123</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2014 Annual Report on Form 10-K</w:t>
            </w: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Combined</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7"/>
              </w:rPr>
              <w:t>Comcast</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7"/>
              </w:rPr>
              <w:t>Comcast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CCHMO</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Media</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2013 (in millions)</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Holdings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Parents</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3"/>
              </w:rPr>
              <w:t>Adjustments</w:t>
            </w:r>
          </w:p>
        </w:tc>
        <w:tc>
          <w:tcPr>
            <w:tcW w:w="9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1,382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1,718</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3,573</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3,573</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6,376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6,376</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928</w:t>
            </w:r>
          </w:p>
        </w:tc>
      </w:tr>
      <w:tr>
        <w:trPr>
          <w:trHeight w:val="199"/>
        </w:trPr>
        <w:tc>
          <w:tcPr>
            <w:tcW w:w="38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237</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1,208</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1,480</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237</w:t>
            </w:r>
          </w:p>
        </w:tc>
        <w:tc>
          <w:tcPr>
            <w:tcW w:w="2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371</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13,467</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14,075</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4,994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4,994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3,770</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subsidiaries eliminated upon consolidation</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79,956</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97,429</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102,673</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54,724</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40,644</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85,164</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(460,590)</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220</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29,620</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29,840</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59,364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27,098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27,098</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17,318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17,329</w:t>
            </w:r>
          </w:p>
        </w:tc>
      </w:tr>
      <w:tr>
        <w:trPr>
          <w:trHeight w:val="199"/>
        </w:trPr>
        <w:tc>
          <w:tcPr>
            <w:tcW w:w="3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1,078</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1,899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(882)</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2,343</w:t>
            </w:r>
          </w:p>
        </w:tc>
      </w:tr>
      <w:tr>
        <w:trPr>
          <w:trHeight w:val="196"/>
        </w:trPr>
        <w:tc>
          <w:tcPr>
            <w:tcW w:w="3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81,513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97,574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102,673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54,724</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41,492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242,309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(461,472)</w:t>
            </w:r>
          </w:p>
        </w:tc>
        <w:tc>
          <w:tcPr>
            <w:tcW w:w="1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158,813</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440"/>
              <w:spacing w:after="0" w:line="202" w:lineRule="exact"/>
              <w:rPr>
                <w:sz w:val="20"/>
                <w:szCs w:val="20"/>
                <w:color w:val="auto"/>
              </w:rPr>
            </w:pPr>
            <w:r>
              <w:rPr>
                <w:rFonts w:ascii="Arial" w:cs="Arial" w:eastAsia="Arial" w:hAnsi="Arial"/>
                <w:sz w:val="18"/>
                <w:szCs w:val="18"/>
                <w:color w:val="auto"/>
              </w:rPr>
              <w:t>related to trade creditors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5,520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5,528</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w:t>
            </w: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w w:val="98"/>
              </w:rPr>
              <w:t>Accrued expenses and other current liabilities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1,371</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6,678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8,865</w:t>
            </w:r>
          </w:p>
        </w:tc>
      </w:tr>
      <w:tr>
        <w:trPr>
          <w:trHeight w:val="199"/>
        </w:trPr>
        <w:tc>
          <w:tcPr>
            <w:tcW w:w="38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2,351</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3,280</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3,730</w:t>
            </w:r>
          </w:p>
        </w:tc>
        <w:tc>
          <w:tcPr>
            <w:tcW w:w="2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266</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47</w:t>
            </w:r>
          </w:p>
        </w:tc>
        <w:tc>
          <w:tcPr>
            <w:tcW w:w="3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1,226</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13,463</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18,912</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25,170</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1,505</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10,236</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5,697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44,567</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31,840</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31,935</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1,919</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8,675</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11,384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redeemable subsidiary preferred stock</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957</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199"/>
        </w:trPr>
        <w:tc>
          <w:tcPr>
            <w:tcW w:w="38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50,664</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96,399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100,666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53,172</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29,040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181,313</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(460,590)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50,664</w:t>
            </w:r>
          </w:p>
        </w:tc>
      </w:tr>
      <w:tr>
        <w:trPr>
          <w:trHeight w:val="199"/>
        </w:trPr>
        <w:tc>
          <w:tcPr>
            <w:tcW w:w="3820" w:type="dxa"/>
            <w:vAlign w:val="bottom"/>
          </w:tcPr>
          <w:p>
            <w:pPr>
              <w:spacing w:after="0" w:line="200" w:lineRule="exact"/>
              <w:rPr>
                <w:sz w:val="20"/>
                <w:szCs w:val="20"/>
                <w:color w:val="auto"/>
              </w:rPr>
            </w:pPr>
            <w:r>
              <w:rPr>
                <w:rFonts w:ascii="Arial" w:cs="Arial" w:eastAsia="Arial" w:hAnsi="Arial"/>
                <w:sz w:val="18"/>
                <w:szCs w:val="18"/>
                <w:color w:val="auto"/>
                <w:w w:val="99"/>
              </w:rPr>
              <w:t>Total Comcast Corporation shareholders’ equity</w:t>
            </w:r>
          </w:p>
        </w:tc>
        <w:tc>
          <w:tcPr>
            <w:tcW w:w="20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w w:val="98"/>
              </w:rPr>
              <w:t>50,694</w:t>
            </w:r>
          </w:p>
        </w:tc>
        <w:tc>
          <w:tcPr>
            <w:tcW w:w="2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w w:val="98"/>
              </w:rPr>
              <w:t>96,399</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100,666</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53,172</w:t>
            </w:r>
          </w:p>
        </w:tc>
        <w:tc>
          <w:tcPr>
            <w:tcW w:w="3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29,040</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181,313</w:t>
            </w: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(460,590)</w:t>
            </w:r>
          </w:p>
        </w:tc>
        <w:tc>
          <w:tcPr>
            <w:tcW w:w="1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50,694</w:t>
            </w:r>
          </w:p>
        </w:tc>
      </w:tr>
      <w:tr>
        <w:trPr>
          <w:trHeight w:val="199"/>
        </w:trPr>
        <w:tc>
          <w:tcPr>
            <w:tcW w:w="3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364</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364</w:t>
            </w:r>
          </w:p>
        </w:tc>
      </w:tr>
      <w:tr>
        <w:trPr>
          <w:trHeight w:val="196"/>
        </w:trPr>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50,694</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96,399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100,666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53,172</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29,040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181,677</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(460,590)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51,058</w:t>
            </w:r>
          </w:p>
        </w:tc>
      </w:tr>
      <w:tr>
        <w:trPr>
          <w:trHeight w:val="196"/>
        </w:trPr>
        <w:tc>
          <w:tcPr>
            <w:tcW w:w="3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81,513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97,574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102,673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54,724</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41,492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242,309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(461,472)</w:t>
            </w:r>
          </w:p>
        </w:tc>
        <w:tc>
          <w:tcPr>
            <w:tcW w:w="1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158,813</w:t>
            </w:r>
          </w:p>
        </w:tc>
      </w:tr>
      <w:tr>
        <w:trPr>
          <w:trHeight w:val="506"/>
        </w:trPr>
        <w:tc>
          <w:tcPr>
            <w:tcW w:w="38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2"/>
          </w:tcPr>
          <w:p>
            <w:pPr>
              <w:jc w:val="right"/>
              <w:ind w:right="613"/>
              <w:spacing w:after="0"/>
              <w:rPr>
                <w:sz w:val="20"/>
                <w:szCs w:val="20"/>
                <w:color w:val="auto"/>
              </w:rPr>
            </w:pPr>
            <w:r>
              <w:rPr>
                <w:rFonts w:ascii="Arial" w:cs="Arial" w:eastAsia="Arial" w:hAnsi="Arial"/>
                <w:sz w:val="14"/>
                <w:szCs w:val="14"/>
                <w:b w:val="1"/>
                <w:bCs w:val="1"/>
                <w:color w:val="auto"/>
              </w:rPr>
              <w:t>124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Elimination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2"/>
          </w:tcPr>
          <w:p>
            <w:pPr>
              <w:ind w:left="60"/>
              <w:spacing w:after="0" w:line="152" w:lineRule="exact"/>
              <w:rPr>
                <w:sz w:val="20"/>
                <w:szCs w:val="20"/>
                <w:color w:val="auto"/>
              </w:rPr>
            </w:pPr>
            <w:r>
              <w:rPr>
                <w:rFonts w:ascii="Arial" w:cs="Arial" w:eastAsia="Arial" w:hAnsi="Arial"/>
                <w:sz w:val="14"/>
                <w:szCs w:val="14"/>
                <w:b w:val="1"/>
                <w:bCs w:val="1"/>
                <w:color w:val="auto"/>
              </w:rPr>
              <w:t>Combined</w:t>
            </w:r>
          </w:p>
        </w:tc>
        <w:tc>
          <w:tcPr>
            <w:tcW w:w="108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3"/>
                <w:szCs w:val="13"/>
                <w:color w:val="auto"/>
              </w:rPr>
            </w:pPr>
          </w:p>
        </w:tc>
        <w:tc>
          <w:tcPr>
            <w:tcW w:w="800" w:type="dxa"/>
            <w:vAlign w:val="bottom"/>
          </w:tcPr>
          <w:p>
            <w:pPr>
              <w:jc w:val="right"/>
              <w:ind w:right="35"/>
              <w:spacing w:after="0" w:line="152"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3"/>
                <w:szCs w:val="13"/>
                <w:color w:val="auto"/>
              </w:rPr>
            </w:pPr>
          </w:p>
        </w:tc>
        <w:tc>
          <w:tcPr>
            <w:tcW w:w="880" w:type="dxa"/>
            <w:vAlign w:val="bottom"/>
          </w:tcPr>
          <w:p>
            <w:pPr>
              <w:jc w:val="right"/>
              <w:ind w:right="34"/>
              <w:spacing w:after="0" w:line="152"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2014</w:t>
            </w:r>
          </w:p>
        </w:tc>
        <w:tc>
          <w:tcPr>
            <w:tcW w:w="860" w:type="dxa"/>
            <w:vAlign w:val="bottom"/>
            <w:gridSpan w:val="2"/>
          </w:tcPr>
          <w:p>
            <w:pPr>
              <w:jc w:val="right"/>
              <w:ind w:right="33"/>
              <w:spacing w:after="0" w:line="149" w:lineRule="exact"/>
              <w:rPr>
                <w:sz w:val="20"/>
                <w:szCs w:val="20"/>
                <w:color w:val="auto"/>
              </w:rPr>
            </w:pPr>
            <w:r>
              <w:rPr>
                <w:rFonts w:ascii="Arial" w:cs="Arial" w:eastAsia="Arial" w:hAnsi="Arial"/>
                <w:sz w:val="14"/>
                <w:szCs w:val="14"/>
                <w:b w:val="1"/>
                <w:bCs w:val="1"/>
                <w:color w:val="auto"/>
              </w:rPr>
              <w:t>Comcast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5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CCCL</w:t>
            </w:r>
          </w:p>
        </w:tc>
        <w:tc>
          <w:tcPr>
            <w:tcW w:w="180" w:type="dxa"/>
            <w:vAlign w:val="bottom"/>
          </w:tcPr>
          <w:p>
            <w:pPr>
              <w:spacing w:after="0"/>
              <w:rPr>
                <w:sz w:val="12"/>
                <w:szCs w:val="12"/>
                <w:color w:val="auto"/>
              </w:rPr>
            </w:pPr>
          </w:p>
        </w:tc>
        <w:tc>
          <w:tcPr>
            <w:tcW w:w="6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8"/>
              </w:rPr>
              <w:t>CCHMO</w:t>
            </w:r>
          </w:p>
        </w:tc>
        <w:tc>
          <w:tcPr>
            <w:tcW w:w="3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8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Consolidation</w:t>
            </w:r>
          </w:p>
        </w:tc>
        <w:tc>
          <w:tcPr>
            <w:tcW w:w="26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6"/>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Parent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Parents</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Parent</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68,775</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68,775</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947</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921</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582</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(2,450)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947</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921</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582</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68,775</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68,775</w:t>
            </w:r>
          </w:p>
        </w:tc>
      </w:tr>
      <w:tr>
        <w:trPr>
          <w:trHeight w:val="199"/>
        </w:trPr>
        <w:tc>
          <w:tcPr>
            <w:tcW w:w="20" w:type="dxa"/>
            <w:vAlign w:val="bottom"/>
          </w:tcPr>
          <w:p>
            <w:pPr>
              <w:spacing w:after="0"/>
              <w:rPr>
                <w:sz w:val="17"/>
                <w:szCs w:val="17"/>
                <w:color w:val="auto"/>
              </w:rPr>
            </w:pPr>
          </w:p>
        </w:tc>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20,912</w:t>
            </w:r>
          </w:p>
        </w:tc>
        <w:tc>
          <w:tcPr>
            <w:tcW w:w="20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20,912</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751</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921</w:t>
            </w:r>
          </w:p>
        </w:tc>
        <w:tc>
          <w:tcPr>
            <w:tcW w:w="18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582</w:t>
            </w:r>
          </w:p>
        </w:tc>
        <w:tc>
          <w:tcPr>
            <w:tcW w:w="34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908</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19,150</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(2,450)</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19,862</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5,078</w:t>
            </w:r>
          </w:p>
        </w:tc>
        <w:tc>
          <w:tcPr>
            <w:tcW w:w="20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5,078</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6,303</w:t>
            </w:r>
          </w:p>
        </w:tc>
        <w:tc>
          <w:tcPr>
            <w:tcW w:w="20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6,337</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1,676</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1,682</w:t>
            </w: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791</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921</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582</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908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53,119</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53,871</w:t>
            </w:r>
          </w:p>
        </w:tc>
      </w:tr>
      <w:tr>
        <w:trPr>
          <w:trHeight w:val="177"/>
        </w:trPr>
        <w:tc>
          <w:tcPr>
            <w:tcW w:w="39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5"/>
                <w:szCs w:val="15"/>
                <w:color w:val="auto"/>
              </w:rPr>
            </w:pPr>
          </w:p>
        </w:tc>
        <w:tc>
          <w:tcPr>
            <w:tcW w:w="620" w:type="dxa"/>
            <w:vAlign w:val="bottom"/>
          </w:tcPr>
          <w:p>
            <w:pPr>
              <w:jc w:val="right"/>
              <w:ind w:right="33"/>
              <w:spacing w:after="0" w:line="177" w:lineRule="exact"/>
              <w:rPr>
                <w:sz w:val="20"/>
                <w:szCs w:val="20"/>
                <w:color w:val="auto"/>
              </w:rPr>
            </w:pPr>
            <w:r>
              <w:rPr>
                <w:rFonts w:ascii="Arial" w:cs="Arial" w:eastAsia="Arial" w:hAnsi="Arial"/>
                <w:sz w:val="18"/>
                <w:szCs w:val="18"/>
                <w:color w:val="auto"/>
              </w:rPr>
              <w:t>156</w:t>
            </w:r>
          </w:p>
        </w:tc>
        <w:tc>
          <w:tcPr>
            <w:tcW w:w="20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40" w:type="dxa"/>
            <w:vAlign w:val="bottom"/>
          </w:tcPr>
          <w:p>
            <w:pPr>
              <w:jc w:val="right"/>
              <w:ind w:right="14"/>
              <w:spacing w:after="0" w:line="177"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(908)</w:t>
            </w:r>
          </w:p>
        </w:tc>
        <w:tc>
          <w:tcPr>
            <w:tcW w:w="200" w:type="dxa"/>
            <w:vAlign w:val="bottom"/>
          </w:tcPr>
          <w:p>
            <w:pPr>
              <w:spacing w:after="0"/>
              <w:rPr>
                <w:sz w:val="15"/>
                <w:szCs w:val="15"/>
                <w:color w:val="auto"/>
              </w:rPr>
            </w:pPr>
          </w:p>
        </w:tc>
        <w:tc>
          <w:tcPr>
            <w:tcW w:w="80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15,656</w:t>
            </w:r>
          </w:p>
        </w:tc>
        <w:tc>
          <w:tcPr>
            <w:tcW w:w="20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14,904</w:t>
            </w:r>
          </w:p>
        </w:tc>
      </w:tr>
      <w:tr>
        <w:trPr>
          <w:trHeight w:val="225"/>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(1,621)</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0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(2,617)</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2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288</w:t>
            </w:r>
          </w:p>
        </w:tc>
        <w:tc>
          <w:tcPr>
            <w:tcW w:w="20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296</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2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9,330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8,843</w:t>
            </w:r>
          </w:p>
        </w:tc>
        <w:tc>
          <w:tcPr>
            <w:tcW w:w="260" w:type="dxa"/>
            <w:vAlign w:val="bottom"/>
          </w:tcPr>
          <w:p>
            <w:pPr>
              <w:spacing w:after="0"/>
              <w:rPr>
                <w:sz w:val="17"/>
                <w:szCs w:val="17"/>
                <w:color w:val="auto"/>
              </w:rPr>
            </w:pPr>
          </w:p>
        </w:tc>
        <w:tc>
          <w:tcPr>
            <w:tcW w:w="56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3"/>
              </w:rPr>
              <w:t>8,273</w:t>
            </w:r>
          </w:p>
        </w:tc>
        <w:tc>
          <w:tcPr>
            <w:tcW w:w="18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6,333</w:t>
            </w:r>
          </w:p>
        </w:tc>
        <w:tc>
          <w:tcPr>
            <w:tcW w:w="34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4,523</w:t>
            </w:r>
          </w:p>
        </w:tc>
        <w:tc>
          <w:tcPr>
            <w:tcW w:w="20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3,212</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(40,417)</w:t>
            </w:r>
          </w:p>
        </w:tc>
        <w:tc>
          <w:tcPr>
            <w:tcW w:w="26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97</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(215)</w:t>
            </w: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7,712</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8,844</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w w:val="93"/>
              </w:rPr>
              <w:t>8,097</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6,215</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4,033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3,077</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(40,417)</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(2,439)</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7,868</w:t>
            </w:r>
          </w:p>
        </w:tc>
        <w:tc>
          <w:tcPr>
            <w:tcW w:w="20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8,844</w:t>
            </w:r>
          </w:p>
        </w:tc>
        <w:tc>
          <w:tcPr>
            <w:tcW w:w="260" w:type="dxa"/>
            <w:vAlign w:val="bottom"/>
          </w:tcPr>
          <w:p>
            <w:pPr>
              <w:spacing w:after="0"/>
              <w:rPr>
                <w:sz w:val="17"/>
                <w:szCs w:val="17"/>
                <w:color w:val="auto"/>
              </w:rPr>
            </w:pPr>
          </w:p>
        </w:tc>
        <w:tc>
          <w:tcPr>
            <w:tcW w:w="560" w:type="dxa"/>
            <w:vAlign w:val="bottom"/>
          </w:tcPr>
          <w:p>
            <w:pPr>
              <w:jc w:val="right"/>
              <w:ind w:right="34"/>
              <w:spacing w:after="0" w:line="200" w:lineRule="exact"/>
              <w:rPr>
                <w:sz w:val="20"/>
                <w:szCs w:val="20"/>
                <w:color w:val="auto"/>
              </w:rPr>
            </w:pPr>
            <w:r>
              <w:rPr>
                <w:rFonts w:ascii="Arial" w:cs="Arial" w:eastAsia="Arial" w:hAnsi="Arial"/>
                <w:sz w:val="18"/>
                <w:szCs w:val="18"/>
                <w:color w:val="auto"/>
                <w:w w:val="93"/>
              </w:rPr>
              <w:t>8,097</w:t>
            </w:r>
          </w:p>
        </w:tc>
        <w:tc>
          <w:tcPr>
            <w:tcW w:w="18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6,215</w:t>
            </w:r>
          </w:p>
        </w:tc>
        <w:tc>
          <w:tcPr>
            <w:tcW w:w="340" w:type="dxa"/>
            <w:vAlign w:val="bottom"/>
          </w:tcPr>
          <w:p>
            <w:pPr>
              <w:spacing w:after="0"/>
              <w:rPr>
                <w:sz w:val="17"/>
                <w:szCs w:val="17"/>
                <w:color w:val="auto"/>
              </w:rPr>
            </w:pPr>
          </w:p>
        </w:tc>
        <w:tc>
          <w:tcPr>
            <w:tcW w:w="7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3,125</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18,733</w:t>
            </w:r>
          </w:p>
        </w:tc>
        <w:tc>
          <w:tcPr>
            <w:tcW w:w="2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(40,417)</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12,465</w:t>
            </w:r>
          </w:p>
        </w:tc>
      </w:tr>
      <w:tr>
        <w:trPr>
          <w:trHeight w:val="199"/>
        </w:trPr>
        <w:tc>
          <w:tcPr>
            <w:tcW w:w="3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512</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(4,478)</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(3,873)</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8,380</w:t>
            </w:r>
          </w:p>
        </w:tc>
        <w:tc>
          <w:tcPr>
            <w:tcW w:w="20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8,844</w:t>
            </w:r>
          </w:p>
        </w:tc>
        <w:tc>
          <w:tcPr>
            <w:tcW w:w="260" w:type="dxa"/>
            <w:vAlign w:val="bottom"/>
          </w:tcPr>
          <w:p>
            <w:pPr>
              <w:spacing w:after="0"/>
              <w:rPr>
                <w:sz w:val="17"/>
                <w:szCs w:val="17"/>
                <w:color w:val="auto"/>
              </w:rPr>
            </w:pPr>
          </w:p>
        </w:tc>
        <w:tc>
          <w:tcPr>
            <w:tcW w:w="560" w:type="dxa"/>
            <w:vAlign w:val="bottom"/>
          </w:tcPr>
          <w:p>
            <w:pPr>
              <w:jc w:val="right"/>
              <w:ind w:right="34"/>
              <w:spacing w:after="0" w:line="200" w:lineRule="exact"/>
              <w:rPr>
                <w:sz w:val="20"/>
                <w:szCs w:val="20"/>
                <w:color w:val="auto"/>
              </w:rPr>
            </w:pPr>
            <w:r>
              <w:rPr>
                <w:rFonts w:ascii="Arial" w:cs="Arial" w:eastAsia="Arial" w:hAnsi="Arial"/>
                <w:sz w:val="18"/>
                <w:szCs w:val="18"/>
                <w:color w:val="auto"/>
                <w:w w:val="93"/>
              </w:rPr>
              <w:t>8,159</w:t>
            </w:r>
          </w:p>
        </w:tc>
        <w:tc>
          <w:tcPr>
            <w:tcW w:w="180" w:type="dxa"/>
            <w:vAlign w:val="bottom"/>
          </w:tcPr>
          <w:p>
            <w:pPr>
              <w:spacing w:after="0"/>
              <w:rPr>
                <w:sz w:val="17"/>
                <w:szCs w:val="17"/>
                <w:color w:val="auto"/>
              </w:rPr>
            </w:pPr>
          </w:p>
        </w:tc>
        <w:tc>
          <w:tcPr>
            <w:tcW w:w="6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6,256</w:t>
            </w:r>
          </w:p>
        </w:tc>
        <w:tc>
          <w:tcPr>
            <w:tcW w:w="340" w:type="dxa"/>
            <w:vAlign w:val="bottom"/>
          </w:tcPr>
          <w:p>
            <w:pPr>
              <w:spacing w:after="0"/>
              <w:rPr>
                <w:sz w:val="17"/>
                <w:szCs w:val="17"/>
                <w:color w:val="auto"/>
              </w:rPr>
            </w:pPr>
          </w:p>
        </w:tc>
        <w:tc>
          <w:tcPr>
            <w:tcW w:w="740" w:type="dxa"/>
            <w:vAlign w:val="bottom"/>
          </w:tcPr>
          <w:p>
            <w:pPr>
              <w:jc w:val="right"/>
              <w:ind w:right="14"/>
              <w:spacing w:after="0" w:line="200" w:lineRule="exact"/>
              <w:rPr>
                <w:sz w:val="20"/>
                <w:szCs w:val="20"/>
                <w:color w:val="auto"/>
              </w:rPr>
            </w:pPr>
            <w:r>
              <w:rPr>
                <w:rFonts w:ascii="Arial" w:cs="Arial" w:eastAsia="Arial" w:hAnsi="Arial"/>
                <w:sz w:val="18"/>
                <w:szCs w:val="18"/>
                <w:color w:val="auto"/>
              </w:rPr>
              <w:t>3,115</w:t>
            </w:r>
          </w:p>
        </w:tc>
        <w:tc>
          <w:tcPr>
            <w:tcW w:w="200" w:type="dxa"/>
            <w:vAlign w:val="bottom"/>
          </w:tcPr>
          <w:p>
            <w:pPr>
              <w:spacing w:after="0"/>
              <w:rPr>
                <w:sz w:val="17"/>
                <w:szCs w:val="17"/>
                <w:color w:val="auto"/>
              </w:rPr>
            </w:pPr>
          </w:p>
        </w:tc>
        <w:tc>
          <w:tcPr>
            <w:tcW w:w="80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14,255</w:t>
            </w:r>
          </w:p>
        </w:tc>
        <w:tc>
          <w:tcPr>
            <w:tcW w:w="2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(40,417)</w:t>
            </w:r>
          </w:p>
        </w:tc>
        <w:tc>
          <w:tcPr>
            <w:tcW w:w="26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8,592</w:t>
            </w: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interests and redeemable subsidiary preferred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(212)</w:t>
            </w:r>
          </w:p>
        </w:tc>
      </w:tr>
      <w:tr>
        <w:trPr>
          <w:trHeight w:val="177"/>
        </w:trPr>
        <w:tc>
          <w:tcPr>
            <w:tcW w:w="20" w:type="dxa"/>
            <w:vAlign w:val="bottom"/>
          </w:tcPr>
          <w:p>
            <w:pPr>
              <w:spacing w:after="0"/>
              <w:rPr>
                <w:sz w:val="15"/>
                <w:szCs w:val="15"/>
                <w:color w:val="auto"/>
              </w:rPr>
            </w:pPr>
          </w:p>
        </w:tc>
        <w:tc>
          <w:tcPr>
            <w:tcW w:w="39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8,380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8,844</w:t>
            </w:r>
          </w:p>
        </w:tc>
        <w:tc>
          <w:tcPr>
            <w:tcW w:w="26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w w:val="93"/>
              </w:rPr>
              <w:t>8,159</w:t>
            </w:r>
          </w:p>
        </w:tc>
        <w:tc>
          <w:tcPr>
            <w:tcW w:w="18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0C6DFF"/>
            </w:tcBorders>
          </w:tcPr>
          <w:p>
            <w:pPr>
              <w:jc w:val="right"/>
              <w:ind w:right="14"/>
              <w:spacing w:after="0"/>
              <w:rPr>
                <w:sz w:val="20"/>
                <w:szCs w:val="20"/>
                <w:color w:val="auto"/>
              </w:rPr>
            </w:pPr>
            <w:r>
              <w:rPr>
                <w:rFonts w:ascii="Arial" w:cs="Arial" w:eastAsia="Arial" w:hAnsi="Arial"/>
                <w:sz w:val="18"/>
                <w:szCs w:val="18"/>
                <w:b w:val="1"/>
                <w:bCs w:val="1"/>
                <w:color w:val="auto"/>
              </w:rPr>
              <w:t>6,256</w:t>
            </w:r>
          </w:p>
        </w:tc>
        <w:tc>
          <w:tcPr>
            <w:tcW w:w="34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4"/>
              <w:spacing w:after="0"/>
              <w:rPr>
                <w:sz w:val="20"/>
                <w:szCs w:val="20"/>
                <w:color w:val="auto"/>
              </w:rPr>
            </w:pPr>
            <w:r>
              <w:rPr>
                <w:rFonts w:ascii="Arial" w:cs="Arial" w:eastAsia="Arial" w:hAnsi="Arial"/>
                <w:sz w:val="18"/>
                <w:szCs w:val="18"/>
                <w:b w:val="1"/>
                <w:bCs w:val="1"/>
                <w:color w:val="auto"/>
              </w:rPr>
              <w:t>3,115</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14,043</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(40,417)</w:t>
            </w:r>
          </w:p>
        </w:tc>
        <w:tc>
          <w:tcPr>
            <w:tcW w:w="2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8,380</w:t>
            </w:r>
          </w:p>
        </w:tc>
      </w:tr>
      <w:tr>
        <w:trPr>
          <w:trHeight w:val="177"/>
        </w:trPr>
        <w:tc>
          <w:tcPr>
            <w:tcW w:w="20" w:type="dxa"/>
            <w:vAlign w:val="bottom"/>
          </w:tcPr>
          <w:p>
            <w:pPr>
              <w:spacing w:after="0"/>
              <w:rPr>
                <w:sz w:val="15"/>
                <w:szCs w:val="15"/>
                <w:color w:val="auto"/>
              </w:rPr>
            </w:pPr>
          </w:p>
        </w:tc>
        <w:tc>
          <w:tcPr>
            <w:tcW w:w="39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8,178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8,807</w:t>
            </w:r>
          </w:p>
        </w:tc>
        <w:tc>
          <w:tcPr>
            <w:tcW w:w="26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w w:val="93"/>
              </w:rPr>
              <w:t>8,162</w:t>
            </w:r>
          </w:p>
        </w:tc>
        <w:tc>
          <w:tcPr>
            <w:tcW w:w="18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0C6DFF"/>
            </w:tcBorders>
          </w:tcPr>
          <w:p>
            <w:pPr>
              <w:jc w:val="right"/>
              <w:ind w:right="14"/>
              <w:spacing w:after="0"/>
              <w:rPr>
                <w:sz w:val="20"/>
                <w:szCs w:val="20"/>
                <w:color w:val="auto"/>
              </w:rPr>
            </w:pPr>
            <w:r>
              <w:rPr>
                <w:rFonts w:ascii="Arial" w:cs="Arial" w:eastAsia="Arial" w:hAnsi="Arial"/>
                <w:sz w:val="18"/>
                <w:szCs w:val="18"/>
                <w:b w:val="1"/>
                <w:bCs w:val="1"/>
                <w:color w:val="auto"/>
              </w:rPr>
              <w:t>6,257</w:t>
            </w:r>
          </w:p>
        </w:tc>
        <w:tc>
          <w:tcPr>
            <w:tcW w:w="34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4"/>
              <w:spacing w:after="0"/>
              <w:rPr>
                <w:sz w:val="20"/>
                <w:szCs w:val="20"/>
                <w:color w:val="auto"/>
              </w:rPr>
            </w:pPr>
            <w:r>
              <w:rPr>
                <w:rFonts w:ascii="Arial" w:cs="Arial" w:eastAsia="Arial" w:hAnsi="Arial"/>
                <w:sz w:val="18"/>
                <w:szCs w:val="18"/>
                <w:b w:val="1"/>
                <w:bCs w:val="1"/>
                <w:color w:val="auto"/>
              </w:rPr>
              <w:t>2,972</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13,980</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(40,178)</w:t>
            </w:r>
          </w:p>
        </w:tc>
        <w:tc>
          <w:tcPr>
            <w:tcW w:w="2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8,178</w:t>
            </w:r>
          </w:p>
        </w:tc>
      </w:tr>
      <w:tr>
        <w:trPr>
          <w:trHeight w:val="50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4"/>
              </w:rPr>
              <w:t>125</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2014 Annual Report on Form 10-K</w:t>
            </w: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Combined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2013</w:t>
            </w:r>
          </w:p>
        </w:tc>
        <w:tc>
          <w:tcPr>
            <w:tcW w:w="10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32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Holdings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Parents</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64,657</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64,657</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897</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874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548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(2,319)</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897</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874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548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64,657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(2,319)</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64,657</w:t>
            </w:r>
          </w:p>
        </w:tc>
      </w:tr>
      <w:tr>
        <w:trPr>
          <w:trHeight w:val="199"/>
        </w:trPr>
        <w:tc>
          <w:tcPr>
            <w:tcW w:w="20" w:type="dxa"/>
            <w:vAlign w:val="bottom"/>
          </w:tcPr>
          <w:p>
            <w:pPr>
              <w:spacing w:after="0"/>
              <w:rPr>
                <w:sz w:val="17"/>
                <w:szCs w:val="17"/>
                <w:color w:val="auto"/>
              </w:rPr>
            </w:pPr>
          </w:p>
        </w:tc>
        <w:tc>
          <w:tcPr>
            <w:tcW w:w="40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19,670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19,670</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403</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874</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548</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855</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18,223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(2,319)</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18,584</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4,969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4,969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6,224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6,254</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1,612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1,617</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438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874</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548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855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50,698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(2,319)</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51,094</w:t>
            </w:r>
          </w:p>
        </w:tc>
      </w:tr>
      <w:tr>
        <w:trPr>
          <w:trHeight w:val="177"/>
        </w:trPr>
        <w:tc>
          <w:tcPr>
            <w:tcW w:w="40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5"/>
                <w:szCs w:val="15"/>
                <w:color w:val="auto"/>
              </w:rPr>
            </w:pPr>
          </w:p>
        </w:tc>
        <w:tc>
          <w:tcPr>
            <w:tcW w:w="620" w:type="dxa"/>
            <w:vAlign w:val="bottom"/>
          </w:tcPr>
          <w:p>
            <w:pPr>
              <w:jc w:val="right"/>
              <w:ind w:right="33"/>
              <w:spacing w:after="0" w:line="177" w:lineRule="exact"/>
              <w:rPr>
                <w:sz w:val="20"/>
                <w:szCs w:val="20"/>
                <w:color w:val="auto"/>
              </w:rPr>
            </w:pPr>
            <w:r>
              <w:rPr>
                <w:rFonts w:ascii="Arial" w:cs="Arial" w:eastAsia="Arial" w:hAnsi="Arial"/>
                <w:sz w:val="18"/>
                <w:szCs w:val="18"/>
                <w:color w:val="auto"/>
              </w:rPr>
              <w:t>459</w:t>
            </w:r>
          </w:p>
        </w:tc>
        <w:tc>
          <w:tcPr>
            <w:tcW w:w="200" w:type="dxa"/>
            <w:vAlign w:val="bottom"/>
          </w:tcPr>
          <w:p>
            <w:pPr>
              <w:spacing w:after="0"/>
              <w:rPr>
                <w:sz w:val="15"/>
                <w:szCs w:val="15"/>
                <w:color w:val="auto"/>
              </w:rPr>
            </w:pPr>
          </w:p>
        </w:tc>
        <w:tc>
          <w:tcPr>
            <w:tcW w:w="6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(855)</w:t>
            </w:r>
          </w:p>
        </w:tc>
        <w:tc>
          <w:tcPr>
            <w:tcW w:w="180" w:type="dxa"/>
            <w:vAlign w:val="bottom"/>
          </w:tcPr>
          <w:p>
            <w:pPr>
              <w:spacing w:after="0"/>
              <w:rPr>
                <w:sz w:val="15"/>
                <w:szCs w:val="15"/>
                <w:color w:val="auto"/>
              </w:rPr>
            </w:pPr>
          </w:p>
        </w:tc>
        <w:tc>
          <w:tcPr>
            <w:tcW w:w="7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13,959</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13,563</w:t>
            </w:r>
          </w:p>
        </w:tc>
      </w:tr>
      <w:tr>
        <w:trPr>
          <w:trHeight w:val="2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(1,523)</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(2,574)</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586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576</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7,509</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7,540</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7,430</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5,473</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3,331</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1,882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(33,251)</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(364)</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5,984</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7,516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7,220</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5,347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2,845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1,891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(33,251)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6,443</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7,516</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7,220</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5,347</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1,990</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15,850</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(33,251)</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11,115</w:t>
            </w:r>
          </w:p>
        </w:tc>
      </w:tr>
      <w:tr>
        <w:trPr>
          <w:trHeight w:val="199"/>
        </w:trPr>
        <w:tc>
          <w:tcPr>
            <w:tcW w:w="4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373</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(4,457)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(3,980)</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6,816</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7,525</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7,293</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5,391</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1,968</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11,393</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(33,251)</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7,135</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interests and redeemable subsidiary preferred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stock</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6,816</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7,525</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7,293</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5,391</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1,968</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11,074</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(33,251)</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6,816</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6,883</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7,521</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7,276</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5,392</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10,969</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(33,175)</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6,883</w:t>
            </w:r>
          </w:p>
        </w:tc>
      </w:tr>
      <w:tr>
        <w:trPr>
          <w:trHeight w:val="506"/>
        </w:trPr>
        <w:tc>
          <w:tcPr>
            <w:tcW w:w="4060" w:type="dxa"/>
            <w:vAlign w:val="bottom"/>
            <w:gridSpan w:val="2"/>
          </w:tcPr>
          <w:p>
            <w:pPr>
              <w:spacing w:after="0"/>
              <w:rPr>
                <w:sz w:val="20"/>
                <w:szCs w:val="20"/>
                <w:color w:val="auto"/>
              </w:rPr>
            </w:pPr>
            <w:r>
              <w:rPr>
                <w:rFonts w:ascii="Arial" w:cs="Arial" w:eastAsia="Arial" w:hAnsi="Arial"/>
                <w:sz w:val="14"/>
                <w:szCs w:val="14"/>
                <w:color w:val="auto"/>
              </w:rPr>
              <w:t>Comcast 2014 Annual Report on Form 10-K</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color w:val="auto"/>
                <w:w w:val="96"/>
              </w:rPr>
              <w:t>Elimination</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Combined</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2012</w:t>
            </w:r>
          </w:p>
        </w:tc>
        <w:tc>
          <w:tcPr>
            <w:tcW w:w="100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Comcast</w:t>
            </w:r>
          </w:p>
        </w:tc>
        <w:tc>
          <w:tcPr>
            <w:tcW w:w="180" w:type="dxa"/>
            <w:vAlign w:val="bottom"/>
          </w:tcPr>
          <w:p>
            <w:pPr>
              <w:spacing w:after="0"/>
              <w:rPr>
                <w:sz w:val="12"/>
                <w:szCs w:val="12"/>
                <w:color w:val="auto"/>
              </w:rPr>
            </w:pPr>
          </w:p>
        </w:tc>
        <w:tc>
          <w:tcPr>
            <w:tcW w:w="60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320" w:type="dxa"/>
            <w:vAlign w:val="bottom"/>
          </w:tcPr>
          <w:p>
            <w:pPr>
              <w:spacing w:after="0"/>
              <w:rPr>
                <w:sz w:val="12"/>
                <w:szCs w:val="12"/>
                <w:color w:val="auto"/>
              </w:rPr>
            </w:pPr>
          </w:p>
        </w:tc>
        <w:tc>
          <w:tcPr>
            <w:tcW w:w="72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8"/>
              </w:rPr>
              <w:t>Guarantor</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Consolidation</w:t>
            </w:r>
          </w:p>
        </w:tc>
        <w:tc>
          <w:tcPr>
            <w:tcW w:w="26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Parent</w:t>
            </w:r>
          </w:p>
        </w:tc>
        <w:tc>
          <w:tcPr>
            <w:tcW w:w="82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Holdings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Parents</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Subsidiaries</w:t>
            </w:r>
          </w:p>
        </w:tc>
        <w:tc>
          <w:tcPr>
            <w:tcW w:w="10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color w:val="auto"/>
              </w:rPr>
              <w:t>Adjustments</w:t>
            </w:r>
          </w:p>
        </w:tc>
        <w:tc>
          <w:tcPr>
            <w:tcW w:w="9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62,570</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827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62,570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40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19,929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19,929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401</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827</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516</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899</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17,381</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(2,191)</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17,833</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4,831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4,831</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6,120</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6,150</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1,644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1,648</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435</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899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49,905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50,391</w:t>
            </w:r>
          </w:p>
        </w:tc>
      </w:tr>
      <w:tr>
        <w:trPr>
          <w:trHeight w:val="177"/>
        </w:trPr>
        <w:tc>
          <w:tcPr>
            <w:tcW w:w="40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5"/>
                <w:szCs w:val="15"/>
                <w:color w:val="auto"/>
              </w:rPr>
            </w:pPr>
          </w:p>
        </w:tc>
        <w:tc>
          <w:tcPr>
            <w:tcW w:w="620" w:type="dxa"/>
            <w:vAlign w:val="bottom"/>
          </w:tcPr>
          <w:p>
            <w:pPr>
              <w:jc w:val="right"/>
              <w:ind w:right="33"/>
              <w:spacing w:after="0" w:line="177" w:lineRule="exact"/>
              <w:rPr>
                <w:sz w:val="20"/>
                <w:szCs w:val="20"/>
                <w:color w:val="auto"/>
              </w:rPr>
            </w:pPr>
            <w:r>
              <w:rPr>
                <w:rFonts w:ascii="Arial" w:cs="Arial" w:eastAsia="Arial" w:hAnsi="Arial"/>
                <w:sz w:val="18"/>
                <w:szCs w:val="18"/>
                <w:color w:val="auto"/>
              </w:rPr>
              <w:t>413</w:t>
            </w:r>
          </w:p>
        </w:tc>
        <w:tc>
          <w:tcPr>
            <w:tcW w:w="200" w:type="dxa"/>
            <w:vAlign w:val="bottom"/>
          </w:tcPr>
          <w:p>
            <w:pPr>
              <w:spacing w:after="0"/>
              <w:rPr>
                <w:sz w:val="15"/>
                <w:szCs w:val="15"/>
                <w:color w:val="auto"/>
              </w:rPr>
            </w:pPr>
          </w:p>
        </w:tc>
        <w:tc>
          <w:tcPr>
            <w:tcW w:w="6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(899)</w:t>
            </w:r>
          </w:p>
        </w:tc>
        <w:tc>
          <w:tcPr>
            <w:tcW w:w="180" w:type="dxa"/>
            <w:vAlign w:val="bottom"/>
          </w:tcPr>
          <w:p>
            <w:pPr>
              <w:spacing w:after="0"/>
              <w:rPr>
                <w:sz w:val="15"/>
                <w:szCs w:val="15"/>
                <w:color w:val="auto"/>
              </w:rPr>
            </w:pPr>
          </w:p>
        </w:tc>
        <w:tc>
          <w:tcPr>
            <w:tcW w:w="7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12,665</w:t>
            </w:r>
          </w:p>
        </w:tc>
        <w:tc>
          <w:tcPr>
            <w:tcW w:w="200" w:type="dxa"/>
            <w:vAlign w:val="bottom"/>
          </w:tcPr>
          <w:p>
            <w:pPr>
              <w:spacing w:after="0"/>
              <w:rPr>
                <w:sz w:val="15"/>
                <w:szCs w:val="15"/>
                <w:color w:val="auto"/>
              </w:rPr>
            </w:pPr>
          </w:p>
        </w:tc>
        <w:tc>
          <w:tcPr>
            <w:tcW w:w="8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12,179</w:t>
            </w:r>
          </w:p>
        </w:tc>
      </w:tr>
      <w:tr>
        <w:trPr>
          <w:trHeight w:val="2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(1,430)</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(2,521)</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6,858</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6,536</w:t>
            </w:r>
          </w:p>
        </w:tc>
        <w:tc>
          <w:tcPr>
            <w:tcW w:w="1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6,665</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4,909</w:t>
            </w:r>
          </w:p>
        </w:tc>
        <w:tc>
          <w:tcPr>
            <w:tcW w:w="320" w:type="dxa"/>
            <w:vAlign w:val="bottom"/>
          </w:tcPr>
          <w:p>
            <w:pPr>
              <w:spacing w:after="0"/>
              <w:rPr>
                <w:sz w:val="17"/>
                <w:szCs w:val="17"/>
                <w:color w:val="auto"/>
              </w:rPr>
            </w:pP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4,402</w:t>
            </w:r>
          </w:p>
        </w:tc>
        <w:tc>
          <w:tcPr>
            <w:tcW w:w="180" w:type="dxa"/>
            <w:vAlign w:val="bottom"/>
          </w:tcPr>
          <w:p>
            <w:pPr>
              <w:spacing w:after="0"/>
              <w:rPr>
                <w:sz w:val="17"/>
                <w:szCs w:val="17"/>
                <w:color w:val="auto"/>
              </w:rPr>
            </w:pPr>
          </w:p>
        </w:tc>
        <w:tc>
          <w:tcPr>
            <w:tcW w:w="7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4,014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959</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785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773</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5,438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6,516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6,336</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4,774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3,963</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4,828</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(32,425)</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5,851</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6,516</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6,336</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4,774</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3,064</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17,493</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11,609</w:t>
            </w:r>
          </w:p>
        </w:tc>
      </w:tr>
      <w:tr>
        <w:trPr>
          <w:trHeight w:val="199"/>
        </w:trPr>
        <w:tc>
          <w:tcPr>
            <w:tcW w:w="4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115</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(4,256)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(3,744)</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6,203</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6,523</w:t>
            </w:r>
          </w:p>
        </w:tc>
        <w:tc>
          <w:tcPr>
            <w:tcW w:w="180" w:type="dxa"/>
            <w:vAlign w:val="bottom"/>
          </w:tcPr>
          <w:p>
            <w:pPr>
              <w:spacing w:after="0"/>
              <w:rPr>
                <w:sz w:val="17"/>
                <w:szCs w:val="17"/>
                <w:color w:val="auto"/>
              </w:rPr>
            </w:pPr>
          </w:p>
        </w:tc>
        <w:tc>
          <w:tcPr>
            <w:tcW w:w="6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6,451</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4,821</w:t>
            </w:r>
          </w:p>
        </w:tc>
        <w:tc>
          <w:tcPr>
            <w:tcW w:w="320" w:type="dxa"/>
            <w:vAlign w:val="bottom"/>
          </w:tcPr>
          <w:p>
            <w:pPr>
              <w:spacing w:after="0"/>
              <w:rPr>
                <w:sz w:val="17"/>
                <w:szCs w:val="17"/>
                <w:color w:val="auto"/>
              </w:rPr>
            </w:pPr>
          </w:p>
        </w:tc>
        <w:tc>
          <w:tcPr>
            <w:tcW w:w="7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3,055</w:t>
            </w:r>
          </w:p>
        </w:tc>
        <w:tc>
          <w:tcPr>
            <w:tcW w:w="180" w:type="dxa"/>
            <w:vAlign w:val="bottom"/>
          </w:tcPr>
          <w:p>
            <w:pPr>
              <w:spacing w:after="0"/>
              <w:rPr>
                <w:sz w:val="17"/>
                <w:szCs w:val="17"/>
                <w:color w:val="auto"/>
              </w:rPr>
            </w:pPr>
          </w:p>
        </w:tc>
        <w:tc>
          <w:tcPr>
            <w:tcW w:w="7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13,237</w:t>
            </w:r>
          </w:p>
        </w:tc>
        <w:tc>
          <w:tcPr>
            <w:tcW w:w="2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7,865</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interests and redeemable subsidiary preferred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stock</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6,203</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6,523</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6,451</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4,821</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3,055</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11,575</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(32,425)</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6,203</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6,370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6,523</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6,460</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4,821</w:t>
            </w:r>
          </w:p>
        </w:tc>
        <w:tc>
          <w:tcPr>
            <w:tcW w:w="32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4"/>
              <w:spacing w:after="0"/>
              <w:rPr>
                <w:sz w:val="20"/>
                <w:szCs w:val="20"/>
                <w:color w:val="auto"/>
              </w:rPr>
            </w:pPr>
            <w:r>
              <w:rPr>
                <w:rFonts w:ascii="Arial" w:cs="Arial" w:eastAsia="Arial" w:hAnsi="Arial"/>
                <w:sz w:val="18"/>
                <w:szCs w:val="18"/>
                <w:b w:val="1"/>
                <w:bCs w:val="1"/>
                <w:color w:val="auto"/>
              </w:rPr>
              <w:t>3,068</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11,703</w:t>
            </w:r>
          </w:p>
        </w:tc>
        <w:tc>
          <w:tcPr>
            <w:tcW w:w="200" w:type="dxa"/>
            <w:vAlign w:val="bottom"/>
            <w:tcBorders>
              <w:bottom w:val="single" w:sz="8" w:color="0C6DFF"/>
            </w:tcBorders>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(32,575)</w:t>
            </w:r>
          </w:p>
        </w:tc>
        <w:tc>
          <w:tcPr>
            <w:tcW w:w="26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b w:val="1"/>
                <w:bCs w:val="1"/>
                <w:color w:val="auto"/>
              </w:rPr>
              <w:t>6,370</w:t>
            </w:r>
          </w:p>
        </w:tc>
      </w:tr>
      <w:tr>
        <w:trPr>
          <w:trHeight w:val="50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color w:val="auto"/>
                <w:w w:val="99"/>
              </w:rPr>
              <w:t>Comcast 2014 Annual Report on Form 10-K</w:t>
            </w: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2"/>
          </w:tcPr>
          <w:p>
            <w:pPr>
              <w:jc w:val="right"/>
              <w:ind w:right="34"/>
              <w:spacing w:after="0" w:line="152" w:lineRule="exact"/>
              <w:rPr>
                <w:sz w:val="20"/>
                <w:szCs w:val="20"/>
                <w:color w:val="auto"/>
              </w:rPr>
            </w:pPr>
            <w:r>
              <w:rPr>
                <w:rFonts w:ascii="Arial" w:cs="Arial" w:eastAsia="Arial" w:hAnsi="Arial"/>
                <w:sz w:val="14"/>
                <w:szCs w:val="14"/>
                <w:b w:val="1"/>
                <w:bCs w:val="1"/>
                <w:color w:val="auto"/>
              </w:rPr>
              <w:t>Combined</w:t>
            </w:r>
          </w:p>
        </w:tc>
        <w:tc>
          <w:tcPr>
            <w:tcW w:w="1080" w:type="dxa"/>
            <w:vAlign w:val="bottom"/>
            <w:gridSpan w:val="2"/>
          </w:tcPr>
          <w:p>
            <w:pPr>
              <w:jc w:val="right"/>
              <w:ind w:right="34"/>
              <w:spacing w:after="0" w:line="152"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3"/>
                <w:szCs w:val="13"/>
                <w:color w:val="auto"/>
              </w:rPr>
            </w:pPr>
          </w:p>
        </w:tc>
        <w:tc>
          <w:tcPr>
            <w:tcW w:w="800" w:type="dxa"/>
            <w:vAlign w:val="bottom"/>
          </w:tcPr>
          <w:p>
            <w:pPr>
              <w:jc w:val="right"/>
              <w:ind w:right="34"/>
              <w:spacing w:after="0" w:line="152"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860" w:type="dxa"/>
            <w:vAlign w:val="bottom"/>
          </w:tcPr>
          <w:p>
            <w:pPr>
              <w:jc w:val="right"/>
              <w:ind w:right="14"/>
              <w:spacing w:after="0" w:line="152" w:lineRule="exact"/>
              <w:rPr>
                <w:sz w:val="20"/>
                <w:szCs w:val="20"/>
                <w:color w:val="auto"/>
              </w:rPr>
            </w:pPr>
            <w:r>
              <w:rPr>
                <w:rFonts w:ascii="Arial" w:cs="Arial" w:eastAsia="Arial" w:hAnsi="Arial"/>
                <w:sz w:val="14"/>
                <w:szCs w:val="14"/>
                <w:b w:val="1"/>
                <w:bCs w:val="1"/>
                <w:color w:val="auto"/>
              </w:rPr>
              <w:t>and</w:t>
            </w:r>
          </w:p>
        </w:tc>
        <w:tc>
          <w:tcPr>
            <w:tcW w:w="1060" w:type="dxa"/>
            <w:vAlign w:val="bottom"/>
            <w:gridSpan w:val="2"/>
          </w:tcPr>
          <w:p>
            <w:pPr>
              <w:jc w:val="right"/>
              <w:ind w:right="13"/>
              <w:spacing w:after="0" w:line="152"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2014</w:t>
            </w:r>
          </w:p>
        </w:tc>
        <w:tc>
          <w:tcPr>
            <w:tcW w:w="800" w:type="dxa"/>
            <w:vAlign w:val="bottom"/>
            <w:gridSpan w:val="2"/>
          </w:tcPr>
          <w:p>
            <w:pPr>
              <w:jc w:val="right"/>
              <w:ind w:right="53"/>
              <w:spacing w:after="0" w:line="149" w:lineRule="exact"/>
              <w:rPr>
                <w:sz w:val="20"/>
                <w:szCs w:val="20"/>
                <w:color w:val="auto"/>
              </w:rPr>
            </w:pPr>
            <w:r>
              <w:rPr>
                <w:rFonts w:ascii="Arial" w:cs="Arial" w:eastAsia="Arial" w:hAnsi="Arial"/>
                <w:sz w:val="14"/>
                <w:szCs w:val="14"/>
                <w:b w:val="1"/>
                <w:bCs w:val="1"/>
                <w:color w:val="auto"/>
              </w:rPr>
              <w:t>Comcast</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Comcast</w:t>
            </w:r>
          </w:p>
        </w:tc>
        <w:tc>
          <w:tcPr>
            <w:tcW w:w="62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6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8"/>
              </w:rPr>
              <w:t>CCHMO</w:t>
            </w:r>
          </w:p>
        </w:tc>
        <w:tc>
          <w:tcPr>
            <w:tcW w:w="32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8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rPr>
              <w:t>Consolidation</w:t>
            </w:r>
          </w:p>
        </w:tc>
        <w:tc>
          <w:tcPr>
            <w:tcW w:w="28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6"/>
        </w:trPr>
        <w:tc>
          <w:tcPr>
            <w:tcW w:w="4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rPr>
              <w:t>Parent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Holdings</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Parents</w:t>
            </w:r>
          </w:p>
        </w:tc>
        <w:tc>
          <w:tcPr>
            <w:tcW w:w="32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Parent</w:t>
            </w:r>
          </w:p>
        </w:tc>
        <w:tc>
          <w:tcPr>
            <w:tcW w:w="10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6"/>
        </w:trPr>
        <w:tc>
          <w:tcPr>
            <w:tcW w:w="20" w:type="dxa"/>
            <w:vAlign w:val="bottom"/>
          </w:tcPr>
          <w:p>
            <w:pPr>
              <w:spacing w:after="0"/>
              <w:rPr>
                <w:sz w:val="17"/>
                <w:szCs w:val="17"/>
                <w:color w:val="auto"/>
              </w:rPr>
            </w:pPr>
          </w:p>
        </w:tc>
        <w:tc>
          <w:tcPr>
            <w:tcW w:w="414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8"/>
              </w:rPr>
              <w:t>Net cash provided by (used in) operating activities</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w:t>
            </w:r>
          </w:p>
        </w:tc>
        <w:tc>
          <w:tcPr>
            <w:tcW w:w="30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320" w:type="dxa"/>
            <w:vAlign w:val="bottom"/>
            <w:tcBorders>
              <w:top w:val="single" w:sz="8" w:color="auto"/>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18,728</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16,945</w:t>
            </w:r>
          </w:p>
        </w:tc>
      </w:tr>
      <w:tr>
        <w:trPr>
          <w:trHeight w:val="199"/>
        </w:trPr>
        <w:tc>
          <w:tcPr>
            <w:tcW w:w="20" w:type="dxa"/>
            <w:vAlign w:val="bottom"/>
          </w:tcPr>
          <w:p>
            <w:pPr>
              <w:spacing w:after="0"/>
              <w:rPr>
                <w:sz w:val="17"/>
                <w:szCs w:val="17"/>
                <w:color w:val="auto"/>
              </w:rPr>
            </w:pPr>
          </w:p>
        </w:tc>
        <w:tc>
          <w:tcPr>
            <w:tcW w:w="414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4,784</w:t>
            </w:r>
          </w:p>
        </w:tc>
        <w:tc>
          <w:tcPr>
            <w:tcW w:w="3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57</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82</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2,247</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(7,161)</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(7,417)</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(7,420)</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(1,116)</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420"/>
              <w:spacing w:after="0" w:line="202" w:lineRule="exact"/>
              <w:rPr>
                <w:sz w:val="20"/>
                <w:szCs w:val="20"/>
                <w:color w:val="auto"/>
              </w:rPr>
            </w:pPr>
            <w:r>
              <w:rPr>
                <w:rFonts w:ascii="Arial" w:cs="Arial" w:eastAsia="Arial" w:hAnsi="Arial"/>
                <w:sz w:val="18"/>
                <w:szCs w:val="18"/>
                <w:color w:val="auto"/>
              </w:rPr>
              <w:t>properties</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658</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666</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199"/>
        </w:trPr>
        <w:tc>
          <w:tcPr>
            <w:tcW w:w="20" w:type="dxa"/>
            <w:vAlign w:val="bottom"/>
          </w:tcPr>
          <w:p>
            <w:pPr>
              <w:spacing w:after="0"/>
              <w:rPr>
                <w:sz w:val="17"/>
                <w:szCs w:val="17"/>
                <w:color w:val="auto"/>
              </w:rPr>
            </w:pPr>
          </w:p>
        </w:tc>
        <w:tc>
          <w:tcPr>
            <w:tcW w:w="41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(175)</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(171)</w:t>
            </w:r>
          </w:p>
        </w:tc>
      </w:tr>
      <w:tr>
        <w:trPr>
          <w:trHeight w:val="196"/>
        </w:trPr>
        <w:tc>
          <w:tcPr>
            <w:tcW w:w="20" w:type="dxa"/>
            <w:vAlign w:val="bottom"/>
          </w:tcPr>
          <w:p>
            <w:pPr>
              <w:spacing w:after="0"/>
              <w:rPr>
                <w:sz w:val="17"/>
                <w:szCs w:val="17"/>
                <w:color w:val="auto"/>
              </w:rPr>
            </w:pPr>
          </w:p>
        </w:tc>
        <w:tc>
          <w:tcPr>
            <w:tcW w:w="41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9"/>
              </w:rPr>
              <w:t>Net cash provided by (used in) investing activities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4,756</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82</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2,250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(15,869)</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(8,733)</w:t>
            </w:r>
          </w:p>
        </w:tc>
      </w:tr>
      <w:tr>
        <w:trPr>
          <w:trHeight w:val="199"/>
        </w:trPr>
        <w:tc>
          <w:tcPr>
            <w:tcW w:w="20" w:type="dxa"/>
            <w:vAlign w:val="bottom"/>
          </w:tcPr>
          <w:p>
            <w:pPr>
              <w:spacing w:after="0"/>
              <w:rPr>
                <w:sz w:val="17"/>
                <w:szCs w:val="17"/>
                <w:color w:val="auto"/>
              </w:rPr>
            </w:pPr>
          </w:p>
        </w:tc>
        <w:tc>
          <w:tcPr>
            <w:tcW w:w="414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420"/>
              <w:spacing w:after="0" w:line="202" w:lineRule="exact"/>
              <w:rPr>
                <w:sz w:val="20"/>
                <w:szCs w:val="20"/>
                <w:color w:val="auto"/>
              </w:rPr>
            </w:pPr>
            <w:r>
              <w:rPr>
                <w:rFonts w:ascii="Arial" w:cs="Arial" w:eastAsia="Arial" w:hAnsi="Arial"/>
                <w:sz w:val="18"/>
                <w:szCs w:val="18"/>
                <w:color w:val="auto"/>
              </w:rPr>
              <w:t>borrowings, net</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(1,350)</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846</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4,180</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4,182</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(1,273)</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(3,175)</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(4,251)</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(4,251)</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(2,254)</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35</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203"/>
        </w:trPr>
        <w:tc>
          <w:tcPr>
            <w:tcW w:w="20" w:type="dxa"/>
            <w:vAlign w:val="bottom"/>
          </w:tcPr>
          <w:p>
            <w:pPr>
              <w:spacing w:after="0"/>
              <w:rPr>
                <w:sz w:val="17"/>
                <w:szCs w:val="17"/>
                <w:color w:val="auto"/>
              </w:rPr>
            </w:pPr>
          </w:p>
        </w:tc>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420"/>
              <w:spacing w:after="0" w:line="202" w:lineRule="exact"/>
              <w:rPr>
                <w:sz w:val="20"/>
                <w:szCs w:val="20"/>
                <w:color w:val="auto"/>
              </w:rPr>
            </w:pPr>
            <w:r>
              <w:rPr>
                <w:rFonts w:ascii="Arial" w:cs="Arial" w:eastAsia="Arial" w:hAnsi="Arial"/>
                <w:sz w:val="18"/>
                <w:szCs w:val="18"/>
                <w:color w:val="auto"/>
              </w:rPr>
              <w:t>dividends for redeemable subsidiary preferred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420"/>
              <w:spacing w:after="0" w:line="202"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2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199"/>
        </w:trPr>
        <w:tc>
          <w:tcPr>
            <w:tcW w:w="20" w:type="dxa"/>
            <w:vAlign w:val="bottom"/>
          </w:tcPr>
          <w:p>
            <w:pPr>
              <w:spacing w:after="0"/>
              <w:rPr>
                <w:sz w:val="17"/>
                <w:szCs w:val="17"/>
                <w:color w:val="auto"/>
              </w:rPr>
            </w:pPr>
          </w:p>
        </w:tc>
        <w:tc>
          <w:tcPr>
            <w:tcW w:w="41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238</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167</w:t>
            </w:r>
          </w:p>
        </w:tc>
      </w:tr>
      <w:tr>
        <w:trPr>
          <w:trHeight w:val="196"/>
        </w:trPr>
        <w:tc>
          <w:tcPr>
            <w:tcW w:w="20" w:type="dxa"/>
            <w:vAlign w:val="bottom"/>
          </w:tcPr>
          <w:p>
            <w:pPr>
              <w:spacing w:after="0"/>
              <w:rPr>
                <w:sz w:val="17"/>
                <w:szCs w:val="17"/>
                <w:color w:val="auto"/>
              </w:rPr>
            </w:pPr>
          </w:p>
        </w:tc>
        <w:tc>
          <w:tcPr>
            <w:tcW w:w="414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9"/>
              </w:rPr>
              <w:t>Net cash provided by (used in) financing activities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(4,402)</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(716)</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(6,020)</w:t>
            </w:r>
          </w:p>
        </w:tc>
      </w:tr>
      <w:tr>
        <w:trPr>
          <w:trHeight w:val="199"/>
        </w:trPr>
        <w:tc>
          <w:tcPr>
            <w:tcW w:w="416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7"/>
                <w:szCs w:val="17"/>
                <w:color w:val="auto"/>
              </w:rPr>
            </w:pPr>
          </w:p>
        </w:tc>
        <w:tc>
          <w:tcPr>
            <w:tcW w:w="6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49</w:t>
            </w:r>
          </w:p>
        </w:tc>
        <w:tc>
          <w:tcPr>
            <w:tcW w:w="200" w:type="dxa"/>
            <w:vAlign w:val="bottom"/>
          </w:tcPr>
          <w:p>
            <w:pPr>
              <w:spacing w:after="0"/>
              <w:rPr>
                <w:sz w:val="17"/>
                <w:szCs w:val="17"/>
                <w:color w:val="auto"/>
              </w:rPr>
            </w:pPr>
          </w:p>
        </w:tc>
        <w:tc>
          <w:tcPr>
            <w:tcW w:w="8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2,143</w:t>
            </w:r>
          </w:p>
        </w:tc>
        <w:tc>
          <w:tcPr>
            <w:tcW w:w="220" w:type="dxa"/>
            <w:vAlign w:val="bottom"/>
          </w:tcPr>
          <w:p>
            <w:pPr>
              <w:spacing w:after="0"/>
              <w:rPr>
                <w:sz w:val="17"/>
                <w:szCs w:val="17"/>
                <w:color w:val="auto"/>
              </w:rPr>
            </w:pPr>
          </w:p>
        </w:tc>
        <w:tc>
          <w:tcPr>
            <w:tcW w:w="8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2,192</w:t>
            </w:r>
          </w:p>
        </w:tc>
      </w:tr>
      <w:tr>
        <w:trPr>
          <w:trHeight w:val="199"/>
        </w:trPr>
        <w:tc>
          <w:tcPr>
            <w:tcW w:w="41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336</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1,382</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1,718</w:t>
            </w:r>
          </w:p>
        </w:tc>
      </w:tr>
      <w:tr>
        <w:trPr>
          <w:trHeight w:val="196"/>
        </w:trPr>
        <w:tc>
          <w:tcPr>
            <w:tcW w:w="416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C6DFF"/>
            </w:tcBorders>
          </w:tcPr>
          <w:p>
            <w:pPr>
              <w:jc w:val="right"/>
              <w:ind w:right="79"/>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385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3,525</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3,910</w:t>
            </w:r>
          </w:p>
        </w:tc>
      </w:tr>
      <w:tr>
        <w:trPr>
          <w:trHeight w:val="506"/>
        </w:trPr>
        <w:tc>
          <w:tcPr>
            <w:tcW w:w="4160" w:type="dxa"/>
            <w:vAlign w:val="bottom"/>
            <w:gridSpan w:val="2"/>
          </w:tcPr>
          <w:p>
            <w:pPr>
              <w:spacing w:after="0"/>
              <w:rPr>
                <w:sz w:val="20"/>
                <w:szCs w:val="20"/>
                <w:color w:val="auto"/>
              </w:rPr>
            </w:pPr>
            <w:r>
              <w:rPr>
                <w:rFonts w:ascii="Arial" w:cs="Arial" w:eastAsia="Arial" w:hAnsi="Arial"/>
                <w:sz w:val="14"/>
                <w:szCs w:val="14"/>
                <w:color w:val="auto"/>
              </w:rPr>
              <w:t>Comcast 2014 Annual Report on Form 10-K</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128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w w:val="96"/>
              </w:rPr>
              <w:t>Elimination</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Combined</w:t>
            </w:r>
          </w:p>
        </w:tc>
        <w:tc>
          <w:tcPr>
            <w:tcW w:w="10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2013</w:t>
            </w:r>
          </w:p>
        </w:tc>
        <w:tc>
          <w:tcPr>
            <w:tcW w:w="78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30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98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Parent</w:t>
            </w: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14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16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Parents</w:t>
            </w:r>
          </w:p>
        </w:tc>
        <w:tc>
          <w:tcPr>
            <w:tcW w:w="3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43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w:t>
            </w:r>
          </w:p>
        </w:tc>
        <w:tc>
          <w:tcPr>
            <w:tcW w:w="30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30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(1,102)</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16,110</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14,160</w:t>
            </w:r>
          </w:p>
        </w:tc>
      </w:tr>
      <w:tr>
        <w:trPr>
          <w:trHeight w:val="199"/>
        </w:trPr>
        <w:tc>
          <w:tcPr>
            <w:tcW w:w="20" w:type="dxa"/>
            <w:vAlign w:val="bottom"/>
          </w:tcPr>
          <w:p>
            <w:pPr>
              <w:spacing w:after="0"/>
              <w:rPr>
                <w:sz w:val="17"/>
                <w:szCs w:val="17"/>
                <w:color w:val="auto"/>
              </w:rPr>
            </w:pPr>
          </w:p>
        </w:tc>
        <w:tc>
          <w:tcPr>
            <w:tcW w:w="43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66</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2,248</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332</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(6,589)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(6,596)</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Acquisitions and construction of real estate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properties</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w w:val="98"/>
              </w:rPr>
              <w:t>Proceeds from sales of businesses and investments</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1,081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128</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149</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(1,209)</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r>
      <w:tr>
        <w:trPr>
          <w:trHeight w:val="199"/>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85</w:t>
            </w:r>
          </w:p>
        </w:tc>
      </w:tr>
      <w:tr>
        <w:trPr>
          <w:trHeight w:val="196"/>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2,248</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332</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(11,778)</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(9,514)</w:t>
            </w:r>
          </w:p>
        </w:tc>
      </w:tr>
      <w:tr>
        <w:trPr>
          <w:trHeight w:val="199"/>
        </w:trPr>
        <w:tc>
          <w:tcPr>
            <w:tcW w:w="20" w:type="dxa"/>
            <w:vAlign w:val="bottom"/>
          </w:tcPr>
          <w:p>
            <w:pPr>
              <w:spacing w:after="0"/>
              <w:rPr>
                <w:sz w:val="17"/>
                <w:szCs w:val="17"/>
                <w:color w:val="auto"/>
              </w:rPr>
            </w:pPr>
          </w:p>
        </w:tc>
        <w:tc>
          <w:tcPr>
            <w:tcW w:w="43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borrowings, net</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1,349</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1,345</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2,933</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2,933</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(2,097)</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(2,444)</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(2,000)</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(1,964)</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Purchase of NBCUniversal noncontrolling common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equity interest</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(7,561)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(10,761)</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dividends for redeemable subsidiary preferred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stock</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16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r>
      <w:tr>
        <w:trPr>
          <w:trHeight w:val="199"/>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(369)</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w:t>
            </w:r>
          </w:p>
        </w:tc>
      </w:tr>
      <w:tr>
        <w:trPr>
          <w:trHeight w:val="196"/>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556</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(2,097)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(8,772)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(13,879)</w:t>
            </w:r>
          </w:p>
        </w:tc>
      </w:tr>
      <w:tr>
        <w:trPr>
          <w:trHeight w:val="199"/>
        </w:trPr>
        <w:tc>
          <w:tcPr>
            <w:tcW w:w="43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6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(4,793)</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(4,440)</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(9,233)</w:t>
            </w:r>
          </w:p>
        </w:tc>
      </w:tr>
      <w:tr>
        <w:trPr>
          <w:trHeight w:val="199"/>
        </w:trPr>
        <w:tc>
          <w:tcPr>
            <w:tcW w:w="43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5,129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5,822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10,951</w:t>
            </w: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3"/>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9"/>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336</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1,382</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1,718</w:t>
            </w:r>
          </w:p>
        </w:tc>
      </w:tr>
      <w:tr>
        <w:trPr>
          <w:trHeight w:val="506"/>
        </w:trPr>
        <w:tc>
          <w:tcPr>
            <w:tcW w:w="20" w:type="dxa"/>
            <w:vAlign w:val="bottom"/>
          </w:tcPr>
          <w:p>
            <w:pPr>
              <w:spacing w:after="0"/>
              <w:rPr>
                <w:sz w:val="24"/>
                <w:szCs w:val="24"/>
                <w:color w:val="auto"/>
              </w:rPr>
            </w:pPr>
          </w:p>
        </w:tc>
        <w:tc>
          <w:tcPr>
            <w:tcW w:w="4320" w:type="dxa"/>
            <w:vAlign w:val="bottom"/>
            <w:tcBorders>
              <w:top w:val="single" w:sz="8" w:color="0C6DFF"/>
            </w:tcBorders>
          </w:tcPr>
          <w:p>
            <w:pPr>
              <w:spacing w:after="0"/>
              <w:rPr>
                <w:sz w:val="24"/>
                <w:szCs w:val="24"/>
                <w:color w:val="auto"/>
              </w:rPr>
            </w:pPr>
          </w:p>
        </w:tc>
        <w:tc>
          <w:tcPr>
            <w:tcW w:w="160" w:type="dxa"/>
            <w:vAlign w:val="bottom"/>
            <w:tcBorders>
              <w:top w:val="single" w:sz="8" w:color="0C6DFF"/>
            </w:tcBorders>
          </w:tcPr>
          <w:p>
            <w:pPr>
              <w:spacing w:after="0"/>
              <w:rPr>
                <w:sz w:val="24"/>
                <w:szCs w:val="24"/>
                <w:color w:val="auto"/>
              </w:rPr>
            </w:pPr>
          </w:p>
        </w:tc>
        <w:tc>
          <w:tcPr>
            <w:tcW w:w="620" w:type="dxa"/>
            <w:vAlign w:val="bottom"/>
            <w:tcBorders>
              <w:top w:val="single" w:sz="8" w:color="0C6DFF"/>
            </w:tcBorders>
          </w:tcPr>
          <w:p>
            <w:pPr>
              <w:spacing w:after="0"/>
              <w:rPr>
                <w:sz w:val="24"/>
                <w:szCs w:val="24"/>
                <w:color w:val="auto"/>
              </w:rPr>
            </w:pPr>
          </w:p>
        </w:tc>
        <w:tc>
          <w:tcPr>
            <w:tcW w:w="300" w:type="dxa"/>
            <w:vAlign w:val="bottom"/>
            <w:tcBorders>
              <w:top w:val="single" w:sz="8" w:color="0C6DFF"/>
            </w:tcBorders>
          </w:tcPr>
          <w:p>
            <w:pPr>
              <w:spacing w:after="0"/>
              <w:rPr>
                <w:sz w:val="24"/>
                <w:szCs w:val="24"/>
                <w:color w:val="auto"/>
              </w:rPr>
            </w:pPr>
          </w:p>
        </w:tc>
        <w:tc>
          <w:tcPr>
            <w:tcW w:w="460" w:type="dxa"/>
            <w:vAlign w:val="bottom"/>
            <w:tcBorders>
              <w:top w:val="single" w:sz="8" w:color="0C6DFF"/>
            </w:tcBorders>
          </w:tcPr>
          <w:p>
            <w:pPr>
              <w:jc w:val="right"/>
              <w:spacing w:after="0"/>
              <w:rPr>
                <w:sz w:val="20"/>
                <w:szCs w:val="20"/>
                <w:color w:val="auto"/>
              </w:rPr>
            </w:pPr>
            <w:r>
              <w:rPr>
                <w:rFonts w:ascii="Arial" w:cs="Arial" w:eastAsia="Arial" w:hAnsi="Arial"/>
                <w:sz w:val="14"/>
                <w:szCs w:val="14"/>
                <w:b w:val="1"/>
                <w:bCs w:val="1"/>
                <w:color w:val="auto"/>
              </w:rPr>
              <w:t>129</w:t>
            </w:r>
          </w:p>
        </w:tc>
        <w:tc>
          <w:tcPr>
            <w:tcW w:w="140" w:type="dxa"/>
            <w:vAlign w:val="bottom"/>
            <w:tcBorders>
              <w:top w:val="single" w:sz="8" w:color="0C6DFF"/>
            </w:tcBorders>
          </w:tcPr>
          <w:p>
            <w:pPr>
              <w:spacing w:after="0"/>
              <w:rPr>
                <w:sz w:val="24"/>
                <w:szCs w:val="24"/>
                <w:color w:val="auto"/>
              </w:rPr>
            </w:pPr>
          </w:p>
        </w:tc>
        <w:tc>
          <w:tcPr>
            <w:tcW w:w="640" w:type="dxa"/>
            <w:vAlign w:val="bottom"/>
            <w:tcBorders>
              <w:top w:val="single" w:sz="8" w:color="0C6DFF"/>
            </w:tcBorders>
          </w:tcPr>
          <w:p>
            <w:pPr>
              <w:spacing w:after="0"/>
              <w:rPr>
                <w:sz w:val="24"/>
                <w:szCs w:val="24"/>
                <w:color w:val="auto"/>
              </w:rPr>
            </w:pPr>
          </w:p>
        </w:tc>
        <w:tc>
          <w:tcPr>
            <w:tcW w:w="160" w:type="dxa"/>
            <w:vAlign w:val="bottom"/>
            <w:tcBorders>
              <w:top w:val="single" w:sz="8" w:color="0C6DFF"/>
            </w:tcBorders>
          </w:tcPr>
          <w:p>
            <w:pPr>
              <w:spacing w:after="0"/>
              <w:rPr>
                <w:sz w:val="24"/>
                <w:szCs w:val="24"/>
                <w:color w:val="auto"/>
              </w:rPr>
            </w:pPr>
          </w:p>
        </w:tc>
        <w:tc>
          <w:tcPr>
            <w:tcW w:w="640" w:type="dxa"/>
            <w:vAlign w:val="bottom"/>
            <w:tcBorders>
              <w:top w:val="single" w:sz="8" w:color="0C6DFF"/>
            </w:tcBorders>
          </w:tcPr>
          <w:p>
            <w:pPr>
              <w:spacing w:after="0"/>
              <w:rPr>
                <w:sz w:val="24"/>
                <w:szCs w:val="24"/>
                <w:color w:val="auto"/>
              </w:rPr>
            </w:pPr>
          </w:p>
        </w:tc>
        <w:tc>
          <w:tcPr>
            <w:tcW w:w="300" w:type="dxa"/>
            <w:vAlign w:val="bottom"/>
            <w:tcBorders>
              <w:top w:val="single" w:sz="8" w:color="0C6DFF"/>
            </w:tcBorders>
          </w:tcPr>
          <w:p>
            <w:pPr>
              <w:spacing w:after="0"/>
              <w:rPr>
                <w:sz w:val="24"/>
                <w:szCs w:val="24"/>
                <w:color w:val="auto"/>
              </w:rPr>
            </w:pPr>
          </w:p>
        </w:tc>
        <w:tc>
          <w:tcPr>
            <w:tcW w:w="74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2740" w:type="dxa"/>
            <w:vAlign w:val="bottom"/>
            <w:tcBorders>
              <w:top w:val="single" w:sz="8" w:color="0C6DFF"/>
            </w:tcBorders>
            <w:gridSpan w:val="5"/>
          </w:tcPr>
          <w:p>
            <w:pPr>
              <w:jc w:val="right"/>
              <w:spacing w:after="0"/>
              <w:rPr>
                <w:sz w:val="20"/>
                <w:szCs w:val="20"/>
                <w:color w:val="auto"/>
              </w:rPr>
            </w:pPr>
            <w:r>
              <w:rPr>
                <w:rFonts w:ascii="Arial" w:cs="Arial" w:eastAsia="Arial" w:hAnsi="Arial"/>
                <w:sz w:val="14"/>
                <w:szCs w:val="14"/>
                <w:color w:val="auto"/>
                <w:w w:val="99"/>
              </w:rPr>
              <w:t>Comcast 2014 Annual Report on Form 10-K</w:t>
            </w: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Statement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color w:val="auto"/>
                <w:w w:val="96"/>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Combined</w:t>
            </w:r>
          </w:p>
        </w:tc>
        <w:tc>
          <w:tcPr>
            <w:tcW w:w="104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NBCUniversal</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7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and</w:t>
            </w:r>
          </w:p>
        </w:tc>
        <w:tc>
          <w:tcPr>
            <w:tcW w:w="100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For the Year Ended December 31, 2012</w:t>
            </w:r>
          </w:p>
        </w:tc>
        <w:tc>
          <w:tcPr>
            <w:tcW w:w="76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Comcast</w:t>
            </w:r>
          </w:p>
        </w:tc>
        <w:tc>
          <w:tcPr>
            <w:tcW w:w="160" w:type="dxa"/>
            <w:vAlign w:val="bottom"/>
          </w:tcPr>
          <w:p>
            <w:pPr>
              <w:spacing w:after="0"/>
              <w:rPr>
                <w:sz w:val="12"/>
                <w:szCs w:val="12"/>
                <w:color w:val="auto"/>
              </w:rPr>
            </w:pPr>
          </w:p>
        </w:tc>
        <w:tc>
          <w:tcPr>
            <w:tcW w:w="500" w:type="dxa"/>
            <w:vAlign w:val="bottom"/>
          </w:tcPr>
          <w:p>
            <w:pPr>
              <w:jc w:val="right"/>
              <w:ind w:right="33"/>
              <w:spacing w:after="0" w:line="149" w:lineRule="exact"/>
              <w:rPr>
                <w:sz w:val="20"/>
                <w:szCs w:val="20"/>
                <w:color w:val="auto"/>
              </w:rPr>
            </w:pPr>
            <w:r>
              <w:rPr>
                <w:rFonts w:ascii="Arial" w:cs="Arial" w:eastAsia="Arial" w:hAnsi="Arial"/>
                <w:sz w:val="14"/>
                <w:szCs w:val="14"/>
                <w:color w:val="auto"/>
                <w:w w:val="94"/>
              </w:rPr>
              <w:t>CCCL</w:t>
            </w:r>
          </w:p>
        </w:tc>
        <w:tc>
          <w:tcPr>
            <w:tcW w:w="160" w:type="dxa"/>
            <w:vAlign w:val="bottom"/>
          </w:tcPr>
          <w:p>
            <w:pPr>
              <w:spacing w:after="0"/>
              <w:rPr>
                <w:sz w:val="12"/>
                <w:szCs w:val="12"/>
                <w:color w:val="auto"/>
              </w:rPr>
            </w:pPr>
          </w:p>
        </w:tc>
        <w:tc>
          <w:tcPr>
            <w:tcW w:w="6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4"/>
              </w:rPr>
              <w:t>CCHMO</w:t>
            </w:r>
          </w:p>
        </w:tc>
        <w:tc>
          <w:tcPr>
            <w:tcW w:w="300" w:type="dxa"/>
            <w:vAlign w:val="bottom"/>
          </w:tcPr>
          <w:p>
            <w:pPr>
              <w:spacing w:after="0"/>
              <w:rPr>
                <w:sz w:val="12"/>
                <w:szCs w:val="12"/>
                <w:color w:val="auto"/>
              </w:rPr>
            </w:pP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Media</w:t>
            </w:r>
          </w:p>
        </w:tc>
        <w:tc>
          <w:tcPr>
            <w:tcW w:w="180" w:type="dxa"/>
            <w:vAlign w:val="bottom"/>
          </w:tcPr>
          <w:p>
            <w:pPr>
              <w:spacing w:after="0"/>
              <w:rPr>
                <w:sz w:val="12"/>
                <w:szCs w:val="12"/>
                <w:color w:val="auto"/>
              </w:rPr>
            </w:pPr>
          </w:p>
        </w:tc>
        <w:tc>
          <w:tcPr>
            <w:tcW w:w="7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Guarantor</w:t>
            </w:r>
          </w:p>
        </w:tc>
        <w:tc>
          <w:tcPr>
            <w:tcW w:w="98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4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Parent</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660" w:type="dxa"/>
            <w:vAlign w:val="bottom"/>
            <w:gridSpan w:val="2"/>
          </w:tcPr>
          <w:p>
            <w:pPr>
              <w:jc w:val="right"/>
              <w:ind w:right="33"/>
              <w:spacing w:after="0"/>
              <w:rPr>
                <w:sz w:val="20"/>
                <w:szCs w:val="20"/>
                <w:color w:val="auto"/>
              </w:rPr>
            </w:pPr>
            <w:r>
              <w:rPr>
                <w:rFonts w:ascii="Arial" w:cs="Arial" w:eastAsia="Arial" w:hAnsi="Arial"/>
                <w:sz w:val="14"/>
                <w:szCs w:val="14"/>
                <w:color w:val="auto"/>
              </w:rPr>
              <w:t>Parent</w:t>
            </w:r>
          </w:p>
        </w:tc>
        <w:tc>
          <w:tcPr>
            <w:tcW w:w="16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rPr>
              <w:t>Parents</w:t>
            </w:r>
          </w:p>
        </w:tc>
        <w:tc>
          <w:tcPr>
            <w:tcW w:w="3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color w:val="auto"/>
              </w:rPr>
              <w:t>Parent</w:t>
            </w:r>
          </w:p>
        </w:tc>
        <w:tc>
          <w:tcPr>
            <w:tcW w:w="940" w:type="dxa"/>
            <w:vAlign w:val="bottom"/>
            <w:gridSpan w:val="2"/>
          </w:tcPr>
          <w:p>
            <w:pPr>
              <w:jc w:val="right"/>
              <w:ind w:right="34"/>
              <w:spacing w:after="0"/>
              <w:rPr>
                <w:sz w:val="20"/>
                <w:szCs w:val="20"/>
                <w:color w:val="auto"/>
              </w:rPr>
            </w:pPr>
            <w:r>
              <w:rPr>
                <w:rFonts w:ascii="Arial" w:cs="Arial" w:eastAsia="Arial" w:hAnsi="Arial"/>
                <w:sz w:val="14"/>
                <w:szCs w:val="14"/>
                <w:color w:val="auto"/>
              </w:rPr>
              <w:t>Subsidiaries</w:t>
            </w:r>
          </w:p>
        </w:tc>
        <w:tc>
          <w:tcPr>
            <w:tcW w:w="980" w:type="dxa"/>
            <w:vAlign w:val="bottom"/>
            <w:gridSpan w:val="2"/>
          </w:tcPr>
          <w:p>
            <w:pPr>
              <w:jc w:val="right"/>
              <w:ind w:right="14"/>
              <w:spacing w:after="0"/>
              <w:rPr>
                <w:sz w:val="20"/>
                <w:szCs w:val="20"/>
                <w:color w:val="auto"/>
              </w:rPr>
            </w:pPr>
            <w:r>
              <w:rPr>
                <w:rFonts w:ascii="Arial" w:cs="Arial" w:eastAsia="Arial" w:hAnsi="Arial"/>
                <w:sz w:val="14"/>
                <w:szCs w:val="14"/>
                <w:color w:val="auto"/>
              </w:rPr>
              <w:t>Adjustments</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6"/>
        </w:trPr>
        <w:tc>
          <w:tcPr>
            <w:tcW w:w="20" w:type="dxa"/>
            <w:vAlign w:val="bottom"/>
          </w:tcPr>
          <w:p>
            <w:pPr>
              <w:spacing w:after="0"/>
              <w:rPr>
                <w:sz w:val="17"/>
                <w:szCs w:val="17"/>
                <w:color w:val="auto"/>
              </w:rPr>
            </w:pPr>
          </w:p>
        </w:tc>
        <w:tc>
          <w:tcPr>
            <w:tcW w:w="448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w:t>
            </w:r>
          </w:p>
        </w:tc>
        <w:tc>
          <w:tcPr>
            <w:tcW w:w="22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(177)</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30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(1,347)</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16,861</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14,854</w:t>
            </w:r>
          </w:p>
        </w:tc>
      </w:tr>
      <w:tr>
        <w:trPr>
          <w:trHeight w:val="199"/>
        </w:trPr>
        <w:tc>
          <w:tcPr>
            <w:tcW w:w="20" w:type="dxa"/>
            <w:vAlign w:val="bottom"/>
          </w:tcPr>
          <w:p>
            <w:pPr>
              <w:spacing w:after="0"/>
              <w:rPr>
                <w:sz w:val="17"/>
                <w:szCs w:val="17"/>
                <w:color w:val="auto"/>
              </w:rPr>
            </w:pPr>
          </w:p>
        </w:tc>
        <w:tc>
          <w:tcPr>
            <w:tcW w:w="448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3,845</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206</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177</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667</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4,850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(9,745)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(5,704)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3,102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3,102</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2,362</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2,362</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199"/>
        </w:trPr>
        <w:tc>
          <w:tcPr>
            <w:tcW w:w="20" w:type="dxa"/>
            <w:vAlign w:val="bottom"/>
          </w:tcPr>
          <w:p>
            <w:pPr>
              <w:spacing w:after="0"/>
              <w:rPr>
                <w:sz w:val="17"/>
                <w:szCs w:val="17"/>
                <w:color w:val="auto"/>
              </w:rPr>
            </w:pPr>
          </w:p>
        </w:tc>
        <w:tc>
          <w:tcPr>
            <w:tcW w:w="44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93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74</w:t>
            </w: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3,829</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209</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177</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667</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4,809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(11,177)</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(1,486)</w:t>
            </w:r>
          </w:p>
        </w:tc>
      </w:tr>
      <w:tr>
        <w:trPr>
          <w:trHeight w:val="199"/>
        </w:trPr>
        <w:tc>
          <w:tcPr>
            <w:tcW w:w="20" w:type="dxa"/>
            <w:vAlign w:val="bottom"/>
          </w:tcPr>
          <w:p>
            <w:pPr>
              <w:spacing w:after="0"/>
              <w:rPr>
                <w:sz w:val="17"/>
                <w:szCs w:val="17"/>
                <w:color w:val="auto"/>
              </w:rPr>
            </w:pPr>
          </w:p>
        </w:tc>
        <w:tc>
          <w:tcPr>
            <w:tcW w:w="448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w w:val="98"/>
              </w:rPr>
              <w:t>Proceeds from (repayments of) short-term borrowings,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420"/>
              <w:spacing w:after="0" w:line="202" w:lineRule="exact"/>
              <w:rPr>
                <w:sz w:val="20"/>
                <w:szCs w:val="20"/>
                <w:color w:val="auto"/>
              </w:rPr>
            </w:pPr>
            <w:r>
              <w:rPr>
                <w:rFonts w:ascii="Arial" w:cs="Arial" w:eastAsia="Arial" w:hAnsi="Arial"/>
                <w:sz w:val="18"/>
                <w:szCs w:val="18"/>
                <w:color w:val="auto"/>
              </w:rPr>
              <w:t>net</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2,536</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1,995</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4,544</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(1,726)</w:t>
            </w: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9"/>
              </w:rPr>
              <w:t>(202)</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(2,881)</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(3,000)</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(1,608)</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233</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233</w:t>
            </w:r>
          </w:p>
        </w:tc>
      </w:tr>
      <w:tr>
        <w:trPr>
          <w:trHeight w:val="203"/>
        </w:trPr>
        <w:tc>
          <w:tcPr>
            <w:tcW w:w="20" w:type="dxa"/>
            <w:vAlign w:val="bottom"/>
          </w:tcPr>
          <w:p>
            <w:pPr>
              <w:spacing w:after="0"/>
              <w:rPr>
                <w:sz w:val="17"/>
                <w:szCs w:val="17"/>
                <w:color w:val="auto"/>
              </w:rPr>
            </w:pPr>
          </w:p>
        </w:tc>
        <w:tc>
          <w:tcPr>
            <w:tcW w:w="448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80" w:type="dxa"/>
            <w:vAlign w:val="bottom"/>
          </w:tcPr>
          <w:p>
            <w:pPr>
              <w:ind w:left="420"/>
              <w:spacing w:after="0" w:line="202" w:lineRule="exact"/>
              <w:rPr>
                <w:sz w:val="20"/>
                <w:szCs w:val="20"/>
                <w:color w:val="auto"/>
              </w:rPr>
            </w:pPr>
            <w:r>
              <w:rPr>
                <w:rFonts w:ascii="Arial" w:cs="Arial" w:eastAsia="Arial" w:hAnsi="Arial"/>
                <w:sz w:val="18"/>
                <w:szCs w:val="18"/>
                <w:color w:val="auto"/>
              </w:rPr>
              <w:t>for redeemable subsidiary preferred stock</w:t>
            </w:r>
          </w:p>
        </w:tc>
        <w:tc>
          <w:tcPr>
            <w:tcW w:w="140" w:type="dxa"/>
            <w:vAlign w:val="bottom"/>
          </w:tcPr>
          <w:p>
            <w:pPr>
              <w:spacing w:after="0"/>
              <w:rPr>
                <w:sz w:val="17"/>
                <w:szCs w:val="17"/>
                <w:color w:val="auto"/>
              </w:rPr>
            </w:pPr>
          </w:p>
        </w:tc>
        <w:tc>
          <w:tcPr>
            <w:tcW w:w="6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r>
      <w:tr>
        <w:trPr>
          <w:trHeight w:val="199"/>
        </w:trPr>
        <w:tc>
          <w:tcPr>
            <w:tcW w:w="20" w:type="dxa"/>
            <w:vAlign w:val="bottom"/>
          </w:tcPr>
          <w:p>
            <w:pPr>
              <w:spacing w:after="0"/>
              <w:rPr>
                <w:sz w:val="17"/>
                <w:szCs w:val="17"/>
                <w:color w:val="auto"/>
              </w:rPr>
            </w:pPr>
          </w:p>
        </w:tc>
        <w:tc>
          <w:tcPr>
            <w:tcW w:w="44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99</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w:t>
            </w:r>
          </w:p>
        </w:tc>
      </w:tr>
      <w:tr>
        <w:trPr>
          <w:trHeight w:val="196"/>
        </w:trPr>
        <w:tc>
          <w:tcPr>
            <w:tcW w:w="20" w:type="dxa"/>
            <w:vAlign w:val="bottom"/>
          </w:tcPr>
          <w:p>
            <w:pPr>
              <w:spacing w:after="0"/>
              <w:rPr>
                <w:sz w:val="17"/>
                <w:szCs w:val="17"/>
                <w:color w:val="auto"/>
              </w:rPr>
            </w:pPr>
          </w:p>
        </w:tc>
        <w:tc>
          <w:tcPr>
            <w:tcW w:w="44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(3,467)</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(202)</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1,429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(4,037)</w:t>
            </w:r>
          </w:p>
        </w:tc>
      </w:tr>
      <w:tr>
        <w:trPr>
          <w:trHeight w:val="199"/>
        </w:trPr>
        <w:tc>
          <w:tcPr>
            <w:tcW w:w="450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7"/>
                <w:szCs w:val="17"/>
                <w:color w:val="auto"/>
              </w:rPr>
            </w:pPr>
          </w:p>
        </w:tc>
        <w:tc>
          <w:tcPr>
            <w:tcW w:w="6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4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4,891</w:t>
            </w:r>
          </w:p>
        </w:tc>
        <w:tc>
          <w:tcPr>
            <w:tcW w:w="180" w:type="dxa"/>
            <w:vAlign w:val="bottom"/>
          </w:tcPr>
          <w:p>
            <w:pPr>
              <w:spacing w:after="0"/>
              <w:rPr>
                <w:sz w:val="17"/>
                <w:szCs w:val="17"/>
                <w:color w:val="auto"/>
              </w:rPr>
            </w:pPr>
          </w:p>
        </w:tc>
        <w:tc>
          <w:tcPr>
            <w:tcW w:w="7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4,440</w:t>
            </w:r>
          </w:p>
        </w:tc>
        <w:tc>
          <w:tcPr>
            <w:tcW w:w="200" w:type="dxa"/>
            <w:vAlign w:val="bottom"/>
          </w:tcPr>
          <w:p>
            <w:pPr>
              <w:spacing w:after="0"/>
              <w:rPr>
                <w:sz w:val="17"/>
                <w:szCs w:val="17"/>
                <w:color w:val="auto"/>
              </w:rPr>
            </w:pPr>
          </w:p>
        </w:tc>
        <w:tc>
          <w:tcPr>
            <w:tcW w:w="7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3"/>
              <w:spacing w:after="0" w:line="200" w:lineRule="exact"/>
              <w:rPr>
                <w:sz w:val="20"/>
                <w:szCs w:val="20"/>
                <w:color w:val="auto"/>
              </w:rPr>
            </w:pPr>
            <w:r>
              <w:rPr>
                <w:rFonts w:ascii="Arial" w:cs="Arial" w:eastAsia="Arial" w:hAnsi="Arial"/>
                <w:sz w:val="18"/>
                <w:szCs w:val="18"/>
                <w:color w:val="auto"/>
              </w:rPr>
              <w:t>9,331</w:t>
            </w:r>
          </w:p>
        </w:tc>
      </w:tr>
      <w:tr>
        <w:trPr>
          <w:trHeight w:val="199"/>
        </w:trPr>
        <w:tc>
          <w:tcPr>
            <w:tcW w:w="45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238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1,382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1,620</w:t>
            </w:r>
          </w:p>
        </w:tc>
      </w:tr>
      <w:tr>
        <w:trPr>
          <w:trHeight w:val="196"/>
        </w:trPr>
        <w:tc>
          <w:tcPr>
            <w:tcW w:w="450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C6DFF"/>
            </w:tcBorders>
          </w:tcPr>
          <w:p>
            <w:pPr>
              <w:jc w:val="right"/>
              <w:ind w:right="59"/>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5,129</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5,822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0C6DFF"/>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10,951</w:t>
            </w:r>
          </w:p>
        </w:tc>
      </w:tr>
      <w:tr>
        <w:trPr>
          <w:trHeight w:val="506"/>
        </w:trPr>
        <w:tc>
          <w:tcPr>
            <w:tcW w:w="4500" w:type="dxa"/>
            <w:vAlign w:val="bottom"/>
            <w:gridSpan w:val="2"/>
          </w:tcPr>
          <w:p>
            <w:pPr>
              <w:spacing w:after="0"/>
              <w:rPr>
                <w:sz w:val="20"/>
                <w:szCs w:val="20"/>
                <w:color w:val="auto"/>
              </w:rPr>
            </w:pPr>
            <w:r>
              <w:rPr>
                <w:rFonts w:ascii="Arial" w:cs="Arial" w:eastAsia="Arial" w:hAnsi="Arial"/>
                <w:sz w:val="14"/>
                <w:szCs w:val="14"/>
                <w:color w:val="auto"/>
              </w:rPr>
              <w:t>Comcast 2014 Annual Report on Form 10-K</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130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82.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83.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w:t>
      </w:r>
    </w:p>
    <w:p>
      <w:pPr>
        <w:ind w:right="20" w:firstLine="8"/>
        <w:spacing w:after="0" w:line="239" w:lineRule="auto"/>
        <w:tabs>
          <w:tab w:leader="none" w:pos="2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our last fiscal quarter that have materially affected, or are reasonably likely to materially affect, Comcast’s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131</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020" w:right="1240" w:hanging="21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14" w:lineRule="exact"/>
        <w:rPr>
          <w:rFonts w:ascii="Arial" w:cs="Arial" w:eastAsia="Arial" w:hAnsi="Arial"/>
          <w:sz w:val="18"/>
          <w:szCs w:val="18"/>
          <w:color w:val="auto"/>
        </w:rPr>
      </w:pPr>
    </w:p>
    <w:p>
      <w:pPr>
        <w:jc w:val="both"/>
        <w:ind w:left="1020" w:right="1240" w:hanging="215"/>
        <w:spacing w:after="0" w:line="281"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1020" w:right="1240" w:hanging="215"/>
        <w:spacing w:after="0" w:line="23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in 2013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NBCUniversal’s system of internal control over financial reporting was effective as of December 31,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0C6DFF"/>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132</w:t>
            </w: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10: Directors, Executive Officers and Corporate Governance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2015. We refer to this proxy statement as the 2015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Age</w:t>
            </w: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94"/>
              </w:rPr>
              <w:t>Officer Since</w:t>
            </w:r>
          </w:p>
        </w:tc>
        <w:tc>
          <w:tcPr>
            <w:tcW w:w="63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Position with Comcast</w:t>
            </w:r>
          </w:p>
        </w:tc>
      </w:tr>
      <w:tr>
        <w:trPr>
          <w:trHeight w:val="199"/>
        </w:trPr>
        <w:tc>
          <w:tcPr>
            <w:tcW w:w="24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1280" w:type="dxa"/>
            <w:vAlign w:val="bottom"/>
          </w:tcPr>
          <w:p>
            <w:pPr>
              <w:ind w:left="880"/>
              <w:spacing w:after="0" w:line="200" w:lineRule="exact"/>
              <w:rPr>
                <w:sz w:val="20"/>
                <w:szCs w:val="20"/>
                <w:color w:val="auto"/>
              </w:rPr>
            </w:pPr>
            <w:r>
              <w:rPr>
                <w:rFonts w:ascii="Arial" w:cs="Arial" w:eastAsia="Arial" w:hAnsi="Arial"/>
                <w:sz w:val="18"/>
                <w:szCs w:val="18"/>
                <w:color w:val="auto"/>
              </w:rPr>
              <w:t>55</w:t>
            </w:r>
          </w:p>
        </w:tc>
        <w:tc>
          <w:tcPr>
            <w:tcW w:w="1280" w:type="dxa"/>
            <w:vAlign w:val="bottom"/>
          </w:tcPr>
          <w:p>
            <w:pPr>
              <w:jc w:val="center"/>
              <w:ind w:right="75"/>
              <w:spacing w:after="0" w:line="200" w:lineRule="exact"/>
              <w:rPr>
                <w:sz w:val="20"/>
                <w:szCs w:val="20"/>
                <w:color w:val="auto"/>
              </w:rPr>
            </w:pPr>
            <w:r>
              <w:rPr>
                <w:rFonts w:ascii="Arial" w:cs="Arial" w:eastAsia="Arial" w:hAnsi="Arial"/>
                <w:sz w:val="18"/>
                <w:szCs w:val="18"/>
                <w:color w:val="auto"/>
                <w:w w:val="99"/>
              </w:rPr>
              <w:t>1986</w:t>
            </w:r>
          </w:p>
        </w:tc>
        <w:tc>
          <w:tcPr>
            <w:tcW w:w="6380" w:type="dxa"/>
            <w:vAlign w:val="bottom"/>
          </w:tcPr>
          <w:p>
            <w:pPr>
              <w:ind w:left="340"/>
              <w:spacing w:after="0" w:line="200" w:lineRule="exact"/>
              <w:rPr>
                <w:sz w:val="20"/>
                <w:szCs w:val="20"/>
                <w:color w:val="auto"/>
              </w:rPr>
            </w:pPr>
            <w:r>
              <w:rPr>
                <w:rFonts w:ascii="Arial" w:cs="Arial" w:eastAsia="Arial" w:hAnsi="Arial"/>
                <w:sz w:val="18"/>
                <w:szCs w:val="18"/>
                <w:color w:val="auto"/>
              </w:rPr>
              <w:t>Chairman and Chief Executive Officer;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50</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2007</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Vice Chairman; Chief Financial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56</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1998</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NBCUniversal Holdings and NBCUniversal</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59</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2002</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56</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2011</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President and Chief Executive Officer, Comcast</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Cable</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60</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1993</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24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1280" w:type="dxa"/>
            <w:vAlign w:val="bottom"/>
            <w:tcBorders>
              <w:bottom w:val="single" w:sz="8" w:color="auto"/>
            </w:tcBorders>
          </w:tcPr>
          <w:p>
            <w:pPr>
              <w:ind w:left="880"/>
              <w:spacing w:after="0" w:line="200" w:lineRule="exact"/>
              <w:rPr>
                <w:sz w:val="20"/>
                <w:szCs w:val="20"/>
                <w:color w:val="auto"/>
              </w:rPr>
            </w:pPr>
            <w:r>
              <w:rPr>
                <w:rFonts w:ascii="Arial" w:cs="Arial" w:eastAsia="Arial" w:hAnsi="Arial"/>
                <w:sz w:val="18"/>
                <w:szCs w:val="18"/>
                <w:color w:val="auto"/>
              </w:rPr>
              <w:t>58</w:t>
            </w:r>
          </w:p>
        </w:tc>
        <w:tc>
          <w:tcPr>
            <w:tcW w:w="1280" w:type="dxa"/>
            <w:vAlign w:val="bottom"/>
            <w:tcBorders>
              <w:bottom w:val="single" w:sz="8" w:color="auto"/>
            </w:tcBorders>
          </w:tcPr>
          <w:p>
            <w:pPr>
              <w:jc w:val="center"/>
              <w:ind w:right="75"/>
              <w:spacing w:after="0" w:line="200" w:lineRule="exact"/>
              <w:rPr>
                <w:sz w:val="20"/>
                <w:szCs w:val="20"/>
                <w:color w:val="auto"/>
              </w:rPr>
            </w:pPr>
            <w:r>
              <w:rPr>
                <w:rFonts w:ascii="Arial" w:cs="Arial" w:eastAsia="Arial" w:hAnsi="Arial"/>
                <w:sz w:val="18"/>
                <w:szCs w:val="18"/>
                <w:color w:val="auto"/>
                <w:w w:val="99"/>
              </w:rPr>
              <w:t>2000</w:t>
            </w:r>
          </w:p>
        </w:tc>
        <w:tc>
          <w:tcPr>
            <w:tcW w:w="638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Brian L. Roberts </w:t>
      </w:r>
      <w:r>
        <w:rPr>
          <w:rFonts w:ascii="Arial" w:cs="Arial" w:eastAsia="Arial" w:hAnsi="Arial"/>
          <w:sz w:val="16"/>
          <w:szCs w:val="16"/>
          <w:color w:val="auto"/>
        </w:rPr>
        <w:t>has served as a director and as our President, Chief Executive Officer and Chairman of the Board for more than five years.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2014, Mr. Roberts had sole voting power over approximately 33 1/3% of the combined voting power of our two classes of voting common stock. He is a son of Mr. Ralph J. Roberts. Mr. Roberts is also a director of the National Cable and Telecommunications Association.</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the Chief Financial Officer of Comcast Corporation for more than five years. Mr. Angelakis currently serves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the Federal Reserve Bank of Philadelphia.</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an Executive Vice President for more than five years. On January 28, 2011, Mr. Burke became the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NBCUniversal Holdings and NBCUniversal and resigned from his position as our Chief Operating Officer, which position he had held for more than five years. Mr. Burke also had been the President of Comcast Cable until March 2010. Mr. Burke is also a director of JPMorgan Chase &amp; Company and Berkshire Hathaway, Incorporated.</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 than five years. Mr. Cohen is also a director of the FS Global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Funds, the FS Global Credit Opportunities Fund A and the FS Global Credit Opportunities Fund D.</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Neil Smit </w:t>
      </w:r>
      <w:r>
        <w:rPr>
          <w:rFonts w:ascii="Arial" w:cs="Arial" w:eastAsia="Arial" w:hAnsi="Arial"/>
          <w:sz w:val="18"/>
          <w:szCs w:val="18"/>
          <w:color w:val="auto"/>
        </w:rPr>
        <w:t>has served as the President of Comcast Cable since March 2010, became an Executive Vice President in January 2011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as Chief Executive Officer of Comcast Cable in November 2011. Before March 2010, Mr. Smit had been the President and Chief Executive Officer and a director of Charter Communications, Inc., a cable company, since August 2005. Charter Communications filed a voluntary petition for reorganization under Chapter 11 of the U.S. Bankruptcy Code in March 2009 and emerged from Chapter 11 bankruptcy in November 2009. Mr. Smit is also the Chairman of the Board of Directors of the National Cable and Telecommunications Association and Chairman of CableLabs.</w:t>
      </w:r>
    </w:p>
    <w:p>
      <w:pPr>
        <w:spacing w:after="0" w:line="328"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133</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a Senior Vice President and our General Counsel and Secretary for more than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a Senior Vice President and our Controller and Chief Accounting Officer for more than five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sets forth certain information with respect to each of NBCUniversal’s executive officers as of December 31, 2014, each of whom has served as such since the close of the NBCUniversal transaction on January 28, 2011. The table also sets forth NBCUniversal Holdings’ directors as of December 31,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804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Title</w:t>
            </w:r>
          </w:p>
        </w:tc>
      </w:tr>
      <w:tr>
        <w:trPr>
          <w:trHeight w:val="199"/>
        </w:trPr>
        <w:tc>
          <w:tcPr>
            <w:tcW w:w="33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8040" w:type="dxa"/>
            <w:vAlign w:val="bottom"/>
          </w:tcPr>
          <w:p>
            <w:pPr>
              <w:ind w:left="1780"/>
              <w:spacing w:after="0" w:line="200" w:lineRule="exact"/>
              <w:rPr>
                <w:sz w:val="20"/>
                <w:szCs w:val="20"/>
                <w:color w:val="auto"/>
              </w:rPr>
            </w:pPr>
            <w:r>
              <w:rPr>
                <w:rFonts w:ascii="Arial" w:cs="Arial" w:eastAsia="Arial" w:hAnsi="Arial"/>
                <w:sz w:val="18"/>
                <w:szCs w:val="18"/>
                <w:color w:val="auto"/>
              </w:rPr>
              <w:t>Principal Executive Officer</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Principal Financial Officer; Director of NBCUniversal Holdings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Executive Vice President; Director of NBCUniversal Holdings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Senior Vice President; Director of NBCUniversal Holdings</w:t>
            </w:r>
          </w:p>
        </w:tc>
      </w:tr>
      <w:tr>
        <w:trPr>
          <w:trHeight w:val="199"/>
        </w:trPr>
        <w:tc>
          <w:tcPr>
            <w:tcW w:w="3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8040" w:type="dxa"/>
            <w:vAlign w:val="bottom"/>
            <w:tcBorders>
              <w:bottom w:val="single" w:sz="8" w:color="auto"/>
            </w:tcBorders>
          </w:tcPr>
          <w:p>
            <w:pPr>
              <w:ind w:left="1780"/>
              <w:spacing w:after="0" w:line="200" w:lineRule="exact"/>
              <w:rPr>
                <w:sz w:val="20"/>
                <w:szCs w:val="20"/>
                <w:color w:val="auto"/>
              </w:rPr>
            </w:pPr>
            <w:r>
              <w:rPr>
                <w:rFonts w:ascii="Arial" w:cs="Arial" w:eastAsia="Arial" w:hAnsi="Arial"/>
                <w:sz w:val="18"/>
                <w:szCs w:val="18"/>
                <w:color w:val="auto"/>
              </w:rPr>
              <w:t>Senior Vice President</w:t>
            </w:r>
          </w:p>
        </w:tc>
      </w:tr>
    </w:tbl>
    <w:p>
      <w:pPr>
        <w:spacing w:after="0" w:line="16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year ended December 31, 2014, NBCUniversal reimbursed Comcast approximately $35 million for direct services provided by our executive officers.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2015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0C6DFF"/>
        </w:rPr>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2015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2015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14: Principal Accountant Fees and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2015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2014 and 2013. Set forth below are the fees paid or accrued for the services of Deloitte &amp; Touche LLP, the member firms of Deloitte Touche Tohmatsu and their respective affiliates in 2014 and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5680" w:type="dxa"/>
            <w:vAlign w:val="bottom"/>
          </w:tcPr>
          <w:p>
            <w:pPr>
              <w:spacing w:after="0" w:line="177" w:lineRule="exact"/>
              <w:rPr>
                <w:sz w:val="20"/>
                <w:szCs w:val="20"/>
                <w:color w:val="auto"/>
              </w:rPr>
            </w:pPr>
            <w:r>
              <w:rPr>
                <w:rFonts w:ascii="Arial" w:cs="Arial" w:eastAsia="Arial" w:hAnsi="Arial"/>
                <w:sz w:val="18"/>
                <w:szCs w:val="18"/>
                <w:color w:val="auto"/>
              </w:rPr>
              <w:t>Audit fees</w:t>
            </w:r>
          </w:p>
        </w:tc>
        <w:tc>
          <w:tcPr>
            <w:tcW w:w="44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96"/>
              <w:spacing w:after="0" w:line="177" w:lineRule="exact"/>
              <w:rPr>
                <w:sz w:val="20"/>
                <w:szCs w:val="20"/>
                <w:color w:val="auto"/>
              </w:rPr>
            </w:pPr>
            <w:r>
              <w:rPr>
                <w:rFonts w:ascii="Arial" w:cs="Arial" w:eastAsia="Arial" w:hAnsi="Arial"/>
                <w:sz w:val="18"/>
                <w:szCs w:val="18"/>
                <w:b w:val="1"/>
                <w:bCs w:val="1"/>
                <w:color w:val="auto"/>
              </w:rPr>
              <w:t>9.5</w:t>
            </w:r>
          </w:p>
        </w:tc>
        <w:tc>
          <w:tcPr>
            <w:tcW w:w="2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9.7</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4440" w:type="dxa"/>
            <w:vAlign w:val="bottom"/>
          </w:tcPr>
          <w:p>
            <w:pPr>
              <w:spacing w:after="0"/>
              <w:rPr>
                <w:sz w:val="17"/>
                <w:szCs w:val="17"/>
                <w:color w:val="auto"/>
              </w:rPr>
            </w:pPr>
          </w:p>
        </w:tc>
        <w:tc>
          <w:tcPr>
            <w:tcW w:w="5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0.9</w:t>
            </w:r>
          </w:p>
        </w:tc>
        <w:tc>
          <w:tcPr>
            <w:tcW w:w="28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0.6</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4440" w:type="dxa"/>
            <w:vAlign w:val="bottom"/>
          </w:tcPr>
          <w:p>
            <w:pPr>
              <w:spacing w:after="0"/>
              <w:rPr>
                <w:sz w:val="17"/>
                <w:szCs w:val="17"/>
                <w:color w:val="auto"/>
              </w:rPr>
            </w:pPr>
          </w:p>
        </w:tc>
        <w:tc>
          <w:tcPr>
            <w:tcW w:w="5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7"/>
                <w:szCs w:val="17"/>
                <w:color w:val="auto"/>
              </w:rPr>
            </w:pPr>
          </w:p>
        </w:tc>
        <w:tc>
          <w:tcPr>
            <w:tcW w:w="4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0.2</w:t>
            </w:r>
          </w:p>
        </w:tc>
      </w:tr>
      <w:tr>
        <w:trPr>
          <w:trHeight w:val="221"/>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4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0.2</w:t>
            </w:r>
          </w:p>
        </w:tc>
      </w:tr>
      <w:tr>
        <w:trPr>
          <w:trHeight w:val="196"/>
        </w:trPr>
        <w:tc>
          <w:tcPr>
            <w:tcW w:w="5680" w:type="dxa"/>
            <w:vAlign w:val="bottom"/>
            <w:tcBorders>
              <w:bottom w:val="single" w:sz="8" w:color="0C6DFF"/>
            </w:tcBorders>
          </w:tcPr>
          <w:p>
            <w:pPr>
              <w:spacing w:after="0"/>
              <w:rPr>
                <w:sz w:val="17"/>
                <w:szCs w:val="17"/>
                <w:color w:val="auto"/>
              </w:rPr>
            </w:pPr>
          </w:p>
        </w:tc>
        <w:tc>
          <w:tcPr>
            <w:tcW w:w="44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96"/>
              <w:spacing w:after="0" w:line="196" w:lineRule="exact"/>
              <w:rPr>
                <w:sz w:val="20"/>
                <w:szCs w:val="20"/>
                <w:color w:val="auto"/>
              </w:rPr>
            </w:pPr>
            <w:r>
              <w:rPr>
                <w:rFonts w:ascii="Arial" w:cs="Arial" w:eastAsia="Arial" w:hAnsi="Arial"/>
                <w:sz w:val="18"/>
                <w:szCs w:val="18"/>
                <w:b w:val="1"/>
                <w:bCs w:val="1"/>
                <w:color w:val="auto"/>
                <w:w w:val="96"/>
              </w:rPr>
              <w:t>10.5</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10.7</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 fees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Audit-related fees in 2014 and 2013 consisted primarily of fees paid or accrued for audits associated with employee benefit plans and attestation services related to contractual and regulatory compliance.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Tax fees in 2014 and 2013 consisted of fees paid or accrued for domestic and foreign tax compliance services, including tax examination assistance.</w:t>
      </w:r>
    </w:p>
    <w:p>
      <w:pPr>
        <w:spacing w:after="0" w:line="155" w:lineRule="exact"/>
        <w:rPr>
          <w:sz w:val="20"/>
          <w:szCs w:val="20"/>
          <w:color w:val="auto"/>
        </w:rPr>
      </w:pPr>
    </w:p>
    <w:p>
      <w:pPr>
        <w:ind w:right="4140"/>
        <w:spacing w:after="0" w:line="422" w:lineRule="auto"/>
        <w:rPr>
          <w:sz w:val="20"/>
          <w:szCs w:val="20"/>
          <w:color w:val="auto"/>
        </w:rPr>
      </w:pPr>
      <w:r>
        <w:rPr>
          <w:rFonts w:ascii="Arial" w:cs="Arial" w:eastAsia="Arial" w:hAnsi="Arial"/>
          <w:sz w:val="16"/>
          <w:szCs w:val="16"/>
          <w:color w:val="auto"/>
        </w:rPr>
        <w:t xml:space="preserve">All other fees in 2013 consisted of fees paid or accrued for various consulting services. </w:t>
      </w:r>
      <w:r>
        <w:rPr>
          <w:rFonts w:ascii="Arial" w:cs="Arial" w:eastAsia="Arial" w:hAnsi="Arial"/>
          <w:sz w:val="16"/>
          <w:szCs w:val="16"/>
          <w:b w:val="1"/>
          <w:bCs w:val="1"/>
          <w:color w:val="auto"/>
        </w:rPr>
        <w:t>Preapproval Policy of Audit Committee of Services Performed by Independent Auditors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15: Exhibits and Financial Statement Schedules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6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81 of this report. Schedule II, Valuation and Qualifying Accounts, is found on page 177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Exhibits required to be filed by Item 601 of Regulation S-K (all of which are under Commission File No. 001-32871, except as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Transaction Agreement, dated February 12, 2013, by and among Comcast Corporation, General Electric Company, NBCUniversal, LLC,</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NBCUniversal Media, LLC, National Broadcasting Company Holding, Inc. and Navy Holdings, Inc. (n/k/a/ NBCUniversal Enterprise, Inc.)</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2.1 to Comcast’s Quarterly Report on Form 10-Q for the quarter ended March 31, 2013).</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Amendment to Transaction Agreement, dated March 19, 2013, by and among Comcast Corporation, General Electric Company,</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NBCUniversal, LLC, NBCUniversal Media, LLC, National Broadcasting Company Holding, Inc. and Navy Holdings, Inc. (n/k/a/</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NBCUniversal Enterprise, Inc.) (incorporated by reference to Exhibit 2.2 to Comcast’s Quarterly Report on Form 10-Q for the quarter</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ended March 31, 2013).</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2.3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Agreement and Plan of Merger dated as of February 12, 2014 among Comcast Corporation, Time Warner Cable Inc. and Tango</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Acquisition Sub, Inc. (incorporated by reference to Exhibit 2.1 to Comcast’s Current Report filed on February 13, 2014).</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2.4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9"/>
              </w:rPr>
              <w:t>Voting Agreement dated as of February 12, 2014 among Time Warner Cable Inc., Brian L. Roberts, BRCC Holdings LLC, Irrevocable</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Deed of Trust of Brian L. Roberts for Children and Other Issue dated June 10, 1998 and Irrevocable Deed of Trust of Ralph J. Roberts</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for Brian L. Roberts and Other Beneficiaries dated May 11, 1993 (incorporated by reference to Exhibit 2.2 to Comcast’s Current Report</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filed on February 13, 2014).</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2.5</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8"/>
              </w:rPr>
              <w:t>Comcast/Charter Transactions Agreement dated as of April 25, 2014 between Comcast Corporation and Charter Communications, Inc.</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2.1 to Comcast’s Current Report filed on April 28, 2014).</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2.6</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Voting Agreement dated as of April 25, 2014 between Comcast Corporation and Liberty Media Corporation (incorporated by reference to</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Exhibit 2.2 to Comcast’s Current Report filed on April 28, 2014).</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Amended and Restated Articles of Incorporation of Comcast Corporation (incorporated by reference to Exhibit 3.1 to Comcast’s</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Quarterly Report on Form 10-Q for the quarter ended June 30, 2009).</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Amended and Restated By-Laws of Comcast Corporation (incorporated by reference to Exhibit 3.1 to Comcast’s Current Report on</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Form 8-K filed on November 23, 2011).</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Common Stock Certificate (incorporated by reference to Exhibit 4.1 to Comcast’s Annual Report on Form 10-K for the</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year ended December 31, 2002).</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Special Common Stock Certificate (incorporated by reference to Exhibit 4.2 to Comcast’s Annual Report on Form 10-</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K for the year ended December 31, 2002).</w:t>
            </w:r>
          </w:p>
        </w:tc>
        <w:tc>
          <w:tcPr>
            <w:tcW w:w="6560" w:type="dxa"/>
            <w:vAlign w:val="bottom"/>
          </w:tcPr>
          <w:p>
            <w:pPr>
              <w:spacing w:after="0"/>
              <w:rPr>
                <w:sz w:val="18"/>
                <w:szCs w:val="18"/>
                <w:color w:val="auto"/>
              </w:rPr>
            </w:pPr>
          </w:p>
        </w:tc>
      </w:tr>
      <w:tr>
        <w:trPr>
          <w:trHeight w:val="501"/>
        </w:trPr>
        <w:tc>
          <w:tcPr>
            <w:tcW w:w="4860" w:type="dxa"/>
            <w:vAlign w:val="bottom"/>
            <w:gridSpan w:val="2"/>
          </w:tcPr>
          <w:p>
            <w:pPr>
              <w:spacing w:after="0"/>
              <w:rPr>
                <w:sz w:val="20"/>
                <w:szCs w:val="20"/>
                <w:color w:val="auto"/>
              </w:rPr>
            </w:pPr>
            <w:r>
              <w:rPr>
                <w:rFonts w:ascii="Arial" w:cs="Arial" w:eastAsia="Arial" w:hAnsi="Arial"/>
                <w:sz w:val="14"/>
                <w:szCs w:val="14"/>
                <w:color w:val="auto"/>
              </w:rPr>
              <w:t>Comcast 2014 Annual Report on Form 10-K</w:t>
            </w:r>
          </w:p>
        </w:tc>
        <w:tc>
          <w:tcPr>
            <w:tcW w:w="6560" w:type="dxa"/>
            <w:vAlign w:val="bottom"/>
          </w:tcPr>
          <w:p>
            <w:pPr>
              <w:jc w:val="right"/>
              <w:ind w:right="5532"/>
              <w:spacing w:after="0"/>
              <w:rPr>
                <w:sz w:val="20"/>
                <w:szCs w:val="20"/>
                <w:color w:val="auto"/>
              </w:rPr>
            </w:pPr>
            <w:r>
              <w:rPr>
                <w:rFonts w:ascii="Arial" w:cs="Arial" w:eastAsia="Arial" w:hAnsi="Arial"/>
                <w:sz w:val="14"/>
                <w:szCs w:val="14"/>
                <w:b w:val="1"/>
                <w:bCs w:val="1"/>
                <w:color w:val="auto"/>
              </w:rPr>
              <w:t>136</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Comcast’s Annual Report on Form 10-K for the year ended December 31, 2008).</w:t>
      </w:r>
    </w:p>
    <w:p>
      <w:pPr>
        <w:spacing w:after="0" w:line="59"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Indenture, dated March 25, 2003, to the Indenture between Comcast Corporation, the subsidiary guarantors party thereto, and The Bank of New York Mellon (f/k/a The Bank of New York), as trustee, dated January 7, 2003 (incorporated by reference to Exhibit 4.5 to Comcast’s Annual Report on Form 10-K for the year ended December 31, 2008).</w:t>
      </w:r>
    </w:p>
    <w:p>
      <w:pPr>
        <w:spacing w:after="0" w:line="59" w:lineRule="exact"/>
        <w:rPr>
          <w:sz w:val="20"/>
          <w:szCs w:val="20"/>
          <w:color w:val="auto"/>
        </w:rPr>
      </w:pPr>
    </w:p>
    <w:p>
      <w:pPr>
        <w:jc w:val="both"/>
        <w:ind w:left="920" w:hanging="869"/>
        <w:spacing w:after="0" w:line="237" w:lineRule="auto"/>
        <w:tabs>
          <w:tab w:leader="none" w:pos="9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Second Supplemental Indenture, dated August 31, 2009, to the Indenture between Comcast Corporation, the subsidiary guarantors party thereto, and The Bank of New York Mellon, as Trustee, dated January 7, 2003, as supplemented by a First Supplemental Indenture dated March 25, 2003 (incorporated by reference to Exhibit 4.1 to Comcast’s Current Report on Form 8-K filed on September 2, 2009).</w:t>
      </w:r>
    </w:p>
    <w:p>
      <w:pPr>
        <w:spacing w:after="0" w:line="60" w:lineRule="exact"/>
        <w:rPr>
          <w:sz w:val="20"/>
          <w:szCs w:val="20"/>
          <w:color w:val="auto"/>
        </w:rPr>
      </w:pPr>
    </w:p>
    <w:p>
      <w:pPr>
        <w:jc w:val="both"/>
        <w:ind w:left="920" w:hanging="869"/>
        <w:spacing w:after="0" w:line="237" w:lineRule="auto"/>
        <w:tabs>
          <w:tab w:leader="none" w:pos="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Third Supplemental Indenture, dated March 27, 2013, to the Indenture between Comcast Corporation, the subsidiary guarantors party thereto, and The Bank of New York Mellon (f/k/a The Bank of New York), as trustee, dated January 7, 2003, as supplemented by a First Supplemental Indenture dated March 25, 2003 and a second Supplemental Indenture dated August 31, 2009 (incorporated by reference to Exhibit 4.4 to Comcast’s Quarterly Report on Form 10-Q for the quarter ended March 31, 2013).</w:t>
      </w:r>
    </w:p>
    <w:p>
      <w:pPr>
        <w:spacing w:after="0" w:line="60"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Indenture, dated as of April 30, 2010, between NBC Universal, Inc. (n/k/a NBCUniversal Media, LLC) and The Bank of New York Mellon, as trustee (incorporated by reference to Exhibit 4.1 to the Registration Statement on Form S-4 of NBCUniversal Media, LLC (Commission File No. 333-174175) filed on May 13, 2011).</w:t>
      </w:r>
    </w:p>
    <w:p>
      <w:pPr>
        <w:spacing w:after="0" w:line="59"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to Comcast’s Quarterly Report on Form 10-Q for the quarter ended March 31, 2013).</w:t>
      </w:r>
    </w:p>
    <w:p>
      <w:pPr>
        <w:spacing w:after="0" w:line="59" w:lineRule="exact"/>
        <w:rPr>
          <w:sz w:val="20"/>
          <w:szCs w:val="20"/>
          <w:color w:val="auto"/>
        </w:rPr>
      </w:pPr>
    </w:p>
    <w:p>
      <w:pPr>
        <w:jc w:val="both"/>
        <w:ind w:left="920" w:hanging="869"/>
        <w:spacing w:after="0" w:line="238" w:lineRule="auto"/>
        <w:tabs>
          <w:tab w:leader="none" w:pos="9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Indenture, dated March 19, 2013, among NBCUniversal Enterprise, Inc. (f/k/a Navy Holdings, Inc.), Comcast Corporation, the Cable Guarantors party thereto, and The Bank of New York Mellon, as trustee (incorporated by reference to Exhibit 4.1 to Comcast’s Quarterly Report on Form 10-Q for the quarter ended March 31, 2013).</w:t>
      </w:r>
    </w:p>
    <w:p>
      <w:pPr>
        <w:spacing w:after="0" w:line="59" w:lineRule="exact"/>
        <w:rPr>
          <w:sz w:val="20"/>
          <w:szCs w:val="20"/>
          <w:color w:val="auto"/>
        </w:rPr>
      </w:pPr>
    </w:p>
    <w:p>
      <w:pPr>
        <w:jc w:val="both"/>
        <w:ind w:left="920"/>
        <w:spacing w:after="0" w:line="237" w:lineRule="auto"/>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 amount of securities authorized under each of which does not exceed ten percent of the total assets of the registrant and its subsidiaries on a consolidated basis), are omitted pursuant to Item 601(b)(4)(iii)(A) of Regulation S-K. We agree to furnish copies of any such instruments to the SEC upon request.</w:t>
      </w:r>
    </w:p>
    <w:p>
      <w:pPr>
        <w:spacing w:after="0" w:line="60"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as of June 6, 2012 among Comcast Corporation, Comcast Cable Communications, LLC, the Financial Institutions party thereto and JP Morgan Chase Bank, N.A., as Administrative Agent and the Issuing Lender (incorporated by reference to Exhibit 10.1 to Comcast’s Quarterly Report on Form 10-Q for the quarter ended June 30, 2012).</w:t>
      </w:r>
    </w:p>
    <w:p>
      <w:pPr>
        <w:spacing w:after="0" w:line="59" w:lineRule="exact"/>
        <w:rPr>
          <w:sz w:val="20"/>
          <w:szCs w:val="20"/>
          <w:color w:val="auto"/>
        </w:rPr>
      </w:pPr>
    </w:p>
    <w:p>
      <w:pPr>
        <w:jc w:val="both"/>
        <w:ind w:left="920" w:hanging="917"/>
        <w:spacing w:after="0" w:line="23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Credit Agreement, dated as of March 19, 2013, among NBCUniversal Enterprise, Inc. (f/k/a Navy Holdings, Inc.), as Borrower, the Financial Institutions party thereto, JPMorgan Chase Bank, N.A., as Administrative Agent and the other agents party thereto (incorporated by reference to Exhibit 10.1 to Comcast’s Quarterly Report on Form 10-Q for the quarter ended March 31, 2013).</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Second Amended and Restated Certificate of Incorporation of NBCUniversal Enterprise, Inc. (f/k/a/ Navy Holdings, Inc.), dated</w:t>
            </w:r>
          </w:p>
        </w:tc>
      </w:tr>
      <w:tr>
        <w:trPr>
          <w:trHeight w:val="203"/>
        </w:trPr>
        <w:tc>
          <w:tcPr>
            <w:tcW w:w="800" w:type="dxa"/>
            <w:vAlign w:val="bottom"/>
          </w:tcPr>
          <w:p>
            <w:pPr>
              <w:spacing w:after="0"/>
              <w:rPr>
                <w:sz w:val="17"/>
                <w:szCs w:val="17"/>
                <w:color w:val="auto"/>
              </w:rPr>
            </w:pPr>
          </w:p>
        </w:tc>
        <w:tc>
          <w:tcPr>
            <w:tcW w:w="10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March 19, 2013 (incorporated by reference to Exhibit 10.3 to Comcast’s Quarterly Report on Form 10-Q for the quarter ended</w:t>
            </w:r>
          </w:p>
        </w:tc>
      </w:tr>
      <w:tr>
        <w:trPr>
          <w:trHeight w:val="211"/>
        </w:trPr>
        <w:tc>
          <w:tcPr>
            <w:tcW w:w="800" w:type="dxa"/>
            <w:vAlign w:val="bottom"/>
          </w:tcPr>
          <w:p>
            <w:pPr>
              <w:spacing w:after="0"/>
              <w:rPr>
                <w:sz w:val="18"/>
                <w:szCs w:val="18"/>
                <w:color w:val="auto"/>
              </w:rPr>
            </w:pPr>
          </w:p>
        </w:tc>
        <w:tc>
          <w:tcPr>
            <w:tcW w:w="3320" w:type="dxa"/>
            <w:vAlign w:val="bottom"/>
          </w:tcPr>
          <w:p>
            <w:pPr>
              <w:ind w:left="280"/>
              <w:spacing w:after="0"/>
              <w:rPr>
                <w:sz w:val="20"/>
                <w:szCs w:val="20"/>
                <w:color w:val="auto"/>
              </w:rPr>
            </w:pPr>
            <w:r>
              <w:rPr>
                <w:rFonts w:ascii="Arial" w:cs="Arial" w:eastAsia="Arial" w:hAnsi="Arial"/>
                <w:sz w:val="18"/>
                <w:szCs w:val="18"/>
                <w:color w:val="auto"/>
              </w:rPr>
              <w:t>March 31, 2013).</w:t>
            </w:r>
          </w:p>
        </w:tc>
        <w:tc>
          <w:tcPr>
            <w:tcW w:w="7300" w:type="dxa"/>
            <w:vAlign w:val="bottom"/>
          </w:tcPr>
          <w:p>
            <w:pPr>
              <w:spacing w:after="0"/>
              <w:rPr>
                <w:sz w:val="18"/>
                <w:szCs w:val="18"/>
                <w:color w:val="auto"/>
              </w:rPr>
            </w:pP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Certificate of Designations for Series A Cumulative Preferred Stock of NBCUniversal Enterprise, Inc. (f/k/a/ Navy Holdings, Inc.),</w:t>
            </w:r>
          </w:p>
        </w:tc>
      </w:tr>
      <w:tr>
        <w:trPr>
          <w:trHeight w:val="203"/>
        </w:trPr>
        <w:tc>
          <w:tcPr>
            <w:tcW w:w="800" w:type="dxa"/>
            <w:vAlign w:val="bottom"/>
          </w:tcPr>
          <w:p>
            <w:pPr>
              <w:spacing w:after="0"/>
              <w:rPr>
                <w:sz w:val="17"/>
                <w:szCs w:val="17"/>
                <w:color w:val="auto"/>
              </w:rPr>
            </w:pPr>
          </w:p>
        </w:tc>
        <w:tc>
          <w:tcPr>
            <w:tcW w:w="106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dated March 19, 2013 (incorporated by reference to Exhibit 10.4 to Comcast’s Quarterly Report on Form 10-Q for the quarter ended</w:t>
            </w:r>
          </w:p>
        </w:tc>
      </w:tr>
      <w:tr>
        <w:trPr>
          <w:trHeight w:val="211"/>
        </w:trPr>
        <w:tc>
          <w:tcPr>
            <w:tcW w:w="800" w:type="dxa"/>
            <w:vAlign w:val="bottom"/>
          </w:tcPr>
          <w:p>
            <w:pPr>
              <w:spacing w:after="0"/>
              <w:rPr>
                <w:sz w:val="18"/>
                <w:szCs w:val="18"/>
                <w:color w:val="auto"/>
              </w:rPr>
            </w:pPr>
          </w:p>
        </w:tc>
        <w:tc>
          <w:tcPr>
            <w:tcW w:w="3320" w:type="dxa"/>
            <w:vAlign w:val="bottom"/>
          </w:tcPr>
          <w:p>
            <w:pPr>
              <w:ind w:left="280"/>
              <w:spacing w:after="0"/>
              <w:rPr>
                <w:sz w:val="20"/>
                <w:szCs w:val="20"/>
                <w:color w:val="auto"/>
              </w:rPr>
            </w:pPr>
            <w:r>
              <w:rPr>
                <w:rFonts w:ascii="Arial" w:cs="Arial" w:eastAsia="Arial" w:hAnsi="Arial"/>
                <w:sz w:val="18"/>
                <w:szCs w:val="18"/>
                <w:color w:val="auto"/>
              </w:rPr>
              <w:t>March 31, 2013).</w:t>
            </w:r>
          </w:p>
        </w:tc>
        <w:tc>
          <w:tcPr>
            <w:tcW w:w="7300" w:type="dxa"/>
            <w:vAlign w:val="bottom"/>
          </w:tcPr>
          <w:p>
            <w:pPr>
              <w:spacing w:after="0"/>
              <w:rPr>
                <w:sz w:val="18"/>
                <w:szCs w:val="18"/>
                <w:color w:val="auto"/>
              </w:rPr>
            </w:pP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7"/>
              </w:rPr>
              <w:t>Amendment to Certificate of Designations for Series A Cumulative Preferred Stock of NBCUniversal Enterprise, Inc. dated March 19,</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7"/>
              </w:rPr>
              <w:t>2013 (incorporated by reference to Exhibit 10.5 to Comcast’s Quarterly Report on Form 10-Q for the quarter ended March 31, 2013).</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9"/>
              </w:rPr>
              <w:t>Comcast Corporation 2002 Stock Option Plan, as amended and restated effective December 9, 2008 (incorporated by reference to</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Exhibit 10.2 to Comcast’s Annual Report on Form 10-K for the year ended December 31, 2008).</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7"/>
              </w:rPr>
              <w:t>Comcast Corporation 2003 Stock Option Plan, as amended and restated October 22, 2013 (incorporated by reference to Exhibit 10.7</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to Comcast’s Annual Report on Form 10-K filed on February 12, 2014).</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Deferred Compensation Plan, as amended and restated effective February 10, 2009 (incorporated by</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10.5 to Comcast’s Annual Report on Form 10-K for the year ended December 31, 2009).</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2005 Deferred Compensation Plan, as amended and restated effective October 21, 2014.</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Restricted Stock Plan, as amended and restated effective October 21, 2014.</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8"/>
              </w:rPr>
              <w:t>1992 Executive Split Dollar Insurance Plan (incorporated by reference to Exhibit 10.12 to the Comcast Holdings Corporation Annual</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Report on Form 10-K for the year ended December 31, 1992).</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9"/>
              </w:rPr>
              <w:t>Comcast Corporation 2006 Cash Bonus Plan, as amended and restated effective February 22, 2011 (incorporated by reference to</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Exhibit 10.5 to Comcast’s Quarterly Report on Form 10-Q for the quarter ended March 31, 2011).</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 Corporation Retirement-Investment Plan, as amended and restated effective October 21, 2014.</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Non-Employee Director Compensation Plan, as amended and restated effective May 14, 2013</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10.1 to Comcast’s Quarterly Report on Form 10-Q for the quarter ended June 30, 2013).</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Employee Stock Purchase Plan, as amended and restated effective October 21, 2014.</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Comcast-NBCUniversal 2011 Employee Stock Purchase Plan, as amended and restated effective October 21, 2014.</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7"/>
              </w:rPr>
              <w:t>Comcast Corporation Supplemental Executive Retirement Plan, as amended and restated effective January 1, 2005 (incorporated by</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10.15 to Comcast’s Annual Report on Form 10-K for the year ended December 31, 2007).</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w w:val="97"/>
              </w:rPr>
              <w:t>Employment Agreement between Comcast Corporation and Brian L. Roberts, dated as of June 1, 2005 (incorporated by reference to</w:t>
            </w:r>
          </w:p>
        </w:tc>
      </w:tr>
      <w:tr>
        <w:trPr>
          <w:trHeight w:val="211"/>
        </w:trPr>
        <w:tc>
          <w:tcPr>
            <w:tcW w:w="800" w:type="dxa"/>
            <w:vAlign w:val="bottom"/>
          </w:tcPr>
          <w:p>
            <w:pPr>
              <w:spacing w:after="0"/>
              <w:rPr>
                <w:sz w:val="18"/>
                <w:szCs w:val="18"/>
                <w:color w:val="auto"/>
              </w:rPr>
            </w:pPr>
          </w:p>
        </w:tc>
        <w:tc>
          <w:tcPr>
            <w:tcW w:w="10620" w:type="dxa"/>
            <w:vAlign w:val="bottom"/>
            <w:gridSpan w:val="2"/>
          </w:tcPr>
          <w:p>
            <w:pPr>
              <w:ind w:left="280"/>
              <w:spacing w:after="0"/>
              <w:rPr>
                <w:sz w:val="20"/>
                <w:szCs w:val="20"/>
                <w:color w:val="auto"/>
              </w:rPr>
            </w:pPr>
            <w:r>
              <w:rPr>
                <w:rFonts w:ascii="Arial" w:cs="Arial" w:eastAsia="Arial" w:hAnsi="Arial"/>
                <w:sz w:val="18"/>
                <w:szCs w:val="18"/>
                <w:color w:val="auto"/>
              </w:rPr>
              <w:t>Exhibit 99.1 to Comcast’s Current Report on Form 8-K filed on August 5, 2005).</w:t>
            </w:r>
          </w:p>
        </w:tc>
      </w:tr>
      <w:tr>
        <w:trPr>
          <w:trHeight w:val="501"/>
        </w:trPr>
        <w:tc>
          <w:tcPr>
            <w:tcW w:w="4120" w:type="dxa"/>
            <w:vAlign w:val="bottom"/>
            <w:gridSpan w:val="2"/>
          </w:tcPr>
          <w:p>
            <w:pPr>
              <w:spacing w:after="0"/>
              <w:rPr>
                <w:sz w:val="20"/>
                <w:szCs w:val="20"/>
                <w:color w:val="auto"/>
              </w:rPr>
            </w:pPr>
            <w:r>
              <w:rPr>
                <w:rFonts w:ascii="Arial" w:cs="Arial" w:eastAsia="Arial" w:hAnsi="Arial"/>
                <w:sz w:val="14"/>
                <w:szCs w:val="14"/>
                <w:color w:val="auto"/>
              </w:rPr>
              <w:t>Comcast 2014 Annual Report on Form 10-K</w:t>
            </w:r>
          </w:p>
        </w:tc>
        <w:tc>
          <w:tcPr>
            <w:tcW w:w="7300" w:type="dxa"/>
            <w:vAlign w:val="bottom"/>
          </w:tcPr>
          <w:p>
            <w:pPr>
              <w:jc w:val="right"/>
              <w:ind w:right="5532"/>
              <w:spacing w:after="0"/>
              <w:rPr>
                <w:sz w:val="20"/>
                <w:szCs w:val="20"/>
                <w:color w:val="auto"/>
              </w:rPr>
            </w:pPr>
            <w:r>
              <w:rPr>
                <w:rFonts w:ascii="Arial" w:cs="Arial" w:eastAsia="Arial" w:hAnsi="Arial"/>
                <w:sz w:val="14"/>
                <w:szCs w:val="14"/>
                <w:b w:val="1"/>
                <w:bCs w:val="1"/>
                <w:color w:val="auto"/>
              </w:rPr>
              <w:t>138</w:t>
            </w: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Comcast’s Current Report on Form 8-K filed on February 13, 2009).</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No. 2 to Employment Agreement between Comcast Corporation and Brian L. Roberts, dated as of December 31, 2009 (incorporated by reference to Exhibit 10.23 to Comcast’s Annual Report on Form 10-K for the year ended December 31, 2009).</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No. 3 to Employment Agreement between Comcast Corporation and Brian L. Roberts, dated as of June 30, 2010 (incorporated by reference to Exhibit 99.1 to Comcast’s Current Report on Form 8-K filed on July 7, 2010).</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No. 4 to Employment Agreement between Comcast Corporation and Brian L. Roberts, dated as of December 31, 2010 (incorporated by reference to Exhibit 10.25 to Comcast’s Annual Report on Form 10-K for the year ended December 31, 2010).</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5 to Employment Agreement between Comcast Corporation and Brian L. Roberts, dated as of June 30, 2011 (incorporated by reference to Exhibit 99.1 to Comcast’s Current Report on Form 8-K filed on July 1, 2011).</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Amendment No. 6 to Employment Agreement between Comcast Corporation and Brian L. Roberts, dated as of December 15, 2011 (incorporated by reference to Exhibit 10.21 to Comcast’s Annual Report on Form 10-K for the year ended December 31, 2011).</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No. 7 to Employment Agreement between Comcast Corporation and Brian L. Roberts, effective as of June 30, 2012 (incorporated by reference to Exhibit 99.1 to Comcast’s Current Report on Form 8-K filed on September 14, 2012).</w:t>
      </w:r>
    </w:p>
    <w:p>
      <w:pPr>
        <w:spacing w:after="0" w:line="60" w:lineRule="exact"/>
        <w:rPr>
          <w:sz w:val="20"/>
          <w:szCs w:val="20"/>
          <w:color w:val="auto"/>
        </w:rPr>
      </w:pPr>
    </w:p>
    <w:p>
      <w:pPr>
        <w:ind w:left="1040" w:hanging="1039"/>
        <w:spacing w:after="0" w:line="299"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Amendment No. 8 to Employment Agreement between Comcast Corporation and Brian L. Roberts, dated as of December 14, 2012 (incorporated by reference to Exhibit 10.23 to Comcast’s Annual Report on Form 10-K for the year ended December 31, 2012).</w:t>
      </w:r>
    </w:p>
    <w:p>
      <w:pPr>
        <w:spacing w:after="0" w:line="14"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No. 10 to Employment Agreement with Brian L. Roberts, effective as of June 30, 2013 (incorporated by reference to Exhibit 99.1 to Comcast’s Current Report on Form 8-K filed on July 24, 2013).</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No. 11 to Employment Agreement with Brian L. Roberts, effective as of December 18, 2013 (incorporated by reference to Exhibit 10.29 to Comcast’s Annual Report on Form 10-K filed on February 12, 2014).</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No. 12 to Employment Agreement with Brian L. Roberts, effective as of June 30, 2014 (incorporated by reference to Exhibit 99.1 to Comcast’s Current Report on Form 8-K filed on July 1, 2014).</w:t>
      </w:r>
    </w:p>
    <w:p>
      <w:pPr>
        <w:spacing w:after="0" w:line="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Amendment No. 13 to Employment Agreement with Brian L. Roberts, effective as of December 9, 2014.</w:t>
      </w:r>
    </w:p>
    <w:p>
      <w:pPr>
        <w:spacing w:after="0" w:line="63" w:lineRule="exact"/>
        <w:rPr>
          <w:sz w:val="20"/>
          <w:szCs w:val="20"/>
          <w:color w:val="auto"/>
        </w:rPr>
      </w:pPr>
    </w:p>
    <w:p>
      <w:pPr>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Notice of Rights Waiver from Brian L. Roberts dated February 13, 2009 (incorporated by reference to Exhibit 99.2 to Comcast’s Current Report on Form 8-K filed on February 13, 2009).</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Notice of Termination from Brian L. Roberts dated February 13, 2009 (incorporated by reference to Exhibit 99.3 to Comcast’s Current Report on Form 8-K filed on February 13, 2009).</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Employment Agreement between Comcast Corporation and Ralph J. Roberts dated December 27, 2007 (incorporated by reference to Exhibit 99.1 to Comcast’s Current Report on Form 8-K filed on December 28, 2007).</w:t>
      </w:r>
    </w:p>
    <w:p>
      <w:pPr>
        <w:spacing w:after="0" w:line="60"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Comcast’s Current Report on Form 8-K filed on February 13, 2008).</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40" w:hanging="1039"/>
        <w:spacing w:after="0" w:line="281" w:lineRule="auto"/>
        <w:tabs>
          <w:tab w:leader="none" w:pos="10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(Commission File No. 001-15471) for the year ended December 31, 1993).</w:t>
      </w:r>
    </w:p>
    <w:p>
      <w:pPr>
        <w:spacing w:after="0" w:line="2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(Commission File No. 001-15471) for the quarter ended September 30, 1998).</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(Commission File No. 001-15471) for the quarter ended March 31, 2000).</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(Commission File No. 001-15471) for the year ended December 31, 2001).</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January 24, 2002 (incorporated by reference to Exhibit 10.16 to Comcast’s Annual Report on Form 10-K for the year ended December 31, 2002).</w:t>
      </w:r>
    </w:p>
    <w:p>
      <w:pPr>
        <w:spacing w:after="0" w:line="59" w:lineRule="exact"/>
        <w:rPr>
          <w:sz w:val="20"/>
          <w:szCs w:val="20"/>
          <w:color w:val="auto"/>
        </w:rPr>
      </w:pPr>
    </w:p>
    <w:p>
      <w:pPr>
        <w:jc w:val="both"/>
        <w:ind w:left="1040" w:hanging="1039"/>
        <w:spacing w:after="0" w:line="238" w:lineRule="auto"/>
        <w:tabs>
          <w:tab w:leader="none" w:pos="10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November 18, 2002 (incorporated by reference to Exhibit 10.17 to Comcast’s Annual Report on Form 10-K for the year ended December 31, 2002).</w:t>
      </w:r>
    </w:p>
    <w:p>
      <w:pPr>
        <w:spacing w:after="0" w:line="59"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Second Amendment to Agreement between Comcast Corporation and Ralph J. Roberts, dated as of December 10, 2008 (incorporated by reference to Exhibit 10.2 to Comcast’s Quarterly Report on Form 10-Q for the quarter ended June 30, 2009).</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Insurance Premium Termination Agreement between Comcast Corporation and Ralph J. Roberts, effective as of January 30, 2004 (incorporated by reference to Exhibit 10.1 to Comcast’s Quarterly Report on Form 10-Q for the quarter ended March 31, 2004).</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Employment Agreement between Comcast Corporation and Michael J. Angelakis, dated as of November 22, 2011 (incorporated by reference to Exhibit 99.1 to Comcast’s Current Report on Form 8-K filed on November 23, 2011).</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Comcast’s Current Report on Form 8-K filed on December 22, 2009).</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Amendment No. 2 to Employment Agreement with Stephen B. Burke dated as of August 16, 2013 (incorporated by reference to Exhibit 99.1 to Comcast’s Current Report on Form 8-K filed on August 16, 2013).</w:t>
      </w:r>
    </w:p>
    <w:p>
      <w:pPr>
        <w:spacing w:after="0" w:line="60" w:lineRule="exact"/>
        <w:rPr>
          <w:sz w:val="20"/>
          <w:szCs w:val="20"/>
          <w:color w:val="auto"/>
        </w:rPr>
      </w:pPr>
    </w:p>
    <w:p>
      <w:pPr>
        <w:jc w:val="both"/>
        <w:ind w:left="1040" w:right="20" w:hanging="1039"/>
        <w:spacing w:after="0" w:line="239" w:lineRule="auto"/>
        <w:tabs>
          <w:tab w:leader="none" w:pos="10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Employment Agreement between Comcast Corporation and David L. Cohen, dated as of February 22, 2011 (incorporated by reference to Exhibit 99.1 to Comcast’s Current Report on Form 8-K filed on February 25, 2011).</w:t>
      </w:r>
    </w:p>
    <w:p>
      <w:pPr>
        <w:spacing w:after="0" w:line="60" w:lineRule="exact"/>
        <w:rPr>
          <w:sz w:val="20"/>
          <w:szCs w:val="20"/>
          <w:color w:val="auto"/>
        </w:rPr>
      </w:pPr>
    </w:p>
    <w:p>
      <w:pPr>
        <w:jc w:val="both"/>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Employment Agreement between Comcast Corporation and Neil Smit, dated as of November 21, 2011 (incorporated by reference to Exhibit 10.37 to Comcast’s Annual Report on Form 10-K for the year ended December 31, 2011).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140</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10.48*</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98"/>
              </w:rPr>
              <w:t>Employment Agreement between Comcast Corporation and Neil Smit, dated as of December 22, 2014 (incorporated by reference to</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Exhibit 99.1 to Comcast’s Current Report on Form 8-K filed on December 23, 2014).</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10.49*</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Amendment, dated as of December 16, 2008, to the Employment Agreements with Ralph J. Roberts and Brian L. Roberts</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(incorporated by reference to Exhibit 10.38 to Comcast’s Annual Report on Form 10-K for the year ended December 31, 2008).</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10.50*</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99"/>
              </w:rPr>
              <w:t>Form of Amendment, dated as of December 14, 2012, to the Employment Agreements with Brian L. Roberts, Michael J. Angelakis,</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Stephen B. Burke, Neil Smit and David L. Cohen (incorporated by reference to Exhibit 10.41 to Comcast’s Annual Report on Form</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10-K for the year ended December 31, 2012).</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10.51*</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Non-Qualified Stock Option under the Comcast Corporation 2003 Stock Option Plan (incorporated by reference to Exhibit</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10.40 to Comcast’s Annual Report on Form 10-K for the year ended December 31, 2008).</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10.52*</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98"/>
              </w:rPr>
              <w:t>Form of Long-Term Incentive Awards Summary Schedule under the Comcast Corporation 2002 Restricted Stock Plan (incorporated</w:t>
            </w:r>
          </w:p>
        </w:tc>
      </w:tr>
      <w:tr>
        <w:trPr>
          <w:trHeight w:val="211"/>
        </w:trPr>
        <w:tc>
          <w:tcPr>
            <w:tcW w:w="780" w:type="dxa"/>
            <w:vAlign w:val="bottom"/>
          </w:tcPr>
          <w:p>
            <w:pPr>
              <w:spacing w:after="0"/>
              <w:rPr>
                <w:sz w:val="18"/>
                <w:szCs w:val="18"/>
                <w:color w:val="auto"/>
              </w:rPr>
            </w:pP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by reference to Exhibit 10.43 to Comcast’s Annual Report on Form 10-K for the year ended December 31, 2012).</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10.53*</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Exhibit 99.4 to Comcast’s Current Report on Form 8-K filed on December 22, 2009).</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10.54*</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Exhibit 10.4 to Comcast’s Quarterly Report on Form 10-Q for the quarter ended March 31, 2010).</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10.55*</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Exhibit 10.7 to Comcast’s Quarterly Report on Form 10-Q for the quarter ended March 31, 2011).</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10.56*</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Exhibit 10.1 to Comcast’s Quarterly Report on Form 10-Q for the quarter ended March 31, 2012).</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10.57*</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Exhibit 10.6 to Comcast’s Quarterly Report on Form 10-Q for the quarter ended March 31, 2013).</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10.58*</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Form of Restricted Stock Unit Award and Long-Term Incentive Awards Summary Schedule under the Comcast Corporation 2002</w:t>
            </w:r>
          </w:p>
        </w:tc>
      </w:tr>
      <w:tr>
        <w:trPr>
          <w:trHeight w:val="203"/>
        </w:trPr>
        <w:tc>
          <w:tcPr>
            <w:tcW w:w="780" w:type="dxa"/>
            <w:vAlign w:val="bottom"/>
          </w:tcPr>
          <w:p>
            <w:pPr>
              <w:spacing w:after="0"/>
              <w:rPr>
                <w:sz w:val="17"/>
                <w:szCs w:val="17"/>
                <w:color w:val="auto"/>
              </w:rPr>
            </w:pPr>
          </w:p>
        </w:tc>
        <w:tc>
          <w:tcPr>
            <w:tcW w:w="1064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Restricted Stock Plan (incorporated by reference to Exhibit 10.3 to Comcast’s Quarterly Report on Form 10-Q for the quarter ended</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September 30, 2013).</w:t>
            </w:r>
          </w:p>
        </w:tc>
        <w:tc>
          <w:tcPr>
            <w:tcW w:w="2720" w:type="dxa"/>
            <w:vAlign w:val="bottom"/>
          </w:tcPr>
          <w:p>
            <w:pPr>
              <w:spacing w:after="0"/>
              <w:rPr>
                <w:sz w:val="18"/>
                <w:szCs w:val="18"/>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10.59*</w:t>
            </w: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Form of Restricted Stock Unit Award under the Comcast Corporation 2002 Restricted Stock Plan.</w:t>
            </w:r>
          </w:p>
        </w:tc>
        <w:tc>
          <w:tcPr>
            <w:tcW w:w="2720" w:type="dxa"/>
            <w:vAlign w:val="bottom"/>
          </w:tcPr>
          <w:p>
            <w:pPr>
              <w:spacing w:after="0"/>
              <w:rPr>
                <w:sz w:val="23"/>
                <w:szCs w:val="23"/>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10.60*</w:t>
            </w:r>
          </w:p>
        </w:tc>
        <w:tc>
          <w:tcPr>
            <w:tcW w:w="7920" w:type="dxa"/>
            <w:vAlign w:val="bottom"/>
          </w:tcPr>
          <w:p>
            <w:pPr>
              <w:ind w:left="260"/>
              <w:spacing w:after="0"/>
              <w:rPr>
                <w:sz w:val="20"/>
                <w:szCs w:val="20"/>
                <w:color w:val="auto"/>
              </w:rPr>
            </w:pPr>
            <w:r>
              <w:rPr>
                <w:rFonts w:ascii="Arial" w:cs="Arial" w:eastAsia="Arial" w:hAnsi="Arial"/>
                <w:sz w:val="18"/>
                <w:szCs w:val="18"/>
                <w:color w:val="auto"/>
              </w:rPr>
              <w:t>Form of Airplane Time Sharing Agreement</w:t>
            </w:r>
          </w:p>
        </w:tc>
        <w:tc>
          <w:tcPr>
            <w:tcW w:w="2720" w:type="dxa"/>
            <w:vAlign w:val="bottom"/>
          </w:tcPr>
          <w:p>
            <w:pPr>
              <w:spacing w:after="0"/>
              <w:rPr>
                <w:sz w:val="23"/>
                <w:szCs w:val="23"/>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10.61*</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98"/>
              </w:rPr>
              <w:t>Form of Director Indemnification Agreement (incorporated by reference to Exhibit 10.3 to Comcast’s Quarterly Report on Form 10-Q</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rPr>
              <w:t>for the quarter ended June 30, 2009).</w:t>
            </w:r>
          </w:p>
        </w:tc>
        <w:tc>
          <w:tcPr>
            <w:tcW w:w="2720" w:type="dxa"/>
            <w:vAlign w:val="bottom"/>
          </w:tcPr>
          <w:p>
            <w:pPr>
              <w:spacing w:after="0"/>
              <w:rPr>
                <w:sz w:val="18"/>
                <w:szCs w:val="18"/>
                <w:color w:val="auto"/>
              </w:rPr>
            </w:pP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10.62</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99"/>
              </w:rPr>
              <w:t>Letter dated January 28, 2015 among Comcast Corporation, Tango Acquisition Sub, Inc. and Time Warner Cable Inc. (incorporated</w:t>
            </w:r>
          </w:p>
        </w:tc>
      </w:tr>
      <w:tr>
        <w:trPr>
          <w:trHeight w:val="211"/>
        </w:trPr>
        <w:tc>
          <w:tcPr>
            <w:tcW w:w="78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Arial" w:cs="Arial" w:eastAsia="Arial" w:hAnsi="Arial"/>
                <w:sz w:val="18"/>
                <w:szCs w:val="18"/>
                <w:color w:val="auto"/>
                <w:w w:val="98"/>
              </w:rPr>
              <w:t>by reference to Exhibit 99.1 to Comcast’s Current Report on Form 8-K filed on January 29, 2015).</w:t>
            </w:r>
          </w:p>
        </w:tc>
        <w:tc>
          <w:tcPr>
            <w:tcW w:w="2720" w:type="dxa"/>
            <w:vAlign w:val="bottom"/>
          </w:tcPr>
          <w:p>
            <w:pPr>
              <w:spacing w:after="0"/>
              <w:rPr>
                <w:sz w:val="18"/>
                <w:szCs w:val="18"/>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7920" w:type="dxa"/>
            <w:vAlign w:val="bottom"/>
          </w:tcPr>
          <w:p>
            <w:pPr>
              <w:ind w:left="260"/>
              <w:spacing w:after="0"/>
              <w:rPr>
                <w:sz w:val="20"/>
                <w:szCs w:val="20"/>
                <w:color w:val="auto"/>
              </w:rPr>
            </w:pPr>
            <w:r>
              <w:rPr>
                <w:rFonts w:ascii="Arial" w:cs="Arial" w:eastAsia="Arial" w:hAnsi="Arial"/>
                <w:sz w:val="18"/>
                <w:szCs w:val="18"/>
                <w:color w:val="auto"/>
              </w:rPr>
              <w:t>List of subsidiaries.</w:t>
            </w:r>
          </w:p>
        </w:tc>
        <w:tc>
          <w:tcPr>
            <w:tcW w:w="2720" w:type="dxa"/>
            <w:vAlign w:val="bottom"/>
          </w:tcPr>
          <w:p>
            <w:pPr>
              <w:spacing w:after="0"/>
              <w:rPr>
                <w:sz w:val="23"/>
                <w:szCs w:val="23"/>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7920" w:type="dxa"/>
            <w:vAlign w:val="bottom"/>
          </w:tcPr>
          <w:p>
            <w:pPr>
              <w:ind w:left="260"/>
              <w:spacing w:after="0"/>
              <w:rPr>
                <w:sz w:val="20"/>
                <w:szCs w:val="20"/>
                <w:color w:val="auto"/>
              </w:rPr>
            </w:pPr>
            <w:r>
              <w:rPr>
                <w:rFonts w:ascii="Arial" w:cs="Arial" w:eastAsia="Arial" w:hAnsi="Arial"/>
                <w:sz w:val="18"/>
                <w:szCs w:val="18"/>
                <w:color w:val="auto"/>
              </w:rPr>
              <w:t>Consent of Deloitte &amp; Touche LLP.</w:t>
            </w:r>
          </w:p>
        </w:tc>
        <w:tc>
          <w:tcPr>
            <w:tcW w:w="2720" w:type="dxa"/>
            <w:vAlign w:val="bottom"/>
          </w:tcPr>
          <w:p>
            <w:pPr>
              <w:spacing w:after="0"/>
              <w:rPr>
                <w:sz w:val="23"/>
                <w:szCs w:val="23"/>
                <w:color w:val="auto"/>
              </w:rPr>
            </w:pPr>
          </w:p>
        </w:tc>
      </w:tr>
      <w:tr>
        <w:trPr>
          <w:trHeight w:val="501"/>
        </w:trPr>
        <w:tc>
          <w:tcPr>
            <w:tcW w:w="780" w:type="dxa"/>
            <w:vAlign w:val="bottom"/>
          </w:tcPr>
          <w:p>
            <w:pPr>
              <w:spacing w:after="0"/>
              <w:rPr>
                <w:sz w:val="24"/>
                <w:szCs w:val="24"/>
                <w:color w:val="auto"/>
              </w:rPr>
            </w:pPr>
          </w:p>
        </w:tc>
        <w:tc>
          <w:tcPr>
            <w:tcW w:w="7920" w:type="dxa"/>
            <w:vAlign w:val="bottom"/>
          </w:tcPr>
          <w:p>
            <w:pPr>
              <w:ind w:left="4820"/>
              <w:spacing w:after="0"/>
              <w:rPr>
                <w:sz w:val="20"/>
                <w:szCs w:val="20"/>
                <w:color w:val="auto"/>
              </w:rPr>
            </w:pPr>
            <w:r>
              <w:rPr>
                <w:rFonts w:ascii="Arial" w:cs="Arial" w:eastAsia="Arial" w:hAnsi="Arial"/>
                <w:sz w:val="14"/>
                <w:szCs w:val="14"/>
                <w:b w:val="1"/>
                <w:bCs w:val="1"/>
                <w:color w:val="auto"/>
              </w:rPr>
              <w:t>141</w:t>
            </w:r>
          </w:p>
        </w:tc>
        <w:tc>
          <w:tcPr>
            <w:tcW w:w="2720" w:type="dxa"/>
            <w:vAlign w:val="bottom"/>
          </w:tcPr>
          <w:p>
            <w:pPr>
              <w:ind w:left="80"/>
              <w:spacing w:after="0"/>
              <w:rPr>
                <w:sz w:val="20"/>
                <w:szCs w:val="20"/>
                <w:color w:val="auto"/>
              </w:rPr>
            </w:pPr>
            <w:r>
              <w:rPr>
                <w:rFonts w:ascii="Arial" w:cs="Arial" w:eastAsia="Arial" w:hAnsi="Arial"/>
                <w:sz w:val="14"/>
                <w:szCs w:val="14"/>
                <w:color w:val="auto"/>
                <w:w w:val="95"/>
              </w:rPr>
              <w:t>Comcast 2014 Annual Report on Form 10-K</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63"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hanging="912"/>
        <w:spacing w:after="0" w:line="236"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2014, filed with the Securities and Exchange Commission on February 27, 2015, formatted in XBRL (eXtensible Business Reporting Language): (1) the Consolidated Balance Sheet; (2) the Consolidated Statement of Income; (3) the Consolidated Statement of Comprehensive Income; (4) the Consolidated Statement of Cash Flows; (5) the Consolidated Statement of Changes in Equity; and (6)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148 of this report. Schedule II – Valuation and Qualifying Accounts is found on page 177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6"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Transaction Agreement, dated February 12, 2013, by and among Comcast Corporation, General Electric Company, NBCUniversal, LLC, NBCUniversal Media, LLC, National Broadcasting Company Holding, Inc. and Navy Holdings, Inc. (n/k/a/ NBCUniversal Enterprise, Inc.) (incorporated by reference to Exhibit 2.1 of the Quarterly Report on Form 10-Q of Comcast Corporation for the quarter ended March 31, 2013).</w:t>
      </w:r>
    </w:p>
    <w:p>
      <w:pPr>
        <w:spacing w:after="0" w:line="60"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to Transaction Agreement, dated March 19, 2013, by and among Comcast Corporation, General Electric Company, NBCUniversal, LLC, NBCUniversal Media, LLC, National Broadcasting Company Holding, Inc. and Navy Holdings, Inc. (n/k/a/ NBCUniversal Enterprise, Inc.) (incorporated by reference to Exhibit 2.2 of the Quarterly Report on Form 10-Q of Comcast Corporation for the quarter ended March 31, 2013).</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Purchase and Sale Agreement, dated as of February 12, 2013, between 30RC Trust and NBCUniversal Atlas LLC (incorporated by reference to Exhibit 2.3 to NBCUniversal’s Form 10-Q for the quarter ended March 31, 2013).</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Formation of NBCUniversal Media, LLC (incorporated by reference to Exhibit 3.1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Certificate of Formation of NBCUniversal Media, LLC (incorporated by reference to Exhibit 3.2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Limited Liability Company Agreement of NBCUniversal Media, LLC (incorporated by reference to Exhibit 3.2 to Amendment No. 2 to NBCUniversal’s Registration Statement on Form S-4 filed on July 12, 2011).</w:t>
      </w:r>
    </w:p>
    <w:p>
      <w:pPr>
        <w:spacing w:after="0" w:line="60" w:lineRule="exact"/>
        <w:rPr>
          <w:sz w:val="20"/>
          <w:szCs w:val="20"/>
          <w:color w:val="auto"/>
        </w:rPr>
      </w:pPr>
    </w:p>
    <w:p>
      <w:pPr>
        <w:jc w:val="both"/>
        <w:ind w:left="820" w:right="20" w:hanging="809"/>
        <w:spacing w:after="0" w:line="29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April 30, 2010 between NBC Universal, Inc. (n/k/a NBCUniversal Media, LLC) and The Bank of New York Mellon, as Trustee (incorporated by reference to Exhibit 4.1 to NBCUniversal’s Registration Statement on Form S-4 filed on May 13, 2011).</w:t>
      </w:r>
    </w:p>
    <w:p>
      <w:pPr>
        <w:spacing w:after="0" w:line="14"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of the Quarterly Report on Form 10-Q of Comcast Corporation for the quarter ended March 31, 2013).</w:t>
      </w:r>
    </w:p>
    <w:p>
      <w:pPr>
        <w:spacing w:after="0" w:line="59" w:lineRule="exact"/>
        <w:rPr>
          <w:sz w:val="20"/>
          <w:szCs w:val="20"/>
          <w:color w:val="auto"/>
        </w:rPr>
      </w:pPr>
    </w:p>
    <w:p>
      <w:pPr>
        <w:jc w:val="both"/>
        <w:ind w:left="820" w:right="20" w:hanging="809"/>
        <w:spacing w:after="0" w:line="238"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the Annual Report on Form 10-K of Comcast Corporation for the year ended December 31, 2008).</w:t>
      </w:r>
    </w:p>
    <w:p>
      <w:pPr>
        <w:spacing w:after="0" w:line="59"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Indenture, dated March 25, 2003, to the Indenture between Comcast Corporation, the subsidiary guarantors party thereto, and The Bank of New York Mellon (f/k/a The Bank of New York), as trustee, dated January 7, 2003 (incorporated by reference to Exhibit 4.5 to the Annual Report on Form 10-K of Comcast Corporation for the year ended December 31, 2008).</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143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Second Supplemental Indenture, dated August 31, 2009, to the Indenture between Comcast Corporation, the subsidiary guarantors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party thereto, and The Bank of New York Mellon, as Trustee, dated January 7, 2003, as supplemented by a First Supplemental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Indenture dated March 25, 2003 (incorporated by reference to Exhibit 4.1 to the Current Report on Form 8-K of Comcast Corporation</w:t>
            </w:r>
          </w:p>
        </w:tc>
      </w:tr>
      <w:tr>
        <w:trPr>
          <w:trHeight w:val="211"/>
        </w:trPr>
        <w:tc>
          <w:tcPr>
            <w:tcW w:w="740" w:type="dxa"/>
            <w:vAlign w:val="bottom"/>
          </w:tcPr>
          <w:p>
            <w:pPr>
              <w:spacing w:after="0"/>
              <w:rPr>
                <w:sz w:val="18"/>
                <w:szCs w:val="18"/>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filed on September 2, 2009).</w:t>
            </w:r>
          </w:p>
        </w:tc>
        <w:tc>
          <w:tcPr>
            <w:tcW w:w="684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Third Supplemental Indenture, dated March 27, 2013, to the Indenture between Comcast Corporation, the subsidiary guarantors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party thereto, and The Bank of New York Mellon (f/k/a The Bank of New York), as trustee, dated January 7, 2003, as supplemented</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by a First Supplemental Indenture dated March 25, 2003 and a Second Supplemental Indenture dated August 31, 2009 (incorporated</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by reference to Exhibit 4.4 of the Quarterly Report on Form 10-Q of Comcast Corporation for the quarter ended March 31, 2013).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Second Amended and Restated Limited Liability Company Agreement of NBCUniversal, LLC, dated March 19, 2013 (incorporated by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10.2 of the Quarterly Report on Form 10-Q of Comcast Corporation for the quarter ended March 31, 2013).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Credit Agreement, dated as of June 6, 2012, among Comcast Corporation, Comcast Cable Communications, LLC, the Financial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Institutions party thereto and JP Morgan Chase Bank, N.A., as Administrative Agent and the Issuing Lender (incorporated by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to the Quarterly Report on Form 10-Q of Comcast Corporation for the quarter ended June 30, 2012).</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Amended and Restated Credit Agreement, dated as of March 19, 2013, among NBCUniversal Enterprise, Inc. (f/k/a Navy Holdings,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Inc.), as Borrower, the Financial Institutions party thereto, JPMorgan Chase Bank, N.A., as Administrative Agent and the other agents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party thereto (incorporated by reference to Exhibit 10.1 to the Quarterly Report of Comcast Corporation on Form 10-Q for the quarter</w:t>
            </w:r>
          </w:p>
        </w:tc>
      </w:tr>
      <w:tr>
        <w:trPr>
          <w:trHeight w:val="211"/>
        </w:trPr>
        <w:tc>
          <w:tcPr>
            <w:tcW w:w="740" w:type="dxa"/>
            <w:vAlign w:val="bottom"/>
          </w:tcPr>
          <w:p>
            <w:pPr>
              <w:spacing w:after="0"/>
              <w:rPr>
                <w:sz w:val="18"/>
                <w:szCs w:val="18"/>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ended March 31, 2013).</w:t>
            </w:r>
          </w:p>
        </w:tc>
        <w:tc>
          <w:tcPr>
            <w:tcW w:w="684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Receivables Repurchase Agreement, dated as of December 18, 2013, among NBCUniversal Media, LLC, NBCUniversal Receivables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Funding LLC, Gotham Funding Corporation, Victory Receivables Corporation, Working Capital Management Co., L.P., PNC Bank,</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National Association, Mizuho Bank, Ltd., and The Bank of Tokyo-Mitsubishi UFJ, Ltd., New York Branch (incorporated by reference to</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Exhibit 99.1 to NBCUniversal’s Current Report on Form 8-K filed on December 19, 2013).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Consultant Agreement, dated as of January 20, 1987, between Steven Spielberg and Universal City Florida Partners (incorporated by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reference to Exhibit 10.49 to the Registration Statement on Form S-4 of Universal City Development Partners, Ltd. and UCDP</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Universal City Florida Partners (incorporated by reference to Exhibit 10.50 to the Registration Statement on Form S-4 of Universal</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Amendment to the Consultant Agreement, dated as of October 18, 2009, between Steven Spielberg, Diamond Lane Productions, Inc.</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and Universal City Development Partners, Ltd. (incorporated by reference to Exhibit 10.52 to the Registration Statement on Form S-4</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of Universal City 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8"/>
              </w:rPr>
              <w:t>Letter Agreement dated July 15, 2003, among Diamond Lane Productions, Vivendi Universal Entertainment LLLP and Universal City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NBCUniversal Deferred Compensation Plan (incorporated by reference to Exhibit 10.1 to NBCUniversal’s Quarterly Report on Form</w:t>
            </w:r>
          </w:p>
        </w:tc>
      </w:tr>
      <w:tr>
        <w:trPr>
          <w:trHeight w:val="211"/>
        </w:trPr>
        <w:tc>
          <w:tcPr>
            <w:tcW w:w="740" w:type="dxa"/>
            <w:vAlign w:val="bottom"/>
          </w:tcPr>
          <w:p>
            <w:pPr>
              <w:spacing w:after="0"/>
              <w:rPr>
                <w:sz w:val="18"/>
                <w:szCs w:val="18"/>
                <w:color w:val="auto"/>
              </w:rPr>
            </w:pPr>
          </w:p>
        </w:tc>
        <w:tc>
          <w:tcPr>
            <w:tcW w:w="3840" w:type="dxa"/>
            <w:vAlign w:val="bottom"/>
          </w:tcPr>
          <w:p>
            <w:pPr>
              <w:ind w:left="300"/>
              <w:spacing w:after="0"/>
              <w:rPr>
                <w:sz w:val="20"/>
                <w:szCs w:val="20"/>
                <w:color w:val="auto"/>
              </w:rPr>
            </w:pPr>
            <w:r>
              <w:rPr>
                <w:rFonts w:ascii="Arial" w:cs="Arial" w:eastAsia="Arial" w:hAnsi="Arial"/>
                <w:sz w:val="18"/>
                <w:szCs w:val="18"/>
                <w:color w:val="auto"/>
              </w:rPr>
              <w:t>10-Q filed on October 26, 2012).</w:t>
            </w:r>
          </w:p>
        </w:tc>
        <w:tc>
          <w:tcPr>
            <w:tcW w:w="6840" w:type="dxa"/>
            <w:vAlign w:val="bottom"/>
          </w:tcPr>
          <w:p>
            <w:pPr>
              <w:spacing w:after="0"/>
              <w:rPr>
                <w:sz w:val="18"/>
                <w:szCs w:val="18"/>
                <w:color w:val="auto"/>
              </w:rPr>
            </w:pPr>
          </w:p>
        </w:tc>
      </w:tr>
      <w:tr>
        <w:trPr>
          <w:trHeight w:val="501"/>
        </w:trPr>
        <w:tc>
          <w:tcPr>
            <w:tcW w:w="4580" w:type="dxa"/>
            <w:vAlign w:val="bottom"/>
            <w:gridSpan w:val="2"/>
          </w:tcPr>
          <w:p>
            <w:pPr>
              <w:spacing w:after="0"/>
              <w:rPr>
                <w:sz w:val="20"/>
                <w:szCs w:val="20"/>
                <w:color w:val="auto"/>
              </w:rPr>
            </w:pPr>
            <w:r>
              <w:rPr>
                <w:rFonts w:ascii="Arial" w:cs="Arial" w:eastAsia="Arial" w:hAnsi="Arial"/>
                <w:sz w:val="14"/>
                <w:szCs w:val="14"/>
                <w:color w:val="auto"/>
              </w:rPr>
              <w:t>Comcast 2014 Annual Report on Form 10-K</w:t>
            </w:r>
          </w:p>
        </w:tc>
        <w:tc>
          <w:tcPr>
            <w:tcW w:w="6840" w:type="dxa"/>
            <w:vAlign w:val="bottom"/>
          </w:tcPr>
          <w:p>
            <w:pPr>
              <w:jc w:val="right"/>
              <w:ind w:right="5532"/>
              <w:spacing w:after="0"/>
              <w:rPr>
                <w:sz w:val="20"/>
                <w:szCs w:val="20"/>
                <w:color w:val="auto"/>
              </w:rPr>
            </w:pPr>
            <w:r>
              <w:rPr>
                <w:rFonts w:ascii="Arial" w:cs="Arial" w:eastAsia="Arial" w:hAnsi="Arial"/>
                <w:sz w:val="14"/>
                <w:szCs w:val="14"/>
                <w:b w:val="1"/>
                <w:bCs w:val="1"/>
                <w:color w:val="auto"/>
              </w:rPr>
              <w:t>144</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List of subsidiaries.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hanging="912"/>
        <w:spacing w:after="0" w:line="236"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Annual Report on Form 10-K for the year ended December 31, 2014, filed with the Securities and Exchange Commission on February 27, 2015, formatted in XBRL (eXtensible Business Reporting Language): (1) the Consolidated Balance Sheet; (2) the Consolidated Statement of Income; (3) the Consolidated Statement of Comprehensive Income; (4) the Consolidated Statement of Cash Flows; (5) the Consolidated Statement of Changes in Equity; and (6)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Confidential treatment granted.</w:t>
      </w:r>
    </w:p>
    <w:p>
      <w:pPr>
        <w:spacing w:after="0" w:line="55"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145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27, 2015.</w:t>
      </w:r>
    </w:p>
    <w:p>
      <w:pPr>
        <w:spacing w:after="0" w:line="195" w:lineRule="exact"/>
        <w:rPr>
          <w:sz w:val="20"/>
          <w:szCs w:val="20"/>
          <w:color w:val="auto"/>
        </w:rPr>
      </w:pPr>
    </w:p>
    <w:p>
      <w:pPr>
        <w:ind w:left="686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Brian L. Roberts</w:t>
      </w:r>
    </w:p>
    <w:p>
      <w:pPr>
        <w:jc w:val="center"/>
        <w:ind w:left="728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Title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r>
      <w:tr>
        <w:trPr>
          <w:trHeight w:val="35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4680" w:type="dxa"/>
            <w:vAlign w:val="bottom"/>
          </w:tcPr>
          <w:p>
            <w:pPr>
              <w:jc w:val="center"/>
              <w:spacing w:after="0"/>
              <w:rPr>
                <w:sz w:val="20"/>
                <w:szCs w:val="20"/>
                <w:color w:val="auto"/>
              </w:rPr>
            </w:pPr>
            <w:r>
              <w:rPr>
                <w:rFonts w:ascii="Arial" w:cs="Arial" w:eastAsia="Arial" w:hAnsi="Arial"/>
                <w:sz w:val="18"/>
                <w:szCs w:val="18"/>
                <w:color w:val="auto"/>
                <w:w w:val="97"/>
              </w:rPr>
              <w:t>Chairman and CEO;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4680" w:type="dxa"/>
            <w:vAlign w:val="bottom"/>
          </w:tcPr>
          <w:p>
            <w:pPr>
              <w:jc w:val="center"/>
              <w:spacing w:after="0" w:line="195" w:lineRule="exact"/>
              <w:rPr>
                <w:sz w:val="20"/>
                <w:szCs w:val="20"/>
                <w:color w:val="auto"/>
              </w:rPr>
            </w:pPr>
            <w:r>
              <w:rPr>
                <w:rFonts w:ascii="Arial" w:cs="Arial" w:eastAsia="Arial" w:hAnsi="Arial"/>
                <w:sz w:val="18"/>
                <w:szCs w:val="18"/>
                <w:color w:val="auto"/>
                <w:w w:val="97"/>
              </w:rPr>
              <w:t>(Principal Executive Officer)</w:t>
            </w: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ALPH</w:t>
            </w:r>
            <w:r>
              <w:rPr>
                <w:rFonts w:ascii="Arial" w:cs="Arial" w:eastAsia="Arial" w:hAnsi="Arial"/>
                <w:sz w:val="18"/>
                <w:szCs w:val="18"/>
                <w:color w:val="auto"/>
              </w:rPr>
              <w:t xml:space="preserve"> J. R</w:t>
            </w:r>
            <w:r>
              <w:rPr>
                <w:rFonts w:ascii="Arial" w:cs="Arial" w:eastAsia="Arial" w:hAnsi="Arial"/>
                <w:sz w:val="14"/>
                <w:szCs w:val="14"/>
                <w:color w:val="auto"/>
              </w:rPr>
              <w:t>OBERTS</w:t>
            </w:r>
          </w:p>
        </w:tc>
        <w:tc>
          <w:tcPr>
            <w:tcW w:w="4680" w:type="dxa"/>
            <w:vAlign w:val="bottom"/>
          </w:tcPr>
          <w:p>
            <w:pPr>
              <w:jc w:val="center"/>
              <w:spacing w:after="0"/>
              <w:rPr>
                <w:sz w:val="20"/>
                <w:szCs w:val="20"/>
                <w:color w:val="auto"/>
              </w:rPr>
            </w:pPr>
            <w:r>
              <w:rPr>
                <w:rFonts w:ascii="Arial" w:cs="Arial" w:eastAsia="Arial" w:hAnsi="Arial"/>
                <w:sz w:val="18"/>
                <w:szCs w:val="18"/>
                <w:color w:val="auto"/>
                <w:w w:val="97"/>
              </w:rPr>
              <w:t>Founder;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Ralph J. Roberts</w:t>
            </w:r>
          </w:p>
        </w:tc>
        <w:tc>
          <w:tcPr>
            <w:tcW w:w="4680" w:type="dxa"/>
            <w:vAlign w:val="bottom"/>
          </w:tcPr>
          <w:p>
            <w:pPr>
              <w:jc w:val="center"/>
              <w:spacing w:after="0" w:line="195" w:lineRule="exact"/>
              <w:rPr>
                <w:sz w:val="20"/>
                <w:szCs w:val="20"/>
                <w:color w:val="auto"/>
              </w:rPr>
            </w:pPr>
            <w:r>
              <w:rPr>
                <w:rFonts w:ascii="Arial" w:cs="Arial" w:eastAsia="Arial" w:hAnsi="Arial"/>
                <w:sz w:val="18"/>
                <w:szCs w:val="18"/>
                <w:color w:val="auto"/>
                <w:w w:val="97"/>
              </w:rPr>
              <w:t>Chairman Emeritus of the Board</w:t>
            </w: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680" w:type="dxa"/>
            <w:vAlign w:val="bottom"/>
          </w:tcPr>
          <w:p>
            <w:pPr>
              <w:jc w:val="center"/>
              <w:spacing w:after="0"/>
              <w:rPr>
                <w:sz w:val="20"/>
                <w:szCs w:val="20"/>
                <w:color w:val="auto"/>
              </w:rPr>
            </w:pPr>
            <w:r>
              <w:rPr>
                <w:rFonts w:ascii="Arial" w:cs="Arial" w:eastAsia="Arial" w:hAnsi="Arial"/>
                <w:sz w:val="18"/>
                <w:szCs w:val="18"/>
                <w:color w:val="auto"/>
                <w:w w:val="97"/>
              </w:rPr>
              <w:t>Vice Chairman and CFO</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c>
          <w:tcPr>
            <w:tcW w:w="4680" w:type="dxa"/>
            <w:vAlign w:val="bottom"/>
          </w:tcPr>
          <w:p>
            <w:pPr>
              <w:jc w:val="center"/>
              <w:spacing w:after="0" w:line="195" w:lineRule="exact"/>
              <w:rPr>
                <w:sz w:val="20"/>
                <w:szCs w:val="20"/>
                <w:color w:val="auto"/>
              </w:rPr>
            </w:pPr>
            <w:r>
              <w:rPr>
                <w:rFonts w:ascii="Arial" w:cs="Arial" w:eastAsia="Arial" w:hAnsi="Arial"/>
                <w:sz w:val="18"/>
                <w:szCs w:val="18"/>
                <w:color w:val="auto"/>
                <w:w w:val="97"/>
              </w:rPr>
              <w:t>(Principal Financial Officer)</w:t>
            </w: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680" w:type="dxa"/>
            <w:vAlign w:val="bottom"/>
          </w:tcPr>
          <w:p>
            <w:pPr>
              <w:jc w:val="center"/>
              <w:spacing w:after="0"/>
              <w:rPr>
                <w:sz w:val="20"/>
                <w:szCs w:val="20"/>
                <w:color w:val="auto"/>
              </w:rPr>
            </w:pPr>
            <w:r>
              <w:rPr>
                <w:rFonts w:ascii="Arial" w:cs="Arial" w:eastAsia="Arial" w:hAnsi="Arial"/>
                <w:sz w:val="18"/>
                <w:szCs w:val="18"/>
                <w:color w:val="auto"/>
                <w:w w:val="97"/>
              </w:rPr>
              <w:t>Senior Vice President, Chief Accounting Officer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Lawrence J. Salva</w:t>
            </w:r>
          </w:p>
        </w:tc>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Controller</w:t>
            </w:r>
          </w:p>
        </w:tc>
        <w:tc>
          <w:tcPr>
            <w:tcW w:w="206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7"/>
              </w:rPr>
              <w:t>(Principal Accounting Officer)</w:t>
            </w:r>
          </w:p>
        </w:tc>
        <w:tc>
          <w:tcPr>
            <w:tcW w:w="2060" w:type="dxa"/>
            <w:vAlign w:val="bottom"/>
          </w:tcPr>
          <w:p>
            <w:pPr>
              <w:spacing w:after="0"/>
              <w:rPr>
                <w:sz w:val="18"/>
                <w:szCs w:val="18"/>
                <w:color w:val="auto"/>
              </w:rPr>
            </w:pPr>
          </w:p>
        </w:tc>
      </w:tr>
      <w:tr>
        <w:trPr>
          <w:trHeight w:val="367"/>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Kenneth J. Bacon</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Sheldon M. Bonovitz</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DWARD</w:t>
            </w:r>
            <w:r>
              <w:rPr>
                <w:rFonts w:ascii="Arial" w:cs="Arial" w:eastAsia="Arial" w:hAnsi="Arial"/>
                <w:sz w:val="18"/>
                <w:szCs w:val="18"/>
                <w:color w:val="auto"/>
              </w:rPr>
              <w:t xml:space="preserve"> D. B</w:t>
            </w:r>
            <w:r>
              <w:rPr>
                <w:rFonts w:ascii="Arial" w:cs="Arial" w:eastAsia="Arial" w:hAnsi="Arial"/>
                <w:sz w:val="14"/>
                <w:szCs w:val="14"/>
                <w:color w:val="auto"/>
              </w:rPr>
              <w:t>REEN</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Edward D. Breen</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Joseph J. Collins</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 Michael Cook</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Gerald L. Hassell</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Jeffrey A. Honickman</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DUARDO</w:t>
            </w:r>
            <w:r>
              <w:rPr>
                <w:rFonts w:ascii="Arial" w:cs="Arial" w:eastAsia="Arial" w:hAnsi="Arial"/>
                <w:sz w:val="18"/>
                <w:szCs w:val="18"/>
                <w:color w:val="auto"/>
              </w:rPr>
              <w:t xml:space="preserve"> G. M</w:t>
            </w:r>
            <w:r>
              <w:rPr>
                <w:rFonts w:ascii="Arial" w:cs="Arial" w:eastAsia="Arial" w:hAnsi="Arial"/>
                <w:sz w:val="14"/>
                <w:szCs w:val="14"/>
                <w:color w:val="auto"/>
              </w:rPr>
              <w:t>ESTRE</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Eduardo G. Mestre</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OHNATHAN</w:t>
            </w:r>
            <w:r>
              <w:rPr>
                <w:rFonts w:ascii="Arial" w:cs="Arial" w:eastAsia="Arial" w:hAnsi="Arial"/>
                <w:sz w:val="18"/>
                <w:szCs w:val="18"/>
                <w:color w:val="auto"/>
              </w:rPr>
              <w:t xml:space="preserve"> A. R</w:t>
            </w:r>
            <w:r>
              <w:rPr>
                <w:rFonts w:ascii="Arial" w:cs="Arial" w:eastAsia="Arial" w:hAnsi="Arial"/>
                <w:sz w:val="14"/>
                <w:szCs w:val="14"/>
                <w:color w:val="auto"/>
              </w:rPr>
              <w:t>ODGERS</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Johnathan A. Rodgers</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46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27, 2015</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Dr. Judith Rodin</w:t>
            </w:r>
          </w:p>
        </w:tc>
        <w:tc>
          <w:tcPr>
            <w:tcW w:w="4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515"/>
        </w:trPr>
        <w:tc>
          <w:tcPr>
            <w:tcW w:w="46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4680" w:type="dxa"/>
            <w:vAlign w:val="bottom"/>
          </w:tcPr>
          <w:p>
            <w:pPr>
              <w:jc w:val="right"/>
              <w:ind w:right="3454"/>
              <w:spacing w:after="0"/>
              <w:rPr>
                <w:sz w:val="20"/>
                <w:szCs w:val="20"/>
                <w:color w:val="auto"/>
              </w:rPr>
            </w:pPr>
            <w:r>
              <w:rPr>
                <w:rFonts w:ascii="Arial" w:cs="Arial" w:eastAsia="Arial" w:hAnsi="Arial"/>
                <w:sz w:val="14"/>
                <w:szCs w:val="14"/>
                <w:b w:val="1"/>
                <w:bCs w:val="1"/>
                <w:color w:val="auto"/>
              </w:rPr>
              <w:t>146</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27, 2015.</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ind w:left="6860"/>
        <w:spacing w:after="0"/>
        <w:rPr>
          <w:sz w:val="20"/>
          <w:szCs w:val="20"/>
          <w:color w:val="auto"/>
        </w:rPr>
      </w:pPr>
      <w:r>
        <w:rPr>
          <w:rFonts w:ascii="Arial" w:cs="Arial" w:eastAsia="Arial" w:hAnsi="Arial"/>
          <w:sz w:val="18"/>
          <w:szCs w:val="18"/>
          <w:color w:val="auto"/>
        </w:rPr>
        <w:t>By: NBCUNIVERSAL, LLC, its sole member</w:t>
      </w:r>
    </w:p>
    <w:p>
      <w:pPr>
        <w:spacing w:after="0" w:line="63"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Name: Stephen B. Burke</w:t>
      </w:r>
    </w:p>
    <w:p>
      <w:pPr>
        <w:jc w:val="center"/>
        <w:ind w:left="7280"/>
        <w:spacing w:after="0"/>
        <w:rPr>
          <w:sz w:val="20"/>
          <w:szCs w:val="20"/>
          <w:color w:val="auto"/>
        </w:rPr>
      </w:pPr>
      <w:r>
        <w:rPr>
          <w:rFonts w:ascii="Arial" w:cs="Arial" w:eastAsia="Arial" w:hAnsi="Arial"/>
          <w:sz w:val="18"/>
          <w:szCs w:val="18"/>
          <w:color w:val="auto"/>
        </w:rPr>
        <w:t>Title: Chief Executive Officer</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Borders>
              <w:bottom w:val="single" w:sz="8" w:color="auto"/>
            </w:tcBorders>
            <w:gridSpan w:val="2"/>
          </w:tcPr>
          <w:p>
            <w:pPr>
              <w:jc w:val="center"/>
              <w:ind w:right="1140"/>
              <w:spacing w:after="0"/>
              <w:rPr>
                <w:sz w:val="20"/>
                <w:szCs w:val="20"/>
                <w:color w:val="auto"/>
              </w:rPr>
            </w:pPr>
            <w:r>
              <w:rPr>
                <w:rFonts w:ascii="Arial" w:cs="Arial" w:eastAsia="Arial" w:hAnsi="Arial"/>
                <w:sz w:val="14"/>
                <w:szCs w:val="14"/>
                <w:color w:val="auto"/>
                <w:w w:val="96"/>
              </w:rPr>
              <w:t>Signature</w:t>
            </w:r>
          </w:p>
        </w:tc>
        <w:tc>
          <w:tcPr>
            <w:tcW w:w="26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0"/>
              </w:rPr>
              <w:t>Title</w:t>
            </w:r>
          </w:p>
        </w:tc>
        <w:tc>
          <w:tcPr>
            <w:tcW w:w="2920" w:type="dxa"/>
            <w:vAlign w:val="bottom"/>
            <w:tcBorders>
              <w:bottom w:val="single" w:sz="8" w:color="auto"/>
            </w:tcBorders>
          </w:tcPr>
          <w:p>
            <w:pPr>
              <w:jc w:val="center"/>
              <w:ind w:left="798"/>
              <w:spacing w:after="0"/>
              <w:rPr>
                <w:sz w:val="20"/>
                <w:szCs w:val="20"/>
                <w:color w:val="auto"/>
              </w:rPr>
            </w:pPr>
            <w:r>
              <w:rPr>
                <w:rFonts w:ascii="Arial" w:cs="Arial" w:eastAsia="Arial" w:hAnsi="Arial"/>
                <w:sz w:val="14"/>
                <w:szCs w:val="14"/>
                <w:color w:val="auto"/>
                <w:w w:val="94"/>
              </w:rPr>
              <w:t>Date</w:t>
            </w:r>
          </w:p>
        </w:tc>
      </w:tr>
      <w:tr>
        <w:trPr>
          <w:trHeight w:val="372"/>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1160" w:type="dxa"/>
            <w:vAlign w:val="bottom"/>
          </w:tcPr>
          <w:p>
            <w:pPr>
              <w:spacing w:after="0"/>
              <w:rPr>
                <w:sz w:val="24"/>
                <w:szCs w:val="24"/>
                <w:color w:val="auto"/>
              </w:rPr>
            </w:pPr>
          </w:p>
        </w:tc>
        <w:tc>
          <w:tcPr>
            <w:tcW w:w="2660" w:type="dxa"/>
            <w:vAlign w:val="bottom"/>
          </w:tcPr>
          <w:p>
            <w:pPr>
              <w:jc w:val="center"/>
              <w:ind w:right="174"/>
              <w:spacing w:after="0"/>
              <w:rPr>
                <w:sz w:val="20"/>
                <w:szCs w:val="20"/>
                <w:color w:val="auto"/>
              </w:rPr>
            </w:pPr>
            <w:r>
              <w:rPr>
                <w:rFonts w:ascii="Arial" w:cs="Arial" w:eastAsia="Arial" w:hAnsi="Arial"/>
                <w:sz w:val="18"/>
                <w:szCs w:val="18"/>
                <w:color w:val="auto"/>
                <w:w w:val="97"/>
              </w:rPr>
              <w:t>Principal Executive Officer</w:t>
            </w:r>
          </w:p>
        </w:tc>
        <w:tc>
          <w:tcPr>
            <w:tcW w:w="2920" w:type="dxa"/>
            <w:vAlign w:val="bottom"/>
          </w:tcPr>
          <w:p>
            <w:pPr>
              <w:jc w:val="center"/>
              <w:ind w:left="798"/>
              <w:spacing w:after="0"/>
              <w:rPr>
                <w:sz w:val="20"/>
                <w:szCs w:val="20"/>
                <w:color w:val="auto"/>
              </w:rPr>
            </w:pPr>
            <w:r>
              <w:rPr>
                <w:rFonts w:ascii="Arial" w:cs="Arial" w:eastAsia="Arial" w:hAnsi="Arial"/>
                <w:sz w:val="18"/>
                <w:szCs w:val="18"/>
                <w:color w:val="auto"/>
                <w:w w:val="97"/>
              </w:rPr>
              <w:t>February 27, 2015</w:t>
            </w:r>
          </w:p>
        </w:tc>
      </w:tr>
      <w:tr>
        <w:trPr>
          <w:trHeight w:val="208"/>
        </w:trPr>
        <w:tc>
          <w:tcPr>
            <w:tcW w:w="5840" w:type="dxa"/>
            <w:vAlign w:val="bottom"/>
            <w:gridSpan w:val="2"/>
          </w:tcPr>
          <w:p>
            <w:pPr>
              <w:jc w:val="center"/>
              <w:ind w:right="1140"/>
              <w:spacing w:after="0"/>
              <w:rPr>
                <w:sz w:val="20"/>
                <w:szCs w:val="20"/>
                <w:color w:val="auto"/>
              </w:rPr>
            </w:pPr>
            <w:r>
              <w:rPr>
                <w:rFonts w:ascii="Arial" w:cs="Arial" w:eastAsia="Arial" w:hAnsi="Arial"/>
                <w:sz w:val="18"/>
                <w:szCs w:val="18"/>
                <w:color w:val="auto"/>
                <w:w w:val="96"/>
              </w:rPr>
              <w:t>Brian L. Roberts</w:t>
            </w:r>
          </w:p>
        </w:tc>
        <w:tc>
          <w:tcPr>
            <w:tcW w:w="2660" w:type="dxa"/>
            <w:vAlign w:val="bottom"/>
          </w:tcPr>
          <w:p>
            <w:pPr>
              <w:jc w:val="center"/>
              <w:ind w:right="174"/>
              <w:spacing w:after="0" w:line="195" w:lineRule="exact"/>
              <w:rPr>
                <w:sz w:val="20"/>
                <w:szCs w:val="20"/>
                <w:color w:val="auto"/>
              </w:rPr>
            </w:pPr>
            <w:r>
              <w:rPr>
                <w:rFonts w:ascii="Arial" w:cs="Arial" w:eastAsia="Arial" w:hAnsi="Arial"/>
                <w:sz w:val="18"/>
                <w:szCs w:val="18"/>
                <w:color w:val="auto"/>
                <w:w w:val="97"/>
              </w:rPr>
              <w:t>of NBCUniversal Media, LLC</w:t>
            </w:r>
          </w:p>
        </w:tc>
        <w:tc>
          <w:tcPr>
            <w:tcW w:w="292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1160" w:type="dxa"/>
            <w:vAlign w:val="bottom"/>
          </w:tcPr>
          <w:p>
            <w:pPr>
              <w:spacing w:after="0"/>
              <w:rPr>
                <w:sz w:val="24"/>
                <w:szCs w:val="24"/>
                <w:color w:val="auto"/>
              </w:rPr>
            </w:pPr>
          </w:p>
        </w:tc>
        <w:tc>
          <w:tcPr>
            <w:tcW w:w="2660" w:type="dxa"/>
            <w:vAlign w:val="bottom"/>
          </w:tcPr>
          <w:p>
            <w:pPr>
              <w:jc w:val="center"/>
              <w:ind w:right="174"/>
              <w:spacing w:after="0"/>
              <w:rPr>
                <w:sz w:val="20"/>
                <w:szCs w:val="20"/>
                <w:color w:val="auto"/>
              </w:rPr>
            </w:pPr>
            <w:r>
              <w:rPr>
                <w:rFonts w:ascii="Arial" w:cs="Arial" w:eastAsia="Arial" w:hAnsi="Arial"/>
                <w:sz w:val="18"/>
                <w:szCs w:val="18"/>
                <w:color w:val="auto"/>
                <w:w w:val="97"/>
              </w:rPr>
              <w:t>Principal Financial Officer</w:t>
            </w:r>
          </w:p>
        </w:tc>
        <w:tc>
          <w:tcPr>
            <w:tcW w:w="2920" w:type="dxa"/>
            <w:vAlign w:val="bottom"/>
          </w:tcPr>
          <w:p>
            <w:pPr>
              <w:jc w:val="center"/>
              <w:ind w:left="798"/>
              <w:spacing w:after="0"/>
              <w:rPr>
                <w:sz w:val="20"/>
                <w:szCs w:val="20"/>
                <w:color w:val="auto"/>
              </w:rPr>
            </w:pPr>
            <w:r>
              <w:rPr>
                <w:rFonts w:ascii="Arial" w:cs="Arial" w:eastAsia="Arial" w:hAnsi="Arial"/>
                <w:sz w:val="18"/>
                <w:szCs w:val="18"/>
                <w:color w:val="auto"/>
                <w:w w:val="97"/>
              </w:rPr>
              <w:t>February 27, 2015</w:t>
            </w:r>
          </w:p>
        </w:tc>
      </w:tr>
      <w:tr>
        <w:trPr>
          <w:trHeight w:val="186"/>
        </w:trPr>
        <w:tc>
          <w:tcPr>
            <w:tcW w:w="5840" w:type="dxa"/>
            <w:vAlign w:val="bottom"/>
            <w:gridSpan w:val="2"/>
          </w:tcPr>
          <w:p>
            <w:pPr>
              <w:jc w:val="center"/>
              <w:ind w:right="1160"/>
              <w:spacing w:after="0" w:line="186" w:lineRule="exact"/>
              <w:rPr>
                <w:sz w:val="20"/>
                <w:szCs w:val="20"/>
                <w:color w:val="auto"/>
              </w:rPr>
            </w:pPr>
            <w:r>
              <w:rPr>
                <w:rFonts w:ascii="Arial" w:cs="Arial" w:eastAsia="Arial" w:hAnsi="Arial"/>
                <w:sz w:val="18"/>
                <w:szCs w:val="18"/>
                <w:color w:val="auto"/>
                <w:w w:val="97"/>
              </w:rPr>
              <w:t>Michael J. Angelakis</w:t>
            </w:r>
          </w:p>
        </w:tc>
        <w:tc>
          <w:tcPr>
            <w:tcW w:w="2660" w:type="dxa"/>
            <w:vAlign w:val="bottom"/>
          </w:tcPr>
          <w:p>
            <w:pPr>
              <w:jc w:val="center"/>
              <w:ind w:right="174"/>
              <w:spacing w:after="0" w:line="186" w:lineRule="exact"/>
              <w:rPr>
                <w:sz w:val="20"/>
                <w:szCs w:val="20"/>
                <w:color w:val="auto"/>
              </w:rPr>
            </w:pPr>
            <w:r>
              <w:rPr>
                <w:rFonts w:ascii="Arial" w:cs="Arial" w:eastAsia="Arial" w:hAnsi="Arial"/>
                <w:sz w:val="18"/>
                <w:szCs w:val="18"/>
                <w:color w:val="auto"/>
                <w:w w:val="96"/>
              </w:rPr>
              <w:t>of NBCUniversal Media, LLC;</w:t>
            </w:r>
          </w:p>
        </w:tc>
        <w:tc>
          <w:tcPr>
            <w:tcW w:w="292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60" w:type="dxa"/>
            <w:vAlign w:val="bottom"/>
          </w:tcPr>
          <w:p>
            <w:pPr>
              <w:jc w:val="center"/>
              <w:ind w:right="194"/>
              <w:spacing w:after="0"/>
              <w:rPr>
                <w:sz w:val="20"/>
                <w:szCs w:val="20"/>
                <w:color w:val="auto"/>
              </w:rPr>
            </w:pPr>
            <w:r>
              <w:rPr>
                <w:rFonts w:ascii="Arial" w:cs="Arial" w:eastAsia="Arial" w:hAnsi="Arial"/>
                <w:sz w:val="18"/>
                <w:szCs w:val="18"/>
                <w:color w:val="auto"/>
                <w:w w:val="97"/>
              </w:rPr>
              <w:t>Director of NBCUniversal, LLC</w:t>
            </w:r>
          </w:p>
        </w:tc>
        <w:tc>
          <w:tcPr>
            <w:tcW w:w="292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1160" w:type="dxa"/>
            <w:vAlign w:val="bottom"/>
          </w:tcPr>
          <w:p>
            <w:pPr>
              <w:spacing w:after="0"/>
              <w:rPr>
                <w:sz w:val="24"/>
                <w:szCs w:val="24"/>
                <w:color w:val="auto"/>
              </w:rPr>
            </w:pPr>
          </w:p>
        </w:tc>
        <w:tc>
          <w:tcPr>
            <w:tcW w:w="2660" w:type="dxa"/>
            <w:vAlign w:val="bottom"/>
          </w:tcPr>
          <w:p>
            <w:pPr>
              <w:jc w:val="center"/>
              <w:ind w:right="194"/>
              <w:spacing w:after="0"/>
              <w:rPr>
                <w:sz w:val="20"/>
                <w:szCs w:val="20"/>
                <w:color w:val="auto"/>
              </w:rPr>
            </w:pPr>
            <w:r>
              <w:rPr>
                <w:rFonts w:ascii="Arial" w:cs="Arial" w:eastAsia="Arial" w:hAnsi="Arial"/>
                <w:sz w:val="18"/>
                <w:szCs w:val="18"/>
                <w:color w:val="auto"/>
                <w:w w:val="97"/>
              </w:rPr>
              <w:t>Director of NBCUniversal, LLC</w:t>
            </w:r>
          </w:p>
        </w:tc>
        <w:tc>
          <w:tcPr>
            <w:tcW w:w="2920" w:type="dxa"/>
            <w:vAlign w:val="bottom"/>
          </w:tcPr>
          <w:p>
            <w:pPr>
              <w:jc w:val="center"/>
              <w:ind w:left="798"/>
              <w:spacing w:after="0"/>
              <w:rPr>
                <w:sz w:val="20"/>
                <w:szCs w:val="20"/>
                <w:color w:val="auto"/>
              </w:rPr>
            </w:pPr>
            <w:r>
              <w:rPr>
                <w:rFonts w:ascii="Arial" w:cs="Arial" w:eastAsia="Arial" w:hAnsi="Arial"/>
                <w:sz w:val="18"/>
                <w:szCs w:val="18"/>
                <w:color w:val="auto"/>
                <w:w w:val="97"/>
              </w:rPr>
              <w:t>February 27, 2015</w:t>
            </w:r>
          </w:p>
        </w:tc>
      </w:tr>
      <w:tr>
        <w:trPr>
          <w:trHeight w:val="208"/>
        </w:trPr>
        <w:tc>
          <w:tcPr>
            <w:tcW w:w="5840" w:type="dxa"/>
            <w:vAlign w:val="bottom"/>
            <w:gridSpan w:val="2"/>
          </w:tcPr>
          <w:p>
            <w:pPr>
              <w:jc w:val="center"/>
              <w:ind w:right="1140"/>
              <w:spacing w:after="0"/>
              <w:rPr>
                <w:sz w:val="20"/>
                <w:szCs w:val="20"/>
                <w:color w:val="auto"/>
              </w:rPr>
            </w:pPr>
            <w:r>
              <w:rPr>
                <w:rFonts w:ascii="Arial" w:cs="Arial" w:eastAsia="Arial" w:hAnsi="Arial"/>
                <w:sz w:val="18"/>
                <w:szCs w:val="18"/>
                <w:color w:val="auto"/>
                <w:w w:val="97"/>
              </w:rPr>
              <w:t>Arthur R. Block</w:t>
            </w:r>
          </w:p>
        </w:tc>
        <w:tc>
          <w:tcPr>
            <w:tcW w:w="26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L. C</w:t>
            </w:r>
            <w:r>
              <w:rPr>
                <w:rFonts w:ascii="Arial" w:cs="Arial" w:eastAsia="Arial" w:hAnsi="Arial"/>
                <w:sz w:val="14"/>
                <w:szCs w:val="14"/>
                <w:color w:val="auto"/>
              </w:rPr>
              <w:t>OHEN</w:t>
            </w:r>
          </w:p>
        </w:tc>
        <w:tc>
          <w:tcPr>
            <w:tcW w:w="1160" w:type="dxa"/>
            <w:vAlign w:val="bottom"/>
          </w:tcPr>
          <w:p>
            <w:pPr>
              <w:spacing w:after="0"/>
              <w:rPr>
                <w:sz w:val="24"/>
                <w:szCs w:val="24"/>
                <w:color w:val="auto"/>
              </w:rPr>
            </w:pPr>
          </w:p>
        </w:tc>
        <w:tc>
          <w:tcPr>
            <w:tcW w:w="2660" w:type="dxa"/>
            <w:vAlign w:val="bottom"/>
          </w:tcPr>
          <w:p>
            <w:pPr>
              <w:jc w:val="center"/>
              <w:ind w:right="194"/>
              <w:spacing w:after="0"/>
              <w:rPr>
                <w:sz w:val="20"/>
                <w:szCs w:val="20"/>
                <w:color w:val="auto"/>
              </w:rPr>
            </w:pPr>
            <w:r>
              <w:rPr>
                <w:rFonts w:ascii="Arial" w:cs="Arial" w:eastAsia="Arial" w:hAnsi="Arial"/>
                <w:sz w:val="18"/>
                <w:szCs w:val="18"/>
                <w:color w:val="auto"/>
                <w:w w:val="97"/>
              </w:rPr>
              <w:t>Director of NBCUniversal, LLC</w:t>
            </w:r>
          </w:p>
        </w:tc>
        <w:tc>
          <w:tcPr>
            <w:tcW w:w="2920" w:type="dxa"/>
            <w:vAlign w:val="bottom"/>
          </w:tcPr>
          <w:p>
            <w:pPr>
              <w:jc w:val="center"/>
              <w:ind w:left="798"/>
              <w:spacing w:after="0"/>
              <w:rPr>
                <w:sz w:val="20"/>
                <w:szCs w:val="20"/>
                <w:color w:val="auto"/>
              </w:rPr>
            </w:pPr>
            <w:r>
              <w:rPr>
                <w:rFonts w:ascii="Arial" w:cs="Arial" w:eastAsia="Arial" w:hAnsi="Arial"/>
                <w:sz w:val="18"/>
                <w:szCs w:val="18"/>
                <w:color w:val="auto"/>
                <w:w w:val="97"/>
              </w:rPr>
              <w:t>February 27, 2015</w:t>
            </w:r>
          </w:p>
        </w:tc>
      </w:tr>
      <w:tr>
        <w:trPr>
          <w:trHeight w:val="208"/>
        </w:trPr>
        <w:tc>
          <w:tcPr>
            <w:tcW w:w="584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David L. Cohen</w:t>
            </w:r>
          </w:p>
        </w:tc>
        <w:tc>
          <w:tcPr>
            <w:tcW w:w="26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1160" w:type="dxa"/>
            <w:vAlign w:val="bottom"/>
          </w:tcPr>
          <w:p>
            <w:pPr>
              <w:spacing w:after="0"/>
              <w:rPr>
                <w:sz w:val="24"/>
                <w:szCs w:val="24"/>
                <w:color w:val="auto"/>
              </w:rPr>
            </w:pPr>
          </w:p>
        </w:tc>
        <w:tc>
          <w:tcPr>
            <w:tcW w:w="2660" w:type="dxa"/>
            <w:vAlign w:val="bottom"/>
          </w:tcPr>
          <w:p>
            <w:pPr>
              <w:jc w:val="center"/>
              <w:ind w:right="174"/>
              <w:spacing w:after="0"/>
              <w:rPr>
                <w:sz w:val="20"/>
                <w:szCs w:val="20"/>
                <w:color w:val="auto"/>
              </w:rPr>
            </w:pPr>
            <w:r>
              <w:rPr>
                <w:rFonts w:ascii="Arial" w:cs="Arial" w:eastAsia="Arial" w:hAnsi="Arial"/>
                <w:sz w:val="18"/>
                <w:szCs w:val="18"/>
                <w:color w:val="auto"/>
                <w:w w:val="97"/>
              </w:rPr>
              <w:t>Principal Accounting Officer</w:t>
            </w:r>
          </w:p>
        </w:tc>
        <w:tc>
          <w:tcPr>
            <w:tcW w:w="2920" w:type="dxa"/>
            <w:vAlign w:val="bottom"/>
          </w:tcPr>
          <w:p>
            <w:pPr>
              <w:jc w:val="center"/>
              <w:ind w:left="798"/>
              <w:spacing w:after="0"/>
              <w:rPr>
                <w:sz w:val="20"/>
                <w:szCs w:val="20"/>
                <w:color w:val="auto"/>
              </w:rPr>
            </w:pPr>
            <w:r>
              <w:rPr>
                <w:rFonts w:ascii="Arial" w:cs="Arial" w:eastAsia="Arial" w:hAnsi="Arial"/>
                <w:sz w:val="18"/>
                <w:szCs w:val="18"/>
                <w:color w:val="auto"/>
                <w:w w:val="97"/>
              </w:rPr>
              <w:t>February 27, 2015</w:t>
            </w:r>
          </w:p>
        </w:tc>
      </w:tr>
      <w:tr>
        <w:trPr>
          <w:trHeight w:val="208"/>
        </w:trPr>
        <w:tc>
          <w:tcPr>
            <w:tcW w:w="5840" w:type="dxa"/>
            <w:vAlign w:val="bottom"/>
            <w:gridSpan w:val="2"/>
          </w:tcPr>
          <w:p>
            <w:pPr>
              <w:jc w:val="center"/>
              <w:ind w:right="1160"/>
              <w:spacing w:after="0"/>
              <w:rPr>
                <w:sz w:val="20"/>
                <w:szCs w:val="20"/>
                <w:color w:val="auto"/>
              </w:rPr>
            </w:pPr>
            <w:r>
              <w:rPr>
                <w:rFonts w:ascii="Arial" w:cs="Arial" w:eastAsia="Arial" w:hAnsi="Arial"/>
                <w:sz w:val="18"/>
                <w:szCs w:val="18"/>
                <w:color w:val="auto"/>
                <w:w w:val="97"/>
              </w:rPr>
              <w:t>Lawrence J. Salva</w:t>
            </w:r>
          </w:p>
        </w:tc>
        <w:tc>
          <w:tcPr>
            <w:tcW w:w="2660" w:type="dxa"/>
            <w:vAlign w:val="bottom"/>
          </w:tcPr>
          <w:p>
            <w:pPr>
              <w:jc w:val="center"/>
              <w:ind w:right="174"/>
              <w:spacing w:after="0" w:line="195" w:lineRule="exact"/>
              <w:rPr>
                <w:sz w:val="20"/>
                <w:szCs w:val="20"/>
                <w:color w:val="auto"/>
              </w:rPr>
            </w:pPr>
            <w:r>
              <w:rPr>
                <w:rFonts w:ascii="Arial" w:cs="Arial" w:eastAsia="Arial" w:hAnsi="Arial"/>
                <w:sz w:val="18"/>
                <w:szCs w:val="18"/>
                <w:color w:val="auto"/>
                <w:w w:val="97"/>
              </w:rPr>
              <w:t>of NBCUniversal Media, LLC</w:t>
            </w:r>
          </w:p>
        </w:tc>
        <w:tc>
          <w:tcPr>
            <w:tcW w:w="2920" w:type="dxa"/>
            <w:vAlign w:val="bottom"/>
          </w:tcPr>
          <w:p>
            <w:pPr>
              <w:spacing w:after="0"/>
              <w:rPr>
                <w:sz w:val="18"/>
                <w:szCs w:val="18"/>
                <w:color w:val="auto"/>
              </w:rPr>
            </w:pPr>
          </w:p>
        </w:tc>
      </w:tr>
      <w:tr>
        <w:trPr>
          <w:trHeight w:val="515"/>
        </w:trPr>
        <w:tc>
          <w:tcPr>
            <w:tcW w:w="5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147</w:t>
            </w:r>
          </w:p>
        </w:tc>
        <w:tc>
          <w:tcPr>
            <w:tcW w:w="2660" w:type="dxa"/>
            <w:vAlign w:val="bottom"/>
          </w:tcPr>
          <w:p>
            <w:pPr>
              <w:spacing w:after="0"/>
              <w:rPr>
                <w:sz w:val="24"/>
                <w:szCs w:val="24"/>
                <w:color w:val="auto"/>
              </w:rPr>
            </w:pPr>
          </w:p>
        </w:tc>
        <w:tc>
          <w:tcPr>
            <w:tcW w:w="2920" w:type="dxa"/>
            <w:vAlign w:val="bottom"/>
          </w:tcPr>
          <w:p>
            <w:pPr>
              <w:ind w:left="280"/>
              <w:spacing w:after="0"/>
              <w:rPr>
                <w:sz w:val="20"/>
                <w:szCs w:val="20"/>
                <w:color w:val="auto"/>
              </w:rPr>
            </w:pPr>
            <w:r>
              <w:rPr>
                <w:rFonts w:ascii="Arial" w:cs="Arial" w:eastAsia="Arial" w:hAnsi="Arial"/>
                <w:sz w:val="14"/>
                <w:szCs w:val="14"/>
                <w:color w:val="auto"/>
                <w:w w:val="95"/>
              </w:rPr>
              <w:t>Comcast 2014 Annual Report on Form 10-K</w:t>
            </w: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NBCUniversal Media, LLC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4500" w:type="dxa"/>
            <w:vAlign w:val="bottom"/>
            <w:tcBorders>
              <w:bottom w:val="single" w:sz="8" w:color="0000EE"/>
            </w:tcBorders>
            <w:gridSpan w:val="7"/>
          </w:tcPr>
          <w:p>
            <w:pPr>
              <w:spacing w:after="0" w:line="170" w:lineRule="exact"/>
              <w:rPr>
                <w:rFonts w:ascii="Arial" w:cs="Arial" w:eastAsia="Arial" w:hAnsi="Arial"/>
                <w:sz w:val="18"/>
                <w:szCs w:val="18"/>
                <w:color w:val="0000EE"/>
                <w:w w:val="97"/>
              </w:rPr>
            </w:pPr>
            <w:hyperlink w:anchor="page152">
              <w:r>
                <w:rPr>
                  <w:rFonts w:ascii="Arial" w:cs="Arial" w:eastAsia="Arial" w:hAnsi="Arial"/>
                  <w:sz w:val="18"/>
                  <w:szCs w:val="18"/>
                  <w:color w:val="0000EE"/>
                  <w:w w:val="97"/>
                </w:rPr>
                <w:t>Report of Independent Registered Public Accounting Firm</w:t>
              </w:r>
            </w:hyperlink>
          </w:p>
        </w:tc>
        <w:tc>
          <w:tcPr>
            <w:tcW w:w="6920" w:type="dxa"/>
            <w:vAlign w:val="bottom"/>
          </w:tcPr>
          <w:p>
            <w:pPr>
              <w:jc w:val="right"/>
              <w:spacing w:after="0" w:line="170" w:lineRule="exact"/>
              <w:rPr>
                <w:sz w:val="20"/>
                <w:szCs w:val="20"/>
                <w:color w:val="auto"/>
              </w:rPr>
            </w:pPr>
            <w:r>
              <w:rPr>
                <w:rFonts w:ascii="Arial" w:cs="Arial" w:eastAsia="Arial" w:hAnsi="Arial"/>
                <w:sz w:val="18"/>
                <w:szCs w:val="18"/>
                <w:color w:val="auto"/>
              </w:rPr>
              <w:t>149</w:t>
            </w:r>
          </w:p>
        </w:tc>
      </w:tr>
      <w:tr>
        <w:trPr>
          <w:trHeight w:val="304"/>
        </w:trPr>
        <w:tc>
          <w:tcPr>
            <w:tcW w:w="4500" w:type="dxa"/>
            <w:vAlign w:val="bottom"/>
            <w:gridSpan w:val="7"/>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Consolidated Balance Sheet</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4500" w:type="dxa"/>
            <w:vAlign w:val="bottom"/>
            <w:gridSpan w:val="7"/>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Statement of Income</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2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39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55">
              <w:r>
                <w:rPr>
                  <w:rFonts w:ascii="Arial" w:cs="Arial" w:eastAsia="Arial" w:hAnsi="Arial"/>
                  <w:sz w:val="18"/>
                  <w:szCs w:val="18"/>
                  <w:color w:val="0000EE"/>
                  <w:w w:val="97"/>
                </w:rPr>
                <w:t>Consolidated Statement of Comprehensive Income</w:t>
              </w:r>
            </w:hyperlink>
          </w:p>
        </w:tc>
        <w:tc>
          <w:tcPr>
            <w:tcW w:w="520" w:type="dxa"/>
            <w:vAlign w:val="bottom"/>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04"/>
        </w:trPr>
        <w:tc>
          <w:tcPr>
            <w:tcW w:w="4500" w:type="dxa"/>
            <w:vAlign w:val="bottom"/>
            <w:gridSpan w:val="7"/>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Consolidated Statement of Cash Flows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04"/>
        </w:trPr>
        <w:tc>
          <w:tcPr>
            <w:tcW w:w="35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57">
              <w:r>
                <w:rPr>
                  <w:rFonts w:ascii="Arial" w:cs="Arial" w:eastAsia="Arial" w:hAnsi="Arial"/>
                  <w:sz w:val="18"/>
                  <w:szCs w:val="18"/>
                  <w:color w:val="0000EE"/>
                  <w:w w:val="97"/>
                </w:rPr>
                <w:t>Consolidated Statement of Changes in Equity</w:t>
              </w:r>
            </w:hyperlink>
          </w:p>
        </w:tc>
        <w:tc>
          <w:tcPr>
            <w:tcW w:w="940" w:type="dxa"/>
            <w:vAlign w:val="bottom"/>
            <w:gridSpan w:val="2"/>
          </w:tcPr>
          <w:p>
            <w:pPr>
              <w:spacing w:after="0"/>
              <w:rPr>
                <w:sz w:val="24"/>
                <w:szCs w:val="24"/>
                <w:color w:val="auto"/>
              </w:rPr>
            </w:pPr>
          </w:p>
        </w:tc>
        <w:tc>
          <w:tcPr>
            <w:tcW w:w="6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04"/>
        </w:trPr>
        <w:tc>
          <w:tcPr>
            <w:tcW w:w="4500" w:type="dxa"/>
            <w:vAlign w:val="bottom"/>
            <w:gridSpan w:val="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Notes to Consolidated Financial Statements</w:t>
              </w:r>
            </w:hyperlink>
          </w:p>
        </w:tc>
        <w:tc>
          <w:tcPr>
            <w:tcW w:w="69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
        </w:trPr>
        <w:tc>
          <w:tcPr>
            <w:tcW w:w="2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920" w:type="dxa"/>
            <w:vAlign w:val="bottom"/>
            <w:tcBorders>
              <w:bottom w:val="single" w:sz="8" w:color="auto"/>
            </w:tcBorders>
          </w:tcPr>
          <w:p>
            <w:pPr>
              <w:spacing w:after="0" w:line="20" w:lineRule="exact"/>
              <w:rPr>
                <w:sz w:val="1"/>
                <w:szCs w:val="1"/>
                <w:color w:val="auto"/>
              </w:rPr>
            </w:pPr>
          </w:p>
        </w:tc>
      </w:tr>
      <w:tr>
        <w:trPr>
          <w:trHeight w:val="506"/>
        </w:trPr>
        <w:tc>
          <w:tcPr>
            <w:tcW w:w="4500" w:type="dxa"/>
            <w:vAlign w:val="bottom"/>
            <w:gridSpan w:val="7"/>
          </w:tcPr>
          <w:p>
            <w:pPr>
              <w:spacing w:after="0"/>
              <w:rPr>
                <w:sz w:val="20"/>
                <w:szCs w:val="20"/>
                <w:color w:val="auto"/>
              </w:rPr>
            </w:pPr>
            <w:r>
              <w:rPr>
                <w:rFonts w:ascii="Arial" w:cs="Arial" w:eastAsia="Arial" w:hAnsi="Arial"/>
                <w:sz w:val="14"/>
                <w:szCs w:val="14"/>
                <w:color w:val="auto"/>
              </w:rPr>
              <w:t>Comcast 2014 Annual Report on Form 10-K</w:t>
            </w:r>
          </w:p>
        </w:tc>
        <w:tc>
          <w:tcPr>
            <w:tcW w:w="6920" w:type="dxa"/>
            <w:vAlign w:val="bottom"/>
          </w:tcPr>
          <w:p>
            <w:pPr>
              <w:jc w:val="right"/>
              <w:ind w:right="5517"/>
              <w:spacing w:after="0"/>
              <w:rPr>
                <w:sz w:val="20"/>
                <w:szCs w:val="20"/>
                <w:color w:val="auto"/>
              </w:rPr>
            </w:pPr>
            <w:r>
              <w:rPr>
                <w:rFonts w:ascii="Arial" w:cs="Arial" w:eastAsia="Arial" w:hAnsi="Arial"/>
                <w:sz w:val="14"/>
                <w:szCs w:val="14"/>
                <w:b w:val="1"/>
                <w:bCs w:val="1"/>
                <w:color w:val="auto"/>
              </w:rPr>
              <w:t>148</w:t>
            </w: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NBCUniversal Media, LLC and subsidiaries (the “Company”) as of December 31, 2014 and 2013, and the related consolidated statements of income, comprehensive income, cash flows and changes in equity for each of the three years in the period ended December 31, 2014.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NBCUniversal Media, LLC and subsidiaries as of December 31, 2014 and 2013, and the results of their operations and their cash flows for each of the three years in the period ended December 31, 2014,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27, 2015</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149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548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4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1,248</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4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4,842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825</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4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823</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424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7,738</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5,714</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882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8,138</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14,908</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14,882</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14,187</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14,857</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4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1,050</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52,617</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51,739</w:t>
            </w:r>
          </w:p>
        </w:tc>
        <w:tc>
          <w:tcPr>
            <w:tcW w:w="0" w:type="dxa"/>
            <w:vAlign w:val="bottom"/>
          </w:tcPr>
          <w:p>
            <w:pPr>
              <w:spacing w:after="0"/>
              <w:rPr>
                <w:sz w:val="1"/>
                <w:szCs w:val="1"/>
                <w:color w:val="auto"/>
              </w:rPr>
            </w:pPr>
          </w:p>
        </w:tc>
      </w:tr>
      <w:tr>
        <w:trPr>
          <w:trHeight w:val="199"/>
        </w:trPr>
        <w:tc>
          <w:tcPr>
            <w:tcW w:w="54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1,388</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w w:val="99"/>
              </w:rPr>
              <w:t>Accounts payable and accrued expenses related to trade creditors</w:t>
            </w:r>
          </w:p>
        </w:tc>
        <w:tc>
          <w:tcPr>
            <w:tcW w:w="42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1,347</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Program obligations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687</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821</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1,422</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865</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4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1,023</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424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7,553</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9,226</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4240" w:type="dxa"/>
            <w:vAlign w:val="bottom"/>
          </w:tcPr>
          <w:p>
            <w:pPr>
              <w:spacing w:after="0"/>
              <w:rPr>
                <w:sz w:val="17"/>
                <w:szCs w:val="17"/>
                <w:color w:val="auto"/>
              </w:rPr>
            </w:pP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b w:val="1"/>
                <w:bCs w:val="1"/>
                <w:color w:val="auto"/>
              </w:rPr>
              <w:t>1,149</w:t>
            </w: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5"/>
        </w:trPr>
        <w:tc>
          <w:tcPr>
            <w:tcW w:w="54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24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b w:val="1"/>
                <w:bCs w:val="1"/>
                <w:color w:val="auto"/>
              </w:rPr>
              <w:t>3,722</w:t>
            </w:r>
          </w:p>
        </w:tc>
        <w:tc>
          <w:tcPr>
            <w:tcW w:w="26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16)</w:t>
            </w:r>
          </w:p>
        </w:tc>
        <w:tc>
          <w:tcPr>
            <w:tcW w:w="4240" w:type="dxa"/>
            <w:vAlign w:val="bottom"/>
          </w:tcPr>
          <w:p>
            <w:pPr>
              <w:spacing w:after="0"/>
              <w:rPr>
                <w:sz w:val="17"/>
                <w:szCs w:val="17"/>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330</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4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4240" w:type="dxa"/>
            <w:vAlign w:val="bottom"/>
          </w:tcPr>
          <w:p>
            <w:pPr>
              <w:spacing w:after="0"/>
              <w:rPr>
                <w:sz w:val="17"/>
                <w:szCs w:val="17"/>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rPr>
              <w:t>30,529</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Member’s capital</w:t>
            </w:r>
          </w:p>
        </w:tc>
        <w:tc>
          <w:tcPr>
            <w:tcW w:w="4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29,056</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(159)</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7"/>
        </w:trPr>
        <w:tc>
          <w:tcPr>
            <w:tcW w:w="5480" w:type="dxa"/>
            <w:vAlign w:val="bottom"/>
          </w:tcPr>
          <w:p>
            <w:pPr>
              <w:spacing w:after="0" w:line="177" w:lineRule="exact"/>
              <w:rPr>
                <w:sz w:val="20"/>
                <w:szCs w:val="20"/>
                <w:color w:val="auto"/>
              </w:rPr>
            </w:pPr>
            <w:r>
              <w:rPr>
                <w:rFonts w:ascii="Arial" w:cs="Arial" w:eastAsia="Arial" w:hAnsi="Arial"/>
                <w:sz w:val="18"/>
                <w:szCs w:val="18"/>
                <w:color w:val="auto"/>
              </w:rPr>
              <w:t>Total NBCUniversal member’s equity</w:t>
            </w:r>
          </w:p>
        </w:tc>
        <w:tc>
          <w:tcPr>
            <w:tcW w:w="4240" w:type="dxa"/>
            <w:vAlign w:val="bottom"/>
          </w:tcPr>
          <w:p>
            <w:pPr>
              <w:spacing w:after="0"/>
              <w:rPr>
                <w:sz w:val="15"/>
                <w:szCs w:val="15"/>
                <w:color w:val="auto"/>
              </w:rPr>
            </w:pPr>
          </w:p>
        </w:tc>
        <w:tc>
          <w:tcPr>
            <w:tcW w:w="760" w:type="dxa"/>
            <w:vAlign w:val="bottom"/>
          </w:tcPr>
          <w:p>
            <w:pPr>
              <w:jc w:val="right"/>
              <w:ind w:right="93"/>
              <w:spacing w:after="0" w:line="177" w:lineRule="exact"/>
              <w:rPr>
                <w:sz w:val="20"/>
                <w:szCs w:val="20"/>
                <w:color w:val="auto"/>
              </w:rPr>
            </w:pPr>
            <w:r>
              <w:rPr>
                <w:rFonts w:ascii="Arial" w:cs="Arial" w:eastAsia="Arial" w:hAnsi="Arial"/>
                <w:sz w:val="18"/>
                <w:szCs w:val="18"/>
                <w:b w:val="1"/>
                <w:bCs w:val="1"/>
                <w:color w:val="auto"/>
              </w:rPr>
              <w:t>30,370</w:t>
            </w:r>
          </w:p>
        </w:tc>
        <w:tc>
          <w:tcPr>
            <w:tcW w:w="26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29,040</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267</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4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30,637</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29,327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4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52,617</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51,739</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4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48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4240" w:type="dxa"/>
            <w:vAlign w:val="bottom"/>
          </w:tcPr>
          <w:p>
            <w:pPr>
              <w:jc w:val="right"/>
              <w:ind w:right="3816"/>
              <w:spacing w:after="0"/>
              <w:rPr>
                <w:sz w:val="20"/>
                <w:szCs w:val="20"/>
                <w:color w:val="auto"/>
              </w:rPr>
            </w:pPr>
            <w:r>
              <w:rPr>
                <w:rFonts w:ascii="Arial" w:cs="Arial" w:eastAsia="Arial" w:hAnsi="Arial"/>
                <w:sz w:val="14"/>
                <w:szCs w:val="14"/>
                <w:b w:val="1"/>
                <w:bCs w:val="1"/>
                <w:color w:val="auto"/>
              </w:rPr>
              <w:t>150</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73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600" w:type="dxa"/>
            <w:vAlign w:val="bottom"/>
          </w:tcPr>
          <w:p>
            <w:pPr>
              <w:ind w:left="1480"/>
              <w:spacing w:after="0" w:line="200"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25,428</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23,650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60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12,318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11,770</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12,710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5,364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4,949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1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2,158</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2,199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654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639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841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772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21,335</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20,329</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21,031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8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16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4,093</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3,321</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(515)</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1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6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1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(653)</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177"/>
        </w:trPr>
        <w:tc>
          <w:tcPr>
            <w:tcW w:w="730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3,440</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2,328</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7"/>
        </w:trPr>
        <w:tc>
          <w:tcPr>
            <w:tcW w:w="730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3,297</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2,122</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NBCUniversal</w:t>
            </w:r>
          </w:p>
        </w:tc>
        <w:tc>
          <w:tcPr>
            <w:tcW w:w="1600" w:type="dxa"/>
            <w:vAlign w:val="bottom"/>
            <w:tcBorders>
              <w:bottom w:val="single" w:sz="8" w:color="0C6DFF"/>
            </w:tcBorders>
          </w:tcPr>
          <w:p>
            <w:pPr>
              <w:ind w:left="148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3,115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1,968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09"/>
        </w:trPr>
        <w:tc>
          <w:tcPr>
            <w:tcW w:w="730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300" w:type="dxa"/>
            <w:vAlign w:val="bottom"/>
            <w:gridSpan w:val="2"/>
          </w:tcPr>
          <w:p>
            <w:pPr>
              <w:ind w:left="5600"/>
              <w:spacing w:after="0"/>
              <w:rPr>
                <w:sz w:val="20"/>
                <w:szCs w:val="20"/>
                <w:color w:val="auto"/>
              </w:rPr>
            </w:pPr>
            <w:r>
              <w:rPr>
                <w:rFonts w:ascii="Arial" w:cs="Arial" w:eastAsia="Arial" w:hAnsi="Arial"/>
                <w:sz w:val="14"/>
                <w:szCs w:val="14"/>
                <w:b w:val="1"/>
                <w:bCs w:val="1"/>
                <w:color w:val="auto"/>
              </w:rPr>
              <w:t>151</w:t>
            </w:r>
          </w:p>
        </w:tc>
        <w:tc>
          <w:tcPr>
            <w:tcW w:w="4120" w:type="dxa"/>
            <w:vAlign w:val="bottom"/>
            <w:gridSpan w:val="6"/>
          </w:tcPr>
          <w:p>
            <w:pPr>
              <w:ind w:left="1480"/>
              <w:spacing w:after="0"/>
              <w:rPr>
                <w:sz w:val="20"/>
                <w:szCs w:val="20"/>
                <w:color w:val="auto"/>
              </w:rPr>
            </w:pPr>
            <w:r>
              <w:rPr>
                <w:rFonts w:ascii="Arial" w:cs="Arial" w:eastAsia="Arial" w:hAnsi="Arial"/>
                <w:sz w:val="14"/>
                <w:szCs w:val="14"/>
                <w:color w:val="auto"/>
                <w:w w:val="95"/>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7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2012</w:t>
            </w:r>
          </w:p>
        </w:tc>
      </w:tr>
      <w:tr>
        <w:trPr>
          <w:trHeight w:val="177"/>
        </w:trPr>
        <w:tc>
          <w:tcPr>
            <w:tcW w:w="502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4780" w:type="dxa"/>
            <w:vAlign w:val="bottom"/>
          </w:tcPr>
          <w:p>
            <w:pPr>
              <w:jc w:val="right"/>
              <w:ind w:right="57"/>
              <w:spacing w:after="0" w:line="177" w:lineRule="exact"/>
              <w:rPr>
                <w:sz w:val="20"/>
                <w:szCs w:val="20"/>
                <w:color w:val="auto"/>
              </w:rPr>
            </w:pPr>
            <w:r>
              <w:rPr>
                <w:rFonts w:ascii="Arial" w:cs="Arial" w:eastAsia="Arial" w:hAnsi="Arial"/>
                <w:sz w:val="18"/>
                <w:szCs w:val="18"/>
                <w:b w:val="1"/>
                <w:bCs w:val="1"/>
                <w:color w:val="auto"/>
              </w:rPr>
              <w:t>$ 3,297</w:t>
            </w:r>
          </w:p>
        </w:tc>
        <w:tc>
          <w:tcPr>
            <w:tcW w:w="820" w:type="dxa"/>
            <w:vAlign w:val="bottom"/>
          </w:tcPr>
          <w:p>
            <w:pPr>
              <w:jc w:val="right"/>
              <w:ind w:right="55"/>
              <w:spacing w:after="0" w:line="177" w:lineRule="exact"/>
              <w:rPr>
                <w:sz w:val="20"/>
                <w:szCs w:val="20"/>
                <w:color w:val="auto"/>
              </w:rPr>
            </w:pPr>
            <w:r>
              <w:rPr>
                <w:rFonts w:ascii="Arial" w:cs="Arial" w:eastAsia="Arial" w:hAnsi="Arial"/>
                <w:sz w:val="18"/>
                <w:szCs w:val="18"/>
                <w:color w:val="auto"/>
              </w:rPr>
              <w:t>$ 2,122</w:t>
            </w:r>
          </w:p>
        </w:tc>
        <w:tc>
          <w:tcPr>
            <w:tcW w:w="800" w:type="dxa"/>
            <w:vAlign w:val="bottom"/>
          </w:tcPr>
          <w:p>
            <w:pPr>
              <w:jc w:val="right"/>
              <w:ind w:right="15"/>
              <w:spacing w:after="0" w:line="177" w:lineRule="exact"/>
              <w:rPr>
                <w:sz w:val="20"/>
                <w:szCs w:val="20"/>
                <w:color w:val="auto"/>
              </w:rPr>
            </w:pPr>
            <w:r>
              <w:rPr>
                <w:rFonts w:ascii="Arial" w:cs="Arial" w:eastAsia="Arial" w:hAnsi="Arial"/>
                <w:sz w:val="18"/>
                <w:szCs w:val="18"/>
                <w:color w:val="auto"/>
              </w:rPr>
              <w:t>$ 3,231</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 net</w:t>
            </w:r>
          </w:p>
        </w:tc>
        <w:tc>
          <w:tcPr>
            <w:tcW w:w="478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25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w:t>
            </w:r>
          </w:p>
        </w:tc>
        <w:tc>
          <w:tcPr>
            <w:tcW w:w="4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(106)</w:t>
            </w:r>
          </w:p>
        </w:tc>
        <w:tc>
          <w:tcPr>
            <w:tcW w:w="8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95</w:t>
            </w: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w:t>
            </w:r>
          </w:p>
        </w:tc>
      </w:tr>
      <w:tr>
        <w:trPr>
          <w:trHeight w:val="22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4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177"/>
        </w:trPr>
        <w:tc>
          <w:tcPr>
            <w:tcW w:w="502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4780" w:type="dxa"/>
            <w:vAlign w:val="bottom"/>
          </w:tcPr>
          <w:p>
            <w:pPr>
              <w:jc w:val="right"/>
              <w:ind w:right="57"/>
              <w:spacing w:after="0" w:line="177" w:lineRule="exact"/>
              <w:rPr>
                <w:sz w:val="20"/>
                <w:szCs w:val="20"/>
                <w:color w:val="auto"/>
              </w:rPr>
            </w:pPr>
            <w:r>
              <w:rPr>
                <w:rFonts w:ascii="Arial" w:cs="Arial" w:eastAsia="Arial" w:hAnsi="Arial"/>
                <w:sz w:val="18"/>
                <w:szCs w:val="18"/>
                <w:b w:val="1"/>
                <w:bCs w:val="1"/>
                <w:color w:val="auto"/>
              </w:rPr>
              <w:t>3,154</w:t>
            </w:r>
          </w:p>
        </w:tc>
        <w:tc>
          <w:tcPr>
            <w:tcW w:w="82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2,171</w:t>
            </w:r>
          </w:p>
        </w:tc>
        <w:tc>
          <w:tcPr>
            <w:tcW w:w="800" w:type="dxa"/>
            <w:vAlign w:val="bottom"/>
          </w:tcPr>
          <w:p>
            <w:pPr>
              <w:jc w:val="right"/>
              <w:ind w:right="15"/>
              <w:spacing w:after="0" w:line="177" w:lineRule="exact"/>
              <w:rPr>
                <w:sz w:val="20"/>
                <w:szCs w:val="20"/>
                <w:color w:val="auto"/>
              </w:rPr>
            </w:pPr>
            <w:r>
              <w:rPr>
                <w:rFonts w:ascii="Arial" w:cs="Arial" w:eastAsia="Arial" w:hAnsi="Arial"/>
                <w:sz w:val="18"/>
                <w:szCs w:val="18"/>
                <w:color w:val="auto"/>
              </w:rPr>
              <w:t>3,244</w:t>
            </w:r>
          </w:p>
        </w:tc>
      </w:tr>
      <w:tr>
        <w:trPr>
          <w:trHeight w:val="22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196"/>
        </w:trPr>
        <w:tc>
          <w:tcPr>
            <w:tcW w:w="50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NBCUniversal</w:t>
            </w:r>
          </w:p>
        </w:tc>
        <w:tc>
          <w:tcPr>
            <w:tcW w:w="478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$ 2,972</w:t>
            </w:r>
          </w:p>
        </w:tc>
        <w:tc>
          <w:tcPr>
            <w:tcW w:w="82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color w:val="auto"/>
              </w:rPr>
              <w:t>$ 2,017</w:t>
            </w:r>
          </w:p>
        </w:tc>
        <w:tc>
          <w:tcPr>
            <w:tcW w:w="80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$ 3,068</w:t>
            </w:r>
          </w:p>
        </w:tc>
      </w:tr>
      <w:tr>
        <w:trPr>
          <w:trHeight w:val="209"/>
        </w:trPr>
        <w:tc>
          <w:tcPr>
            <w:tcW w:w="502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4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500"/>
        </w:trPr>
        <w:tc>
          <w:tcPr>
            <w:tcW w:w="50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4780" w:type="dxa"/>
            <w:vAlign w:val="bottom"/>
          </w:tcPr>
          <w:p>
            <w:pPr>
              <w:jc w:val="right"/>
              <w:ind w:right="3897"/>
              <w:spacing w:after="0"/>
              <w:rPr>
                <w:sz w:val="20"/>
                <w:szCs w:val="20"/>
                <w:color w:val="auto"/>
              </w:rPr>
            </w:pPr>
            <w:r>
              <w:rPr>
                <w:rFonts w:ascii="Arial" w:cs="Arial" w:eastAsia="Arial" w:hAnsi="Arial"/>
                <w:sz w:val="14"/>
                <w:szCs w:val="14"/>
                <w:b w:val="1"/>
                <w:bCs w:val="1"/>
                <w:color w:val="auto"/>
              </w:rPr>
              <w:t>152</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9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1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$ 3,297</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1960" w:type="dxa"/>
            <w:vAlign w:val="bottom"/>
            <w:vMerge w:val="continue"/>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2,122</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$ 3,231</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1,495</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1,411</w:t>
            </w:r>
          </w:p>
        </w:tc>
        <w:tc>
          <w:tcPr>
            <w:tcW w:w="80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74</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90</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136</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Current and noncurrent receivables, net</w:t>
            </w:r>
          </w:p>
        </w:tc>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rPr>
              <w:t>(752)</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Film and television costs, net</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(571)</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(88)</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(789)</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assets and liabilities</w:t>
            </w:r>
          </w:p>
        </w:tc>
        <w:tc>
          <w:tcPr>
            <w:tcW w:w="1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264</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505</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96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4,524</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3,024</w:t>
            </w: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(1,221)</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8"/>
                <w:szCs w:val="18"/>
                <w:color w:val="auto"/>
                <w:w w:val="94"/>
              </w:rPr>
              <w:t>(1,160)</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real estate properties</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(1,705)</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131</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(1,613)</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(3,212)</w:t>
            </w: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99"/>
        </w:trPr>
        <w:tc>
          <w:tcPr>
            <w:tcW w:w="78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196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2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53"/>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third-party borrowings</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(906)</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borrowings from Comcast, net</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97</w:t>
            </w:r>
          </w:p>
        </w:tc>
        <w:tc>
          <w:tcPr>
            <w:tcW w:w="180" w:type="dxa"/>
            <w:vAlign w:val="bottom"/>
          </w:tcPr>
          <w:p>
            <w:pPr>
              <w:spacing w:after="0"/>
              <w:rPr>
                <w:sz w:val="17"/>
                <w:szCs w:val="17"/>
                <w:color w:val="auto"/>
              </w:rPr>
            </w:pPr>
          </w:p>
        </w:tc>
        <w:tc>
          <w:tcPr>
            <w:tcW w:w="6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799</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Redemption transaction distribution</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(3,200)</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member</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(1,641)</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4"/>
              </w:rPr>
              <w:t>(1,422)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196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(2,630)</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(4,766)</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77"/>
        </w:trPr>
        <w:tc>
          <w:tcPr>
            <w:tcW w:w="784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196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281</w:t>
            </w:r>
          </w:p>
        </w:tc>
        <w:tc>
          <w:tcPr>
            <w:tcW w:w="18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Arial" w:cs="Arial" w:eastAsia="Arial" w:hAnsi="Arial"/>
                <w:sz w:val="18"/>
                <w:szCs w:val="18"/>
                <w:color w:val="auto"/>
                <w:w w:val="94"/>
              </w:rPr>
              <w:t>(4,954)</w:t>
            </w:r>
          </w:p>
        </w:tc>
        <w:tc>
          <w:tcPr>
            <w:tcW w:w="80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21"/>
        </w:trPr>
        <w:tc>
          <w:tcPr>
            <w:tcW w:w="7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9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967</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5,921</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196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$ 1,248</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967</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$ 5,921</w:t>
            </w:r>
          </w:p>
        </w:tc>
        <w:tc>
          <w:tcPr>
            <w:tcW w:w="0" w:type="dxa"/>
            <w:vAlign w:val="bottom"/>
          </w:tcPr>
          <w:p>
            <w:pPr>
              <w:spacing w:after="0"/>
              <w:rPr>
                <w:sz w:val="1"/>
                <w:szCs w:val="1"/>
                <w:color w:val="auto"/>
              </w:rPr>
            </w:pPr>
          </w:p>
        </w:tc>
      </w:tr>
      <w:tr>
        <w:trPr>
          <w:trHeight w:val="209"/>
        </w:trPr>
        <w:tc>
          <w:tcPr>
            <w:tcW w:w="78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840" w:type="dxa"/>
            <w:vAlign w:val="bottom"/>
            <w:gridSpan w:val="2"/>
          </w:tcPr>
          <w:p>
            <w:pPr>
              <w:ind w:left="5600"/>
              <w:spacing w:after="0"/>
              <w:rPr>
                <w:sz w:val="20"/>
                <w:szCs w:val="20"/>
                <w:color w:val="auto"/>
              </w:rPr>
            </w:pPr>
            <w:r>
              <w:rPr>
                <w:rFonts w:ascii="Arial" w:cs="Arial" w:eastAsia="Arial" w:hAnsi="Arial"/>
                <w:sz w:val="14"/>
                <w:szCs w:val="14"/>
                <w:b w:val="1"/>
                <w:bCs w:val="1"/>
                <w:color w:val="auto"/>
              </w:rPr>
              <w:t>153</w:t>
            </w:r>
          </w:p>
        </w:tc>
        <w:tc>
          <w:tcPr>
            <w:tcW w:w="3580" w:type="dxa"/>
            <w:vAlign w:val="bottom"/>
            <w:gridSpan w:val="4"/>
          </w:tcPr>
          <w:p>
            <w:pPr>
              <w:jc w:val="right"/>
              <w:spacing w:after="0"/>
              <w:rPr>
                <w:sz w:val="20"/>
                <w:szCs w:val="20"/>
                <w:color w:val="auto"/>
              </w:rPr>
            </w:pPr>
            <w:r>
              <w:rPr>
                <w:rFonts w:ascii="Arial" w:cs="Arial" w:eastAsia="Arial" w:hAnsi="Arial"/>
                <w:sz w:val="14"/>
                <w:szCs w:val="14"/>
                <w:color w:val="auto"/>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58"/>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4"/>
                <w:szCs w:val="14"/>
                <w:color w:val="auto"/>
              </w:rPr>
              <w:t>Non-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Borders>
              <w:right w:val="single" w:sz="8" w:color="auto"/>
            </w:tcBorders>
          </w:tcPr>
          <w:p>
            <w:pPr>
              <w:jc w:val="right"/>
              <w:ind w:right="235"/>
              <w:spacing w:after="0" w:line="135" w:lineRule="exact"/>
              <w:rPr>
                <w:sz w:val="20"/>
                <w:szCs w:val="20"/>
                <w:color w:val="auto"/>
              </w:rPr>
            </w:pPr>
            <w:r>
              <w:rPr>
                <w:rFonts w:ascii="Arial" w:cs="Arial" w:eastAsia="Arial" w:hAnsi="Arial"/>
                <w:sz w:val="14"/>
                <w:szCs w:val="14"/>
                <w:color w:val="auto"/>
                <w:w w:val="93"/>
              </w:rPr>
              <w:t>Redeemable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58"/>
              <w:spacing w:after="0" w:line="135"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100" w:type="dxa"/>
            <w:vAlign w:val="bottom"/>
            <w:tcBorders>
              <w:right w:val="single" w:sz="8" w:color="auto"/>
            </w:tcBorders>
            <w:gridSpan w:val="2"/>
          </w:tcPr>
          <w:p>
            <w:pPr>
              <w:jc w:val="right"/>
              <w:ind w:right="235"/>
              <w:spacing w:after="0" w:line="149" w:lineRule="exact"/>
              <w:rPr>
                <w:sz w:val="20"/>
                <w:szCs w:val="20"/>
                <w:color w:val="auto"/>
              </w:rPr>
            </w:pPr>
            <w:r>
              <w:rPr>
                <w:rFonts w:ascii="Arial" w:cs="Arial" w:eastAsia="Arial" w:hAnsi="Arial"/>
                <w:sz w:val="14"/>
                <w:szCs w:val="14"/>
                <w:color w:val="auto"/>
              </w:rPr>
              <w:t>Noncontrolling</w:t>
            </w:r>
          </w:p>
        </w:tc>
        <w:tc>
          <w:tcPr>
            <w:tcW w:w="920" w:type="dxa"/>
            <w:vAlign w:val="bottom"/>
          </w:tcPr>
          <w:p>
            <w:pPr>
              <w:jc w:val="right"/>
              <w:ind w:right="54"/>
              <w:spacing w:after="0" w:line="149" w:lineRule="exact"/>
              <w:rPr>
                <w:sz w:val="20"/>
                <w:szCs w:val="20"/>
                <w:color w:val="auto"/>
              </w:rPr>
            </w:pPr>
            <w:r>
              <w:rPr>
                <w:rFonts w:ascii="Arial" w:cs="Arial" w:eastAsia="Arial" w:hAnsi="Arial"/>
                <w:sz w:val="14"/>
                <w:szCs w:val="14"/>
                <w:color w:val="auto"/>
              </w:rPr>
              <w:t>Member’s</w:t>
            </w:r>
          </w:p>
        </w:tc>
        <w:tc>
          <w:tcPr>
            <w:tcW w:w="116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Comprehensive</w:t>
            </w:r>
          </w:p>
        </w:tc>
        <w:tc>
          <w:tcPr>
            <w:tcW w:w="820" w:type="dxa"/>
            <w:vAlign w:val="bottom"/>
            <w:gridSpan w:val="2"/>
          </w:tcPr>
          <w:p>
            <w:pPr>
              <w:jc w:val="right"/>
              <w:ind w:right="55"/>
              <w:spacing w:after="0" w:line="149" w:lineRule="exact"/>
              <w:rPr>
                <w:sz w:val="20"/>
                <w:szCs w:val="20"/>
                <w:color w:val="auto"/>
              </w:rPr>
            </w:pPr>
            <w:r>
              <w:rPr>
                <w:rFonts w:ascii="Arial" w:cs="Arial" w:eastAsia="Arial" w:hAnsi="Arial"/>
                <w:sz w:val="14"/>
                <w:szCs w:val="14"/>
                <w:color w:val="auto"/>
              </w:rPr>
              <w:t>controlling</w:t>
            </w:r>
          </w:p>
        </w:tc>
        <w:tc>
          <w:tcPr>
            <w:tcW w:w="880" w:type="dxa"/>
            <w:vAlign w:val="bottom"/>
          </w:tcPr>
          <w:p>
            <w:pPr>
              <w:jc w:val="right"/>
              <w:ind w:right="1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4"/>
                <w:szCs w:val="14"/>
                <w:color w:val="auto"/>
              </w:rPr>
              <w:t>Interests</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w w:val="94"/>
              </w:rPr>
              <w:t>Income (Loss)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w w:val="93"/>
              </w:rPr>
              <w:t>Interests</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184</w:t>
            </w:r>
          </w:p>
        </w:tc>
        <w:tc>
          <w:tcPr>
            <w:tcW w:w="9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$ 29,798</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(78)</w:t>
            </w: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361</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$ 30,081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Purchase of subsidiary shares from noncontrolling interests</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(47)</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(24)</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84</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18</w:t>
            </w:r>
          </w:p>
        </w:tc>
        <w:tc>
          <w:tcPr>
            <w:tcW w:w="9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3,055</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158</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131</w:t>
            </w:r>
          </w:p>
        </w:tc>
        <w:tc>
          <w:tcPr>
            <w:tcW w:w="9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31,900</w:t>
            </w:r>
          </w:p>
        </w:tc>
        <w:tc>
          <w:tcPr>
            <w:tcW w:w="16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6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419</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Redemption transaction distribution</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Purchase of subsidiary shares from noncontrolling interests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color w:val="auto"/>
              </w:rPr>
              <w:t>(22)</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2" w:lineRule="exact"/>
              <w:rPr>
                <w:sz w:val="20"/>
                <w:szCs w:val="20"/>
                <w:color w:val="auto"/>
              </w:rPr>
            </w:pPr>
            <w:r>
              <w:rPr>
                <w:rFonts w:ascii="Arial" w:cs="Arial" w:eastAsia="Arial" w:hAnsi="Arial"/>
                <w:sz w:val="18"/>
                <w:szCs w:val="18"/>
                <w:color w:val="auto"/>
              </w:rPr>
              <w:t>102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235"/>
              <w:spacing w:after="0" w:line="200" w:lineRule="exact"/>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1,968</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134</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Balance, December 31, 2013</w:t>
            </w:r>
          </w:p>
        </w:tc>
        <w:tc>
          <w:tcPr>
            <w:tcW w:w="1020" w:type="dxa"/>
            <w:vAlign w:val="bottom"/>
          </w:tcPr>
          <w:p>
            <w:pPr>
              <w:spacing w:after="0"/>
              <w:rPr>
                <w:sz w:val="15"/>
                <w:szCs w:val="15"/>
                <w:color w:val="auto"/>
              </w:rPr>
            </w:pPr>
          </w:p>
        </w:tc>
        <w:tc>
          <w:tcPr>
            <w:tcW w:w="1080" w:type="dxa"/>
            <w:vAlign w:val="bottom"/>
            <w:tcBorders>
              <w:right w:val="single" w:sz="8" w:color="auto"/>
            </w:tcBorders>
          </w:tcPr>
          <w:p>
            <w:pPr>
              <w:jc w:val="right"/>
              <w:ind w:right="235"/>
              <w:spacing w:after="0" w:line="177" w:lineRule="exact"/>
              <w:rPr>
                <w:sz w:val="20"/>
                <w:szCs w:val="20"/>
                <w:color w:val="auto"/>
              </w:rPr>
            </w:pPr>
            <w:r>
              <w:rPr>
                <w:rFonts w:ascii="Arial" w:cs="Arial" w:eastAsia="Arial" w:hAnsi="Arial"/>
                <w:sz w:val="18"/>
                <w:szCs w:val="18"/>
                <w:color w:val="auto"/>
              </w:rPr>
              <w:t>231</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29,056</w:t>
            </w:r>
          </w:p>
        </w:tc>
        <w:tc>
          <w:tcPr>
            <w:tcW w:w="16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5"/>
                <w:szCs w:val="15"/>
                <w:color w:val="auto"/>
              </w:rPr>
            </w:pPr>
          </w:p>
        </w:tc>
        <w:tc>
          <w:tcPr>
            <w:tcW w:w="660" w:type="dxa"/>
            <w:vAlign w:val="bottom"/>
          </w:tcPr>
          <w:p>
            <w:pPr>
              <w:jc w:val="right"/>
              <w:ind w:right="55"/>
              <w:spacing w:after="0" w:line="177" w:lineRule="exact"/>
              <w:rPr>
                <w:sz w:val="20"/>
                <w:szCs w:val="20"/>
                <w:color w:val="auto"/>
              </w:rPr>
            </w:pPr>
            <w:r>
              <w:rPr>
                <w:rFonts w:ascii="Arial" w:cs="Arial" w:eastAsia="Arial" w:hAnsi="Arial"/>
                <w:sz w:val="18"/>
                <w:szCs w:val="18"/>
                <w:color w:val="auto"/>
              </w:rPr>
              <w:t>287</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29,327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(1,641)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(1,641)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Issuance of subsidiary shares to noncontrolling interests</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235"/>
              <w:spacing w:after="0" w:line="202" w:lineRule="exact"/>
              <w:rPr>
                <w:sz w:val="20"/>
                <w:szCs w:val="20"/>
                <w:color w:val="auto"/>
              </w:rPr>
            </w:pPr>
            <w:r>
              <w:rPr>
                <w:rFonts w:ascii="Arial" w:cs="Arial" w:eastAsia="Arial" w:hAnsi="Arial"/>
                <w:sz w:val="18"/>
                <w:szCs w:val="18"/>
                <w:b w:val="1"/>
                <w:bCs w:val="1"/>
                <w:color w:val="auto"/>
              </w:rPr>
              <w:t>85</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Contributions from (distributions to) noncontrolling interests, net</w:t>
            </w:r>
          </w:p>
        </w:tc>
        <w:tc>
          <w:tcPr>
            <w:tcW w:w="1020" w:type="dxa"/>
            <w:vAlign w:val="bottom"/>
          </w:tcPr>
          <w:p>
            <w:pPr>
              <w:spacing w:after="0"/>
              <w:rPr>
                <w:sz w:val="17"/>
                <w:szCs w:val="17"/>
                <w:color w:val="auto"/>
              </w:rPr>
            </w:pPr>
          </w:p>
        </w:tc>
        <w:tc>
          <w:tcPr>
            <w:tcW w:w="1080" w:type="dxa"/>
            <w:vAlign w:val="bottom"/>
            <w:tcBorders>
              <w:right w:val="single" w:sz="8" w:color="auto"/>
            </w:tcBorders>
          </w:tcPr>
          <w:p>
            <w:pPr>
              <w:jc w:val="right"/>
              <w:ind w:right="175"/>
              <w:spacing w:after="0" w:line="202" w:lineRule="exact"/>
              <w:rPr>
                <w:sz w:val="20"/>
                <w:szCs w:val="20"/>
                <w:color w:val="auto"/>
              </w:rPr>
            </w:pPr>
            <w:r>
              <w:rPr>
                <w:rFonts w:ascii="Arial" w:cs="Arial" w:eastAsia="Arial" w:hAnsi="Arial"/>
                <w:sz w:val="18"/>
                <w:szCs w:val="18"/>
                <w:b w:val="1"/>
                <w:bCs w:val="1"/>
                <w:color w:val="auto"/>
              </w:rPr>
              <w:t>(24)</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10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(143)</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(143)</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38</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3,115</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144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3,259</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10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0C6DFF"/>
              <w:right w:val="single" w:sz="8" w:color="auto"/>
            </w:tcBorders>
          </w:tcPr>
          <w:p>
            <w:pPr>
              <w:jc w:val="right"/>
              <w:ind w:right="235"/>
              <w:spacing w:after="0" w:line="196" w:lineRule="exact"/>
              <w:rPr>
                <w:sz w:val="20"/>
                <w:szCs w:val="20"/>
                <w:color w:val="auto"/>
              </w:rPr>
            </w:pPr>
            <w:r>
              <w:rPr>
                <w:rFonts w:ascii="Arial" w:cs="Arial" w:eastAsia="Arial" w:hAnsi="Arial"/>
                <w:sz w:val="18"/>
                <w:szCs w:val="18"/>
                <w:b w:val="1"/>
                <w:bCs w:val="1"/>
                <w:color w:val="auto"/>
              </w:rPr>
              <w:t>330</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$ 30,529</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(159)</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267</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$ 30,637</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020" w:type="dxa"/>
            <w:vAlign w:val="bottom"/>
          </w:tcPr>
          <w:p>
            <w:pPr>
              <w:jc w:val="right"/>
              <w:ind w:right="662"/>
              <w:spacing w:after="0"/>
              <w:rPr>
                <w:sz w:val="20"/>
                <w:szCs w:val="20"/>
                <w:color w:val="auto"/>
              </w:rPr>
            </w:pPr>
            <w:r>
              <w:rPr>
                <w:rFonts w:ascii="Arial" w:cs="Arial" w:eastAsia="Arial" w:hAnsi="Arial"/>
                <w:sz w:val="14"/>
                <w:szCs w:val="14"/>
                <w:b w:val="1"/>
                <w:bCs w:val="1"/>
                <w:color w:val="auto"/>
              </w:rPr>
              <w:t>154</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Unless indicated otherwise, throughout these notes to the consolidated financial statements, we refer to NBCUniversal and its consolidated subsidiaries as “we,” “us” and “our.” We are one of the world’s leading media and entertainment companies that develops, produces and distributes entertainment, news and information, sports, and other content for global audiences. In 2013, Comcast acquired General Electric Company’s (“GE”) 49% common equity interest in our parent, NBCUniversal, LLC (“NBCUniversal Holdings”), that it did not already own. See Note 4 for additional information on the redemption transaction.</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17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our international cable networks, and our cable television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broadcast television stations, the NBC Universo (formerly mun2) national cable network, and our broadcast television production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Focus Features and Illumination names.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Theme Parks segment consists primarily of our Universal theme parks in Orlando, Florida and Hollywood, California. Our Theme Parks segment also receives fees from third parties that own and operate Universal Studios Japan and Universal Studios Singapore for intellectual property licenses and other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 Transactions between NBCUniversal and both Comcast and Comcast’s consolidated subsidiaries are reflected in these consolidated financial statements and disclosed as related party transactions when material.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as of the balance sheet date and translate revenue and expenses using average monthly exchange rates. The related translation adjustments are recorded as a component of accumulated other comprehensive income (loss). Any foreign currency transaction gains and losses are included in our consolidated statement of income.</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that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recognition (see below)</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film and television costs (see Note 6)</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goodwill and intangible assets (see Note 9)</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fair value of contractual obligations (see Note 11)</w:t>
      </w:r>
    </w:p>
    <w:p>
      <w:pPr>
        <w:spacing w:after="0" w:line="158"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In addition, the following accounting policies are specific to the industries in which we operate:</w:t>
      </w:r>
    </w:p>
    <w:p>
      <w:pPr>
        <w:spacing w:after="0" w:line="140"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capitalization and amortization of film and television costs (see Note 6)</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or methods related to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35"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to multichannel video providers, from the sale of advertising on our cable networks and related digital media properties, from the licensing of our owned programming through distribution to subscription video on demand services and various other distribution platforms, and from the sale of our owned programming electronically through digital distributors such as iTunes. Our Broadcast Television segment generates revenue primarily from the sale of advertising on our broadcast networks, owned local broadcast television stations and related digital media properties, from the licensing of our owned programming through various distribution platforms, including to cable and broadcast networks and to subscription video on demand services, and from fees received under retransmission consent agreements.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the shortfall is settled, primarily by providing additional advertising units. We record revenue from the licensing of our owned programming when the content is available for use by the licensee, and when certain other conditions are met. When license fees include advertising time, we recognize the component of revenue associated with the advertisements when they are aired or viewed.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from the licensing of our owned and acquired films through various distribution platforms, and from the sale of our owned and acquired films on standard-definition video discs and Blu-ray discs (together, “DVDs”) and electronically through digital distributors. Our Filmed Entertainment segment also generates revenue from producing and licensing live stage plays, from the distribution of filmed entertainment produced by third parties, and from a movie ticketing and entertainment business.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7"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Florida and Hollywood, California, as well as from licensing and other fees. We recognize revenue from advance theme park ticket sales when the tickets are used. For annual passes, we recognize revenue on a straight-line basis over the annual period following the initial activation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our cash equivalents approximate their fair values. Our cash equivalents consist primarily of money market funds and U.S. government obligations, as well as commercial paper and certificates of deposit with maturities of three months or less when purchased.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derivative financial instruments are recorded in our consolidated balance sheet at fair value. The impact of our derivative financial instruments on our consolidated financial statements was not material for all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2014, the Financial Accounting Standards Board (“FASB”) updated the accounting guidance related to discontinued operations. The updated accounting guidance provides a narrower definition of discontinued operations than existing GAAP. The updated accounting guidance requires that only disposals of components of an entity, or groups of components, that represent a strategic shift that has or will have a material effect on the reporting entity’s operations be reported in the financial statements as discontinued operations. The updated accounting guidance also provides guidance on the financial statement presentations and disclosures of discontinued operations. The updated accounting guidance will be effective prospectively for us on January 1, 2015.</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2014, the FASB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C6DFF"/>
        </w:rPr>
        <w:t>Redemption Transaction</w:t>
      </w:r>
    </w:p>
    <w:p>
      <w:pPr>
        <w:jc w:val="both"/>
        <w:spacing w:after="0" w:line="238" w:lineRule="auto"/>
        <w:rPr>
          <w:sz w:val="20"/>
          <w:szCs w:val="20"/>
          <w:color w:val="auto"/>
        </w:rPr>
      </w:pPr>
      <w:r>
        <w:rPr>
          <w:rFonts w:ascii="Arial" w:cs="Arial" w:eastAsia="Arial" w:hAnsi="Arial"/>
          <w:sz w:val="18"/>
          <w:szCs w:val="18"/>
          <w:color w:val="auto"/>
        </w:rPr>
        <w:t>On March 19, 2013, Comcast acquired GE’s 49% common equity interest in NBCUniversal Holdings that it did not already own for approximately $16.7 billion (the “redemption transaction”). In addition to the redemption transaction, we purchased from GE certain properties we occupy at 30 Rockefeller Plaza in New York City and CNBC’s headquarters in Englewood Cliffs, New Jersey for $1.4 billion.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 through Comcast’s commercial paper program; $1.25 billion of borrowings under NBCUniversal Enterprise’s credit facility, which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preferred units with a $9.4 billion aggregate liquidation preference. NBCUniversal Holdings is required to make quarterly payments to NBCUniversal Enterprise at an initial rate of 8.25% per annum on the $9.4 billion aggregate liquidation preference of the preferred units. On March 1, 2018, and thereafter on every fifth anniversary of such date, this rate will reset to 7.44% plus the yield on actively traded United States Treasury securities having a 5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and adjusted, in the case of an exercise of NBCUniversal Enterprise’s right, to the extent the equity value of NBCUniversal Holdings is less than the liquidation preference. Our cash flows are, and will continue to be, the primary source of funding for the required payments and for any future redemption of the NBCUniversal Holdings preferred units.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the licensing of our owned programming, and we incur expenses primarily related to various support services provided by Comcast to us.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as part of the Comcast cash management process, we and Comcast entered into a revolving credit agreement under which we can borrow up to $3 billion from Comcast and Comcast can borrow up to $3 billion from us. Amounts owed by us to Comcast under the revolving credit agreement, including accrued interest, are presented under the caption “note payable to Comcast” in our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December 31, 2014, the borrowing margin for London Interbank Offered Rate-based borrowings was 1.00%.</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Comcast is the counterparty to one of our contractual obligations. As of both December 31, 2014 and 2013, the carrying value of the liability associated with this contractual obligation was $383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transactions with Comcast and its consolidated subsidiaries that are included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Balance Sheet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9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1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$ 229</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20" w:type="dxa"/>
            <w:vAlign w:val="bottom"/>
          </w:tcPr>
          <w:p>
            <w:pPr>
              <w:ind w:left="220"/>
              <w:spacing w:after="0" w:line="181" w:lineRule="exact"/>
              <w:rPr>
                <w:sz w:val="20"/>
                <w:szCs w:val="20"/>
                <w:color w:val="auto"/>
              </w:rPr>
            </w:pPr>
            <w:r>
              <w:rPr>
                <w:rFonts w:ascii="Arial" w:cs="Arial" w:eastAsia="Arial" w:hAnsi="Arial"/>
                <w:sz w:val="18"/>
                <w:szCs w:val="18"/>
                <w:color w:val="auto"/>
              </w:rPr>
              <w:t>Receivables, net</w:t>
            </w:r>
          </w:p>
        </w:tc>
        <w:tc>
          <w:tcPr>
            <w:tcW w:w="1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0" w:type="dxa"/>
            <w:vAlign w:val="bottom"/>
            <w:gridSpan w:val="2"/>
          </w:tcPr>
          <w:p>
            <w:pPr>
              <w:jc w:val="right"/>
              <w:ind w:right="19"/>
              <w:spacing w:after="0" w:line="181" w:lineRule="exact"/>
              <w:rPr>
                <w:sz w:val="20"/>
                <w:szCs w:val="20"/>
                <w:color w:val="auto"/>
              </w:rPr>
            </w:pPr>
            <w:r>
              <w:rPr>
                <w:rFonts w:ascii="Arial" w:cs="Arial" w:eastAsia="Arial" w:hAnsi="Arial"/>
                <w:sz w:val="18"/>
                <w:szCs w:val="18"/>
                <w:color w:val="auto"/>
              </w:rPr>
              <w:t>$ 228</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0"/>
              <w:spacing w:after="0" w:line="202" w:lineRule="exact"/>
              <w:rPr>
                <w:sz w:val="20"/>
                <w:szCs w:val="20"/>
                <w:color w:val="auto"/>
              </w:rPr>
            </w:pPr>
            <w:r>
              <w:rPr>
                <w:rFonts w:ascii="Arial" w:cs="Arial" w:eastAsia="Arial" w:hAnsi="Arial"/>
                <w:sz w:val="18"/>
                <w:szCs w:val="18"/>
                <w:b w:val="1"/>
                <w:bCs w:val="1"/>
                <w:color w:val="auto"/>
              </w:rPr>
              <w:t>47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0"/>
              <w:spacing w:after="0" w:line="202" w:lineRule="exact"/>
              <w:rPr>
                <w:sz w:val="20"/>
                <w:szCs w:val="20"/>
                <w:color w:val="auto"/>
              </w:rPr>
            </w:pPr>
            <w:r>
              <w:rPr>
                <w:rFonts w:ascii="Arial" w:cs="Arial" w:eastAsia="Arial" w:hAnsi="Arial"/>
                <w:sz w:val="18"/>
                <w:szCs w:val="18"/>
                <w:b w:val="1"/>
                <w:bCs w:val="1"/>
                <w:color w:val="auto"/>
              </w:rPr>
              <w:t>8</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1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$ 865</w:t>
            </w:r>
          </w:p>
        </w:tc>
        <w:tc>
          <w:tcPr>
            <w:tcW w:w="8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$ 799</w:t>
            </w:r>
          </w:p>
        </w:tc>
        <w:tc>
          <w:tcPr>
            <w:tcW w:w="0" w:type="dxa"/>
            <w:vAlign w:val="bottom"/>
          </w:tcPr>
          <w:p>
            <w:pPr>
              <w:spacing w:after="0"/>
              <w:rPr>
                <w:sz w:val="1"/>
                <w:szCs w:val="1"/>
                <w:color w:val="auto"/>
              </w:rPr>
            </w:pPr>
          </w:p>
        </w:tc>
      </w:tr>
      <w:tr>
        <w:trPr>
          <w:trHeight w:val="221"/>
        </w:trPr>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1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$ 383</w:t>
            </w:r>
          </w:p>
        </w:tc>
        <w:tc>
          <w:tcPr>
            <w:tcW w:w="8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$ 383</w:t>
            </w:r>
          </w:p>
        </w:tc>
        <w:tc>
          <w:tcPr>
            <w:tcW w:w="0" w:type="dxa"/>
            <w:vAlign w:val="bottom"/>
          </w:tcPr>
          <w:p>
            <w:pPr>
              <w:spacing w:after="0"/>
              <w:rPr>
                <w:sz w:val="1"/>
                <w:szCs w:val="1"/>
                <w:color w:val="auto"/>
              </w:rPr>
            </w:pPr>
          </w:p>
        </w:tc>
      </w:tr>
      <w:tr>
        <w:trPr>
          <w:trHeight w:val="370"/>
        </w:trPr>
        <w:tc>
          <w:tcPr>
            <w:tcW w:w="7220" w:type="dxa"/>
            <w:vAlign w:val="bottom"/>
          </w:tcPr>
          <w:p>
            <w:pPr>
              <w:spacing w:after="0"/>
              <w:rPr>
                <w:sz w:val="20"/>
                <w:szCs w:val="20"/>
                <w:color w:val="auto"/>
              </w:rPr>
            </w:pPr>
            <w:r>
              <w:rPr>
                <w:rFonts w:ascii="Arial" w:cs="Arial" w:eastAsia="Arial" w:hAnsi="Arial"/>
                <w:sz w:val="18"/>
                <w:szCs w:val="18"/>
                <w:color w:val="0C6DFF"/>
              </w:rPr>
              <w:t>Consolidated Statement of Income</w:t>
            </w: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7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1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w w:val="89"/>
              </w:rPr>
              <w:t>2013</w:t>
            </w: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722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ind w:right="57"/>
              <w:spacing w:after="0"/>
              <w:rPr>
                <w:sz w:val="20"/>
                <w:szCs w:val="20"/>
                <w:color w:val="auto"/>
              </w:rPr>
            </w:pPr>
            <w:r>
              <w:rPr>
                <w:rFonts w:ascii="Arial" w:cs="Arial" w:eastAsia="Arial" w:hAnsi="Arial"/>
                <w:sz w:val="18"/>
                <w:szCs w:val="18"/>
                <w:b w:val="1"/>
                <w:bCs w:val="1"/>
                <w:color w:val="auto"/>
              </w:rPr>
              <w:t>1,315</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220" w:type="dxa"/>
            <w:vAlign w:val="bottom"/>
          </w:tcPr>
          <w:p>
            <w:pPr>
              <w:ind w:left="220"/>
              <w:spacing w:after="0" w:line="181" w:lineRule="exact"/>
              <w:rPr>
                <w:sz w:val="20"/>
                <w:szCs w:val="20"/>
                <w:color w:val="auto"/>
              </w:rPr>
            </w:pPr>
            <w:r>
              <w:rPr>
                <w:rFonts w:ascii="Arial" w:cs="Arial" w:eastAsia="Arial" w:hAnsi="Arial"/>
                <w:sz w:val="18"/>
                <w:szCs w:val="18"/>
                <w:color w:val="auto"/>
              </w:rPr>
              <w:t>Revenue</w:t>
            </w:r>
          </w:p>
        </w:tc>
        <w:tc>
          <w:tcPr>
            <w:tcW w:w="19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gridSpan w:val="2"/>
          </w:tcPr>
          <w:p>
            <w:pPr>
              <w:jc w:val="right"/>
              <w:ind w:right="60"/>
              <w:spacing w:after="0" w:line="181" w:lineRule="exact"/>
              <w:rPr>
                <w:sz w:val="20"/>
                <w:szCs w:val="20"/>
                <w:color w:val="auto"/>
              </w:rPr>
            </w:pPr>
            <w:r>
              <w:rPr>
                <w:rFonts w:ascii="Arial" w:cs="Arial" w:eastAsia="Arial" w:hAnsi="Arial"/>
                <w:sz w:val="18"/>
                <w:szCs w:val="18"/>
                <w:color w:val="auto"/>
              </w:rPr>
              <w:t>$ 1,262</w:t>
            </w:r>
          </w:p>
        </w:tc>
        <w:tc>
          <w:tcPr>
            <w:tcW w:w="800" w:type="dxa"/>
            <w:vAlign w:val="bottom"/>
            <w:gridSpan w:val="2"/>
          </w:tcPr>
          <w:p>
            <w:pPr>
              <w:jc w:val="right"/>
              <w:ind w:right="19"/>
              <w:spacing w:after="0" w:line="181" w:lineRule="exact"/>
              <w:rPr>
                <w:sz w:val="20"/>
                <w:szCs w:val="20"/>
                <w:color w:val="auto"/>
              </w:rPr>
            </w:pPr>
            <w:r>
              <w:rPr>
                <w:rFonts w:ascii="Arial" w:cs="Arial" w:eastAsia="Arial" w:hAnsi="Arial"/>
                <w:sz w:val="18"/>
                <w:szCs w:val="18"/>
                <w:color w:val="auto"/>
              </w:rPr>
              <w:t>$ 1,228</w:t>
            </w:r>
          </w:p>
        </w:tc>
        <w:tc>
          <w:tcPr>
            <w:tcW w:w="0" w:type="dxa"/>
            <w:vAlign w:val="bottom"/>
          </w:tcPr>
          <w:p>
            <w:pPr>
              <w:spacing w:after="0"/>
              <w:rPr>
                <w:sz w:val="1"/>
                <w:szCs w:val="1"/>
                <w:color w:val="auto"/>
              </w:rPr>
            </w:pPr>
          </w:p>
        </w:tc>
      </w:tr>
      <w:tr>
        <w:trPr>
          <w:trHeight w:val="203"/>
        </w:trPr>
        <w:tc>
          <w:tcPr>
            <w:tcW w:w="7220" w:type="dxa"/>
            <w:vAlign w:val="bottom"/>
          </w:tcPr>
          <w:p>
            <w:pPr>
              <w:ind w:left="220"/>
              <w:spacing w:after="0" w:line="202" w:lineRule="exact"/>
              <w:rPr>
                <w:sz w:val="20"/>
                <w:szCs w:val="20"/>
                <w:color w:val="auto"/>
              </w:rPr>
            </w:pPr>
            <w:r>
              <w:rPr>
                <w:rFonts w:ascii="Arial" w:cs="Arial" w:eastAsia="Arial" w:hAnsi="Arial"/>
                <w:sz w:val="18"/>
                <w:szCs w:val="18"/>
                <w:color w:val="auto"/>
              </w:rPr>
              <w:t>Operating costs and expenses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(190)</w:t>
            </w:r>
          </w:p>
        </w:tc>
        <w:tc>
          <w:tcPr>
            <w:tcW w:w="3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5"/>
              </w:rPr>
              <w:t>(175)</w:t>
            </w:r>
          </w:p>
        </w:tc>
        <w:tc>
          <w:tcPr>
            <w:tcW w:w="0" w:type="dxa"/>
            <w:vAlign w:val="bottom"/>
          </w:tcPr>
          <w:p>
            <w:pPr>
              <w:spacing w:after="0"/>
              <w:rPr>
                <w:sz w:val="1"/>
                <w:szCs w:val="1"/>
                <w:color w:val="auto"/>
              </w:rPr>
            </w:pPr>
          </w:p>
        </w:tc>
      </w:tr>
      <w:tr>
        <w:trPr>
          <w:trHeight w:val="221"/>
        </w:trPr>
        <w:tc>
          <w:tcPr>
            <w:tcW w:w="7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(expense)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3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transactions presented in the table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its preferred units. These distributions are presented under the caption “distributions to member” in our consolidated statement of cash flows. Following the close of the redemption transaction, none of these distributions to NBCUniversal Holdings are attributable to GE.</w:t>
      </w:r>
    </w:p>
    <w:p>
      <w:pPr>
        <w:spacing w:after="0" w:line="326"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159</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connection with the redemption transaction, we also made a distribution of $3.2 billion to NBCUniversal Holdings to fund a portion of the redemption transaction. This distribution is presented separately in our consolidated statement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Following the close of the redemption transaction and the subsequent sale of NBCUniversal Enterprise’s preferred stock and senior notes by GE to unaffiliated third parties in March 2013, we no longer consider GE to be a related party.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2013, Comcast closed an agreement with GE, General Electric Capital Corporation (“GECC”) and LIN TV under which, among other things, we purchased a note held by Station Venture Holdings, LLC (“Station Venture”) from GECC for $602 million, which effectively settled a liability of $482 million that had been recorded in the allocation of purchase price associated with Comcast’s acquisition of a controlling interest in NBCUniversal Holdings in 2011 (the “joint venture transaction”). Due to the related party nature of this transaction, the excess of the purchase price of the Station Venture note over the recorded amount of the liability was recorded to member’s capital. Other than the Station Venture transaction and dividend payments to GE that are included in our consolidated statement of changes in equity and our consolidated statement of cash flows, the amounts related to our transactions with GE and its consolidated subsidiaries that occurred prior to the close of the redemption transaction were not material.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660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$ 1,371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$ 1,630</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9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1,189</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6"/>
        </w:trPr>
        <w:tc>
          <w:tcPr>
            <w:tcW w:w="660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940" w:type="dxa"/>
            <w:vAlign w:val="bottom"/>
          </w:tcPr>
          <w:p>
            <w:pPr>
              <w:jc w:val="right"/>
              <w:ind w:right="54"/>
              <w:spacing w:after="0"/>
              <w:rPr>
                <w:sz w:val="20"/>
                <w:szCs w:val="20"/>
                <w:color w:val="auto"/>
              </w:rPr>
            </w:pPr>
            <w:r>
              <w:rPr>
                <w:rFonts w:ascii="Arial" w:cs="Arial" w:eastAsia="Arial" w:hAnsi="Arial"/>
                <w:sz w:val="18"/>
                <w:szCs w:val="18"/>
                <w:b w:val="1"/>
                <w:bCs w:val="1"/>
                <w:color w:val="auto"/>
              </w:rPr>
              <w:t>2,631</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175"/>
        </w:trPr>
        <w:tc>
          <w:tcPr>
            <w:tcW w:w="6600" w:type="dxa"/>
            <w:vAlign w:val="bottom"/>
            <w:vMerge w:val="continue"/>
          </w:tcPr>
          <w:p>
            <w:pPr>
              <w:spacing w:after="0"/>
              <w:rPr>
                <w:sz w:val="15"/>
                <w:szCs w:val="15"/>
                <w:color w:val="auto"/>
              </w:rPr>
            </w:pPr>
          </w:p>
        </w:tc>
        <w:tc>
          <w:tcPr>
            <w:tcW w:w="39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1,273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40" w:type="dxa"/>
            <w:vAlign w:val="bottom"/>
            <w:vMerge w:val="continue"/>
          </w:tcPr>
          <w:p>
            <w:pPr>
              <w:spacing w:after="0"/>
              <w:rPr>
                <w:sz w:val="15"/>
                <w:szCs w:val="15"/>
                <w:color w:val="auto"/>
              </w:rPr>
            </w:pPr>
          </w:p>
        </w:tc>
        <w:tc>
          <w:tcPr>
            <w:tcW w:w="8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505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1,778</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2,130</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77"/>
        </w:trPr>
        <w:tc>
          <w:tcPr>
            <w:tcW w:w="6600" w:type="dxa"/>
            <w:vAlign w:val="bottom"/>
          </w:tcPr>
          <w:p>
            <w:pPr>
              <w:spacing w:after="0"/>
              <w:rPr>
                <w:sz w:val="15"/>
                <w:szCs w:val="15"/>
                <w:color w:val="auto"/>
              </w:rPr>
            </w:pPr>
          </w:p>
        </w:tc>
        <w:tc>
          <w:tcPr>
            <w:tcW w:w="394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6,539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825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Film and television costs</w:t>
            </w:r>
          </w:p>
        </w:tc>
        <w:tc>
          <w:tcPr>
            <w:tcW w:w="39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$ 5,714</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$ 4,983</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our estimates of the ratio of the current period’s actual revenue to the estimated total remaining gross revenue from all sources (“ultimate revenue”), as of December 31, 2014, approximately $1.3 billion of film and television costs associated with our original film and television productions that have been released, or completed and not yet released, are expected to be amortized during 2015. Approximately 86% of unamortized film and television costs for our released productions, excluding amounts allocated to acquired libraries, are expected to be amortized through 2017.</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acquired film and television libraries, which are included within the “released, less amortization” captions in the table above, had remaining unamortized costs of $570 million. These costs are generally amortized over a period not to exceed 20 years, and approximately 51% of these costs are expected to be amortized through 2017.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individual film forecast computation method, which amortizes such costs in the same ratio as the associated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a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cofinancing arrangements with third parties to jointly finance or distribute certain of our film productions. Cofinancing arrangements can take various forms, but in most cases involve the grant of an economic interest in a film to an investor. The number of investors and the terms of these arrangements can vary, although investors generally assume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a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 revenue to the estimated total remaining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 cash flows are insufficient or if there is no plan to broadcast certain programming, we recognize an impairment charge to programming and production expense.</w:t>
      </w:r>
    </w:p>
    <w:p>
      <w:pPr>
        <w:spacing w:after="0" w:line="327"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161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9"/>
        </w:trPr>
        <w:tc>
          <w:tcPr>
            <w:tcW w:w="600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42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95"/>
              <w:spacing w:after="0" w:line="200" w:lineRule="exact"/>
              <w:rPr>
                <w:sz w:val="20"/>
                <w:szCs w:val="20"/>
                <w:color w:val="auto"/>
              </w:rPr>
            </w:pPr>
            <w:r>
              <w:rPr>
                <w:rFonts w:ascii="Arial" w:cs="Arial" w:eastAsia="Arial" w:hAnsi="Arial"/>
                <w:sz w:val="18"/>
                <w:szCs w:val="18"/>
                <w:b w:val="1"/>
                <w:bCs w:val="1"/>
                <w:color w:val="auto"/>
              </w:rPr>
              <w:t>10</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4200" w:type="dxa"/>
            <w:vAlign w:val="bottom"/>
          </w:tcPr>
          <w:p>
            <w:pPr>
              <w:spacing w:after="0"/>
              <w:rPr>
                <w:sz w:val="17"/>
                <w:szCs w:val="1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w w:val="99"/>
              </w:rPr>
              <w:t>335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0" w:type="dxa"/>
            <w:vAlign w:val="bottom"/>
          </w:tcPr>
          <w:p>
            <w:pPr>
              <w:ind w:left="220"/>
              <w:spacing w:after="0" w:line="181" w:lineRule="exact"/>
              <w:rPr>
                <w:sz w:val="20"/>
                <w:szCs w:val="20"/>
                <w:color w:val="auto"/>
              </w:rPr>
            </w:pPr>
            <w:r>
              <w:rPr>
                <w:rFonts w:ascii="Arial" w:cs="Arial" w:eastAsia="Arial" w:hAnsi="Arial"/>
                <w:sz w:val="18"/>
                <w:szCs w:val="18"/>
                <w:color w:val="auto"/>
              </w:rPr>
              <w:t>The Weather Channel</w:t>
            </w:r>
          </w:p>
        </w:tc>
        <w:tc>
          <w:tcPr>
            <w:tcW w:w="42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ind w:right="15"/>
              <w:spacing w:after="0" w:line="181"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4200" w:type="dxa"/>
            <w:vAlign w:val="bottom"/>
          </w:tcPr>
          <w:p>
            <w:pPr>
              <w:spacing w:after="0"/>
              <w:rPr>
                <w:sz w:val="17"/>
                <w:szCs w:val="17"/>
                <w:color w:val="auto"/>
              </w:rPr>
            </w:pPr>
          </w:p>
        </w:tc>
        <w:tc>
          <w:tcPr>
            <w:tcW w:w="50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w w:val="99"/>
              </w:rPr>
              <w:t>167</w:t>
            </w:r>
          </w:p>
        </w:tc>
        <w:tc>
          <w:tcPr>
            <w:tcW w:w="280" w:type="dxa"/>
            <w:vAlign w:val="bottom"/>
          </w:tcPr>
          <w:p>
            <w:pPr>
              <w:spacing w:after="0"/>
              <w:rPr>
                <w:sz w:val="17"/>
                <w:szCs w:val="17"/>
                <w:color w:val="auto"/>
              </w:rPr>
            </w:pPr>
          </w:p>
        </w:tc>
        <w:tc>
          <w:tcPr>
            <w:tcW w:w="4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w w:val="99"/>
              </w:rPr>
              <w:t>338</w:t>
            </w: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77"/>
        </w:trPr>
        <w:tc>
          <w:tcPr>
            <w:tcW w:w="60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500" w:type="dxa"/>
            <w:vAlign w:val="bottom"/>
          </w:tcPr>
          <w:p>
            <w:pPr>
              <w:jc w:val="right"/>
              <w:ind w:right="95"/>
              <w:spacing w:after="0" w:line="177" w:lineRule="exact"/>
              <w:rPr>
                <w:sz w:val="20"/>
                <w:szCs w:val="20"/>
                <w:color w:val="auto"/>
              </w:rPr>
            </w:pPr>
            <w:r>
              <w:rPr>
                <w:rFonts w:ascii="Arial" w:cs="Arial" w:eastAsia="Arial" w:hAnsi="Arial"/>
                <w:sz w:val="18"/>
                <w:szCs w:val="18"/>
                <w:b w:val="1"/>
                <w:bCs w:val="1"/>
                <w:color w:val="auto"/>
                <w:w w:val="99"/>
              </w:rPr>
              <w:t>840</w:t>
            </w:r>
          </w:p>
        </w:tc>
        <w:tc>
          <w:tcPr>
            <w:tcW w:w="280" w:type="dxa"/>
            <w:vAlign w:val="bottom"/>
          </w:tcPr>
          <w:p>
            <w:pPr>
              <w:spacing w:after="0"/>
              <w:rPr>
                <w:sz w:val="15"/>
                <w:szCs w:val="15"/>
                <w:color w:val="auto"/>
              </w:rPr>
            </w:pPr>
          </w:p>
        </w:tc>
        <w:tc>
          <w:tcPr>
            <w:tcW w:w="440" w:type="dxa"/>
            <w:vAlign w:val="bottom"/>
          </w:tcPr>
          <w:p>
            <w:pPr>
              <w:jc w:val="right"/>
              <w:ind w:right="15"/>
              <w:spacing w:after="0" w:line="177" w:lineRule="exact"/>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1"/>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4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investments</w:t>
            </w:r>
          </w:p>
        </w:tc>
        <w:tc>
          <w:tcPr>
            <w:tcW w:w="4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0C6DFF"/>
            </w:tcBorders>
          </w:tcPr>
          <w:p>
            <w:pPr>
              <w:jc w:val="right"/>
              <w:ind w:right="95"/>
              <w:spacing w:after="0" w:line="196" w:lineRule="exact"/>
              <w:rPr>
                <w:sz w:val="20"/>
                <w:szCs w:val="20"/>
                <w:color w:val="auto"/>
              </w:rPr>
            </w:pPr>
            <w:r>
              <w:rPr>
                <w:rFonts w:ascii="Arial" w:cs="Arial" w:eastAsia="Arial" w:hAnsi="Arial"/>
                <w:sz w:val="18"/>
                <w:szCs w:val="18"/>
                <w:b w:val="1"/>
                <w:bCs w:val="1"/>
                <w:color w:val="auto"/>
                <w:w w:val="99"/>
              </w:rPr>
              <w:t>882</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where we hold significant partnership or LLC interests. Equity method investments are recorded at cost and are adjusted to recognize (1) our proportionate share of the investee’s net income or loss after the date of investment, (2) amortization of the recorded investment that exceeds our share of the book value of the investee’s net assets, (3) additional contributions made and dividends received, and</w:t>
      </w:r>
    </w:p>
    <w:p>
      <w:pPr>
        <w:spacing w:after="0" w:line="1" w:lineRule="exact"/>
        <w:rPr>
          <w:sz w:val="20"/>
          <w:szCs w:val="20"/>
          <w:color w:val="auto"/>
        </w:rPr>
      </w:pPr>
    </w:p>
    <w:p>
      <w:pPr>
        <w:jc w:val="both"/>
        <w:ind w:firstLine="8"/>
        <w:spacing w:after="0" w:line="238" w:lineRule="auto"/>
        <w:tabs>
          <w:tab w:leader="none" w:pos="2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8" w:lineRule="auto"/>
        <w:rPr>
          <w:sz w:val="20"/>
          <w:szCs w:val="20"/>
          <w:color w:val="auto"/>
        </w:rPr>
      </w:pPr>
      <w:r>
        <w:rPr>
          <w:rFonts w:ascii="Arial" w:cs="Arial" w:eastAsia="Arial" w:hAnsi="Arial"/>
          <w:sz w:val="18"/>
          <w:szCs w:val="18"/>
          <w:color w:val="auto"/>
        </w:rPr>
        <w:t>In June 2013, we received a distribution from The Weather Channel Holding Corp. (“The Weather Channel”) of $152 million, of which $128 million was recorded as a return of our investment in The Weather Channel and included under the caption “return of capital from investees” in our consolidated statement of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July 2013, we entered into an agreement to provide capital contributions totaling $247 million to Hulu, LLC (“Hulu”), which we had previously accounted for as a cost method investment. This represented an agreement to provide our first capital contribution to Hulu since Comcast acquired its interest in Hulu as part of the joint venture transaction; therefore, we began to apply the equity method of accounting for this investment. The change in the method of accounting for this investment required us to recognize our proportionate share of Hulu’s accumulated losses from the date of the joint venture transaction through July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available-for-sale securities and cost method investments, we record the impairment to investment income (loss), net. For our equity method investments, we record the impair-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ment to other income (expense), net. During 2013, we recorded $249 million of impairment charges to our equity method investments, which primarily related to a regional sports cable network based in Houston, Texas.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4380" w:type="dxa"/>
            <w:vAlign w:val="bottom"/>
          </w:tcPr>
          <w:p>
            <w:pPr>
              <w:jc w:val="right"/>
              <w:ind w:right="240"/>
              <w:spacing w:after="0"/>
              <w:rPr>
                <w:sz w:val="20"/>
                <w:szCs w:val="20"/>
                <w:color w:val="auto"/>
              </w:rPr>
            </w:pPr>
            <w:r>
              <w:rPr>
                <w:rFonts w:ascii="Arial" w:cs="Arial" w:eastAsia="Arial" w:hAnsi="Arial"/>
                <w:sz w:val="14"/>
                <w:szCs w:val="14"/>
                <w:color w:val="auto"/>
              </w:rPr>
              <w:t>Weighted-Average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4380" w:type="dxa"/>
            <w:vAlign w:val="bottom"/>
          </w:tcPr>
          <w:p>
            <w:pPr>
              <w:jc w:val="right"/>
              <w:ind w:right="240"/>
              <w:spacing w:after="0" w:line="149" w:lineRule="exact"/>
              <w:rPr>
                <w:sz w:val="20"/>
                <w:szCs w:val="20"/>
                <w:color w:val="auto"/>
              </w:rPr>
            </w:pPr>
            <w:r>
              <w:rPr>
                <w:rFonts w:ascii="Arial" w:cs="Arial" w:eastAsia="Arial" w:hAnsi="Arial"/>
                <w:sz w:val="14"/>
                <w:szCs w:val="14"/>
                <w:color w:val="auto"/>
              </w:rPr>
              <w:t>Original Useful Life</w:t>
            </w:r>
          </w:p>
        </w:tc>
        <w:tc>
          <w:tcPr>
            <w:tcW w:w="6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3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as of December 31, 2014</w:t>
            </w:r>
          </w:p>
        </w:tc>
        <w:tc>
          <w:tcPr>
            <w:tcW w:w="6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color w:val="auto"/>
              </w:rPr>
              <w:t>Buildings and leasehold improvements</w:t>
            </w:r>
          </w:p>
        </w:tc>
        <w:tc>
          <w:tcPr>
            <w:tcW w:w="4380" w:type="dxa"/>
            <w:vAlign w:val="bottom"/>
          </w:tcPr>
          <w:p>
            <w:pPr>
              <w:jc w:val="right"/>
              <w:spacing w:after="0" w:line="177" w:lineRule="exact"/>
              <w:rPr>
                <w:sz w:val="20"/>
                <w:szCs w:val="20"/>
                <w:color w:val="auto"/>
              </w:rPr>
            </w:pPr>
            <w:r>
              <w:rPr>
                <w:rFonts w:ascii="Arial" w:cs="Arial" w:eastAsia="Arial" w:hAnsi="Arial"/>
                <w:sz w:val="18"/>
                <w:szCs w:val="18"/>
                <w:color w:val="auto"/>
              </w:rPr>
              <w:t xml:space="preserve">21 years  </w:t>
            </w:r>
            <w:r>
              <w:rPr>
                <w:rFonts w:ascii="Arial" w:cs="Arial" w:eastAsia="Arial" w:hAnsi="Arial"/>
                <w:sz w:val="18"/>
                <w:szCs w:val="18"/>
                <w:b w:val="1"/>
                <w:bCs w:val="1"/>
                <w:color w:val="auto"/>
              </w:rPr>
              <w:t>$</w:t>
            </w:r>
          </w:p>
        </w:tc>
        <w:tc>
          <w:tcPr>
            <w:tcW w:w="66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rPr>
              <w:t>5,780</w:t>
            </w:r>
          </w:p>
        </w:tc>
        <w:tc>
          <w:tcPr>
            <w:tcW w:w="8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$ 5,239</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438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7 years</w:t>
            </w: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2,930</w:t>
            </w: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438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775</w:t>
            </w:r>
          </w:p>
        </w:tc>
        <w:tc>
          <w:tcPr>
            <w:tcW w:w="8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380" w:type="dxa"/>
            <w:vAlign w:val="bottom"/>
            <w:tcBorders>
              <w:bottom w:val="single" w:sz="8" w:color="auto"/>
            </w:tcBorders>
          </w:tcPr>
          <w:p>
            <w:pPr>
              <w:jc w:val="right"/>
              <w:ind w:right="240"/>
              <w:spacing w:after="0"/>
              <w:rPr>
                <w:sz w:val="20"/>
                <w:szCs w:val="20"/>
                <w:color w:val="auto"/>
              </w:rPr>
            </w:pPr>
            <w:r>
              <w:rPr>
                <w:rFonts w:ascii="Arial" w:cs="Arial" w:eastAsia="Arial" w:hAnsi="Arial"/>
                <w:sz w:val="18"/>
                <w:szCs w:val="18"/>
                <w:color w:val="auto"/>
              </w:rPr>
              <w:t>N/A</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820</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77"/>
        </w:trPr>
        <w:tc>
          <w:tcPr>
            <w:tcW w:w="556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380" w:type="dxa"/>
            <w:vAlign w:val="bottom"/>
          </w:tcPr>
          <w:p>
            <w:pPr>
              <w:spacing w:after="0"/>
              <w:rPr>
                <w:sz w:val="15"/>
                <w:szCs w:val="15"/>
                <w:color w:val="auto"/>
              </w:rPr>
            </w:pPr>
          </w:p>
        </w:tc>
        <w:tc>
          <w:tcPr>
            <w:tcW w:w="66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w w:val="94"/>
              </w:rPr>
              <w:t>10,305</w:t>
            </w:r>
          </w:p>
        </w:tc>
        <w:tc>
          <w:tcPr>
            <w:tcW w:w="8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2,167</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3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8,138</w:t>
            </w:r>
          </w:p>
        </w:tc>
        <w:tc>
          <w:tcPr>
            <w:tcW w:w="8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$ 7,650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Real Estate Properties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Real estate acquisitions in 2013 included our purchase from GE of certain properties we occupy at 30 Rockefeller Plaza in New York City and CNBC’s headquarters in Englewood Cliffs, New Jersey. The CNBC property was previously recorded as a capital lease in our consolidated balance sheet. Other purchases in 2013 included our acquisition of a business whose primary asset is a property located at 10 Universal City Plaza, which is adjacent to our Universal theme park in Hollywood, California. These purchases resulted in increases in 2013 of $1.7 billion in property and equipment, which are included, as applicable, within the captions “buildings and leasehold improvements” and “land” in the table above.</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163</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220" w:type="dxa"/>
            <w:vAlign w:val="bottom"/>
          </w:tcPr>
          <w:p>
            <w:pPr>
              <w:jc w:val="right"/>
              <w:ind w:right="57"/>
              <w:spacing w:after="0"/>
              <w:rPr>
                <w:sz w:val="20"/>
                <w:szCs w:val="20"/>
                <w:color w:val="auto"/>
              </w:rPr>
            </w:pPr>
            <w:r>
              <w:rPr>
                <w:rFonts w:ascii="Arial" w:cs="Arial" w:eastAsia="Arial" w:hAnsi="Arial"/>
                <w:sz w:val="14"/>
                <w:szCs w:val="14"/>
                <w:color w:val="auto"/>
              </w:rPr>
              <w:t>Cable</w:t>
            </w: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Broadcast</w:t>
            </w:r>
          </w:p>
        </w:tc>
        <w:tc>
          <w:tcPr>
            <w:tcW w:w="36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Filmed</w:t>
            </w:r>
          </w:p>
        </w:tc>
        <w:tc>
          <w:tcPr>
            <w:tcW w:w="680" w:type="dxa"/>
            <w:vAlign w:val="bottom"/>
          </w:tcPr>
          <w:p>
            <w:pPr>
              <w:jc w:val="right"/>
              <w:ind w:right="17"/>
              <w:spacing w:after="0"/>
              <w:rPr>
                <w:sz w:val="20"/>
                <w:szCs w:val="20"/>
                <w:color w:val="auto"/>
              </w:rPr>
            </w:pPr>
            <w:r>
              <w:rPr>
                <w:rFonts w:ascii="Arial" w:cs="Arial" w:eastAsia="Arial" w:hAnsi="Arial"/>
                <w:sz w:val="14"/>
                <w:szCs w:val="14"/>
                <w:color w:val="auto"/>
              </w:rPr>
              <w:t>Theme</w:t>
            </w:r>
          </w:p>
        </w:tc>
        <w:tc>
          <w:tcPr>
            <w:tcW w:w="920" w:type="dxa"/>
            <w:vAlign w:val="bottom"/>
          </w:tcPr>
          <w:p>
            <w:pPr>
              <w:spacing w:after="0"/>
              <w:rPr>
                <w:sz w:val="14"/>
                <w:szCs w:val="14"/>
                <w:color w:val="auto"/>
              </w:rPr>
            </w:pPr>
          </w:p>
        </w:tc>
      </w:tr>
      <w:tr>
        <w:trPr>
          <w:trHeight w:val="149"/>
        </w:trPr>
        <w:tc>
          <w:tcPr>
            <w:tcW w:w="4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220" w:type="dxa"/>
            <w:vAlign w:val="bottom"/>
            <w:tcBorders>
              <w:bottom w:val="single" w:sz="8" w:color="auto"/>
            </w:tcBorders>
          </w:tcPr>
          <w:p>
            <w:pPr>
              <w:jc w:val="right"/>
              <w:ind w:right="57"/>
              <w:spacing w:after="0" w:line="149" w:lineRule="exact"/>
              <w:rPr>
                <w:sz w:val="20"/>
                <w:szCs w:val="20"/>
                <w:color w:val="auto"/>
              </w:rPr>
            </w:pPr>
            <w:r>
              <w:rPr>
                <w:rFonts w:ascii="Arial" w:cs="Arial" w:eastAsia="Arial" w:hAnsi="Arial"/>
                <w:sz w:val="14"/>
                <w:szCs w:val="14"/>
                <w:color w:val="auto"/>
              </w:rPr>
              <w:t>Networks</w:t>
            </w:r>
          </w:p>
        </w:tc>
        <w:tc>
          <w:tcPr>
            <w:tcW w:w="82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Entertainment</w:t>
            </w:r>
          </w:p>
        </w:tc>
        <w:tc>
          <w:tcPr>
            <w:tcW w:w="680" w:type="dxa"/>
            <w:vAlign w:val="bottom"/>
            <w:tcBorders>
              <w:bottom w:val="single" w:sz="8" w:color="auto"/>
            </w:tcBorders>
          </w:tcPr>
          <w:p>
            <w:pPr>
              <w:jc w:val="right"/>
              <w:ind w:right="17"/>
              <w:spacing w:after="0" w:line="149" w:lineRule="exact"/>
              <w:rPr>
                <w:sz w:val="20"/>
                <w:szCs w:val="20"/>
                <w:color w:val="auto"/>
              </w:rPr>
            </w:pPr>
            <w:r>
              <w:rPr>
                <w:rFonts w:ascii="Arial" w:cs="Arial" w:eastAsia="Arial" w:hAnsi="Arial"/>
                <w:sz w:val="14"/>
                <w:szCs w:val="14"/>
                <w:color w:val="auto"/>
              </w:rPr>
              <w:t>Parks</w:t>
            </w:r>
          </w:p>
        </w:tc>
        <w:tc>
          <w:tcPr>
            <w:tcW w:w="92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74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3220" w:type="dxa"/>
            <w:vAlign w:val="bottom"/>
          </w:tcPr>
          <w:p>
            <w:pPr>
              <w:jc w:val="right"/>
              <w:ind w:right="57"/>
              <w:spacing w:after="0" w:line="200" w:lineRule="exact"/>
              <w:rPr>
                <w:sz w:val="20"/>
                <w:szCs w:val="20"/>
                <w:color w:val="auto"/>
              </w:rPr>
            </w:pPr>
            <w:r>
              <w:rPr>
                <w:rFonts w:ascii="Arial" w:cs="Arial" w:eastAsia="Arial" w:hAnsi="Arial"/>
                <w:sz w:val="18"/>
                <w:szCs w:val="18"/>
                <w:color w:val="auto"/>
              </w:rPr>
              <w:t>$ 13,026</w:t>
            </w:r>
          </w:p>
        </w:tc>
        <w:tc>
          <w:tcPr>
            <w:tcW w:w="28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761</w:t>
            </w:r>
          </w:p>
        </w:tc>
        <w:tc>
          <w:tcPr>
            <w:tcW w:w="3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w:t>
            </w:r>
          </w:p>
        </w:tc>
        <w:tc>
          <w:tcPr>
            <w:tcW w:w="6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$ 982</w:t>
            </w:r>
          </w:p>
        </w:tc>
        <w:tc>
          <w:tcPr>
            <w:tcW w:w="920" w:type="dxa"/>
            <w:vAlign w:val="bottom"/>
          </w:tcPr>
          <w:p>
            <w:pPr>
              <w:jc w:val="right"/>
              <w:ind w:right="15"/>
              <w:spacing w:after="0" w:line="200" w:lineRule="exact"/>
              <w:rPr>
                <w:sz w:val="20"/>
                <w:szCs w:val="20"/>
                <w:color w:val="auto"/>
              </w:rPr>
            </w:pPr>
            <w:r>
              <w:rPr>
                <w:rFonts w:ascii="Arial" w:cs="Arial" w:eastAsia="Arial" w:hAnsi="Arial"/>
                <w:sz w:val="18"/>
                <w:szCs w:val="18"/>
                <w:color w:val="auto"/>
              </w:rPr>
              <w:t>$ 14,770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2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36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42</w:t>
            </w:r>
          </w:p>
        </w:tc>
      </w:tr>
      <w:tr>
        <w:trPr>
          <w:trHeight w:val="199"/>
        </w:trPr>
        <w:tc>
          <w:tcPr>
            <w:tcW w:w="47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p>
        </w:tc>
        <w:tc>
          <w:tcPr>
            <w:tcW w:w="322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65</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70</w:t>
            </w:r>
          </w:p>
        </w:tc>
      </w:tr>
      <w:tr>
        <w:trPr>
          <w:trHeight w:val="177"/>
        </w:trPr>
        <w:tc>
          <w:tcPr>
            <w:tcW w:w="4740" w:type="dxa"/>
            <w:vAlign w:val="bottom"/>
          </w:tcPr>
          <w:p>
            <w:pPr>
              <w:spacing w:after="0" w:line="177" w:lineRule="exact"/>
              <w:rPr>
                <w:sz w:val="20"/>
                <w:szCs w:val="20"/>
                <w:color w:val="auto"/>
              </w:rPr>
            </w:pPr>
            <w:r>
              <w:rPr>
                <w:rFonts w:ascii="Arial" w:cs="Arial" w:eastAsia="Arial" w:hAnsi="Arial"/>
                <w:sz w:val="18"/>
                <w:szCs w:val="18"/>
                <w:color w:val="auto"/>
              </w:rPr>
              <w:t>Balance, December 31, 2013</w:t>
            </w:r>
          </w:p>
        </w:tc>
        <w:tc>
          <w:tcPr>
            <w:tcW w:w="3220" w:type="dxa"/>
            <w:vAlign w:val="bottom"/>
          </w:tcPr>
          <w:p>
            <w:pPr>
              <w:jc w:val="right"/>
              <w:ind w:right="57"/>
              <w:spacing w:after="0" w:line="177" w:lineRule="exact"/>
              <w:rPr>
                <w:sz w:val="20"/>
                <w:szCs w:val="20"/>
                <w:color w:val="auto"/>
              </w:rPr>
            </w:pPr>
            <w:r>
              <w:rPr>
                <w:rFonts w:ascii="Arial" w:cs="Arial" w:eastAsia="Arial" w:hAnsi="Arial"/>
                <w:sz w:val="18"/>
                <w:szCs w:val="18"/>
                <w:color w:val="auto"/>
              </w:rPr>
              <w:t>13,130</w:t>
            </w:r>
          </w:p>
        </w:tc>
        <w:tc>
          <w:tcPr>
            <w:tcW w:w="280" w:type="dxa"/>
            <w:vAlign w:val="bottom"/>
          </w:tcPr>
          <w:p>
            <w:pPr>
              <w:spacing w:after="0"/>
              <w:rPr>
                <w:sz w:val="15"/>
                <w:szCs w:val="15"/>
                <w:color w:val="auto"/>
              </w:rPr>
            </w:pPr>
          </w:p>
        </w:tc>
        <w:tc>
          <w:tcPr>
            <w:tcW w:w="540" w:type="dxa"/>
            <w:vAlign w:val="bottom"/>
          </w:tcPr>
          <w:p>
            <w:pPr>
              <w:jc w:val="right"/>
              <w:ind w:right="32"/>
              <w:spacing w:after="0" w:line="177" w:lineRule="exact"/>
              <w:rPr>
                <w:sz w:val="20"/>
                <w:szCs w:val="20"/>
                <w:color w:val="auto"/>
              </w:rPr>
            </w:pPr>
            <w:r>
              <w:rPr>
                <w:rFonts w:ascii="Arial" w:cs="Arial" w:eastAsia="Arial" w:hAnsi="Arial"/>
                <w:sz w:val="18"/>
                <w:szCs w:val="18"/>
                <w:color w:val="auto"/>
              </w:rPr>
              <w:t>769</w:t>
            </w:r>
          </w:p>
        </w:tc>
        <w:tc>
          <w:tcPr>
            <w:tcW w:w="360" w:type="dxa"/>
            <w:vAlign w:val="bottom"/>
          </w:tcPr>
          <w:p>
            <w:pPr>
              <w:spacing w:after="0"/>
              <w:rPr>
                <w:sz w:val="15"/>
                <w:szCs w:val="15"/>
                <w:color w:val="auto"/>
              </w:rPr>
            </w:pP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w:t>
            </w:r>
          </w:p>
        </w:tc>
        <w:tc>
          <w:tcPr>
            <w:tcW w:w="6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982</w:t>
            </w:r>
          </w:p>
        </w:tc>
        <w:tc>
          <w:tcPr>
            <w:tcW w:w="92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14,882</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3220" w:type="dxa"/>
            <w:vAlign w:val="bottom"/>
          </w:tcPr>
          <w:p>
            <w:pPr>
              <w:jc w:val="right"/>
              <w:ind w:right="57"/>
              <w:spacing w:after="0" w:line="202" w:lineRule="exact"/>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17"/>
                <w:szCs w:val="17"/>
                <w:color w:val="auto"/>
              </w:rPr>
            </w:pPr>
          </w:p>
        </w:tc>
        <w:tc>
          <w:tcPr>
            <w:tcW w:w="5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15</w:t>
            </w: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35</w:t>
            </w:r>
          </w:p>
        </w:tc>
      </w:tr>
      <w:tr>
        <w:trPr>
          <w:trHeight w:val="221"/>
        </w:trPr>
        <w:tc>
          <w:tcPr>
            <w:tcW w:w="474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(a)</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195</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r>
      <w:tr>
        <w:trPr>
          <w:trHeight w:val="196"/>
        </w:trPr>
        <w:tc>
          <w:tcPr>
            <w:tcW w:w="47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322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$ 12,948</w:t>
            </w:r>
          </w:p>
        </w:tc>
        <w:tc>
          <w:tcPr>
            <w:tcW w:w="2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767</w:t>
            </w:r>
          </w:p>
        </w:tc>
        <w:tc>
          <w:tcPr>
            <w:tcW w:w="3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211</w:t>
            </w:r>
          </w:p>
        </w:tc>
        <w:tc>
          <w:tcPr>
            <w:tcW w:w="6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$ 982</w:t>
            </w:r>
          </w:p>
        </w:tc>
        <w:tc>
          <w:tcPr>
            <w:tcW w:w="9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$ 14,908</w:t>
            </w:r>
          </w:p>
        </w:tc>
      </w:tr>
    </w:tbl>
    <w:p>
      <w:pPr>
        <w:spacing w:after="0" w:line="67" w:lineRule="exact"/>
        <w:rPr>
          <w:sz w:val="20"/>
          <w:szCs w:val="20"/>
          <w:color w:val="auto"/>
        </w:rPr>
      </w:pPr>
    </w:p>
    <w:p>
      <w:pPr>
        <w:ind w:left="300" w:hanging="292"/>
        <w:spacing w:after="0" w:line="231" w:lineRule="auto"/>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Adjustments to goodwill in 2014 were primarily related to the reclassification of Fandango, our movie ticketing and entertainment business, from our Cable Networks segment to our Filmed Entertainment segment.</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3260" w:type="dxa"/>
            <w:vAlign w:val="bottom"/>
            <w:vMerge w:val="restart"/>
          </w:tcPr>
          <w:p>
            <w:pPr>
              <w:jc w:val="right"/>
              <w:ind w:right="301"/>
              <w:spacing w:after="0"/>
              <w:rPr>
                <w:sz w:val="20"/>
                <w:szCs w:val="20"/>
                <w:color w:val="auto"/>
              </w:rPr>
            </w:pPr>
            <w:r>
              <w:rPr>
                <w:rFonts w:ascii="Arial" w:cs="Arial" w:eastAsia="Arial" w:hAnsi="Arial"/>
                <w:sz w:val="14"/>
                <w:szCs w:val="14"/>
                <w:color w:val="auto"/>
              </w:rPr>
              <w:t>Weighted-Average</w:t>
            </w: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color w:val="auto"/>
              </w:rPr>
              <w:t>2013</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3260" w:type="dxa"/>
            <w:vAlign w:val="bottom"/>
          </w:tcPr>
          <w:p>
            <w:pPr>
              <w:jc w:val="right"/>
              <w:ind w:right="301"/>
              <w:spacing w:after="0" w:line="133" w:lineRule="exact"/>
              <w:rPr>
                <w:sz w:val="20"/>
                <w:szCs w:val="20"/>
                <w:color w:val="auto"/>
              </w:rPr>
            </w:pPr>
            <w:r>
              <w:rPr>
                <w:rFonts w:ascii="Arial" w:cs="Arial" w:eastAsia="Arial" w:hAnsi="Arial"/>
                <w:sz w:val="14"/>
                <w:szCs w:val="14"/>
                <w:color w:val="auto"/>
              </w:rPr>
              <w:t>Original Useful Life</w:t>
            </w:r>
          </w:p>
        </w:tc>
        <w:tc>
          <w:tcPr>
            <w:tcW w:w="8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jc w:val="right"/>
              <w:ind w:right="20"/>
              <w:spacing w:after="0" w:line="133" w:lineRule="exact"/>
              <w:rPr>
                <w:sz w:val="20"/>
                <w:szCs w:val="20"/>
                <w:color w:val="auto"/>
              </w:rPr>
            </w:pPr>
            <w:r>
              <w:rPr>
                <w:rFonts w:ascii="Arial" w:cs="Arial" w:eastAsia="Arial" w:hAnsi="Arial"/>
                <w:sz w:val="14"/>
                <w:szCs w:val="14"/>
                <w:color w:val="auto"/>
              </w:rPr>
              <w:t>Gross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3260" w:type="dxa"/>
            <w:vAlign w:val="bottom"/>
          </w:tcPr>
          <w:p>
            <w:pPr>
              <w:jc w:val="right"/>
              <w:ind w:right="341"/>
              <w:spacing w:after="0" w:line="149" w:lineRule="exact"/>
              <w:rPr>
                <w:sz w:val="20"/>
                <w:szCs w:val="20"/>
                <w:color w:val="auto"/>
              </w:rPr>
            </w:pPr>
            <w:r>
              <w:rPr>
                <w:rFonts w:ascii="Arial" w:cs="Arial" w:eastAsia="Arial" w:hAnsi="Arial"/>
                <w:sz w:val="14"/>
                <w:szCs w:val="14"/>
                <w:color w:val="auto"/>
              </w:rPr>
              <w:t>as of</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color w:val="auto"/>
              </w:rPr>
              <w:t>Carrying</w:t>
            </w: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2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December 31, 2014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Amount</w:t>
            </w:r>
          </w:p>
        </w:tc>
        <w:tc>
          <w:tcPr>
            <w:tcW w:w="10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4320" w:type="dxa"/>
            <w:vAlign w:val="bottom"/>
          </w:tcPr>
          <w:p>
            <w:pPr>
              <w:spacing w:after="0" w:line="200" w:lineRule="exact"/>
              <w:rPr>
                <w:sz w:val="20"/>
                <w:szCs w:val="20"/>
                <w:color w:val="auto"/>
              </w:rPr>
            </w:pPr>
            <w:r>
              <w:rPr>
                <w:rFonts w:ascii="Arial" w:cs="Arial" w:eastAsia="Arial" w:hAnsi="Arial"/>
                <w:sz w:val="18"/>
                <w:szCs w:val="18"/>
                <w:color w:val="auto"/>
              </w:rPr>
              <w:t>Finite-Lived Intangible Assets:</w:t>
            </w:r>
          </w:p>
        </w:tc>
        <w:tc>
          <w:tcPr>
            <w:tcW w:w="3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$ 13,093</w:t>
            </w:r>
          </w:p>
        </w:tc>
        <w:tc>
          <w:tcPr>
            <w:tcW w:w="4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(3,636)</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2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3260" w:type="dxa"/>
            <w:vAlign w:val="bottom"/>
          </w:tcPr>
          <w:p>
            <w:pPr>
              <w:jc w:val="right"/>
              <w:ind w:right="301"/>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60" w:type="dxa"/>
            <w:vAlign w:val="bottom"/>
          </w:tcPr>
          <w:p>
            <w:pPr>
              <w:jc w:val="right"/>
              <w:ind w:right="20"/>
              <w:spacing w:after="0" w:line="181" w:lineRule="exact"/>
              <w:rPr>
                <w:sz w:val="20"/>
                <w:szCs w:val="20"/>
                <w:color w:val="auto"/>
              </w:rPr>
            </w:pPr>
            <w:r>
              <w:rPr>
                <w:rFonts w:ascii="Arial" w:cs="Arial" w:eastAsia="Arial" w:hAnsi="Arial"/>
                <w:sz w:val="18"/>
                <w:szCs w:val="18"/>
                <w:color w:val="auto"/>
              </w:rPr>
              <w:t>$ 13,086</w:t>
            </w:r>
          </w:p>
        </w:tc>
        <w:tc>
          <w:tcPr>
            <w:tcW w:w="300" w:type="dxa"/>
            <w:vAlign w:val="bottom"/>
          </w:tcPr>
          <w:p>
            <w:pPr>
              <w:ind w:left="10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03"/>
        </w:trPr>
        <w:tc>
          <w:tcPr>
            <w:tcW w:w="43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3260" w:type="dxa"/>
            <w:vAlign w:val="bottom"/>
          </w:tcPr>
          <w:p>
            <w:pPr>
              <w:jc w:val="right"/>
              <w:ind w:right="301"/>
              <w:spacing w:after="0" w:line="202" w:lineRule="exact"/>
              <w:rPr>
                <w:sz w:val="20"/>
                <w:szCs w:val="20"/>
                <w:color w:val="auto"/>
              </w:rPr>
            </w:pPr>
            <w:r>
              <w:rPr>
                <w:rFonts w:ascii="Arial" w:cs="Arial" w:eastAsia="Arial" w:hAnsi="Arial"/>
                <w:sz w:val="18"/>
                <w:szCs w:val="18"/>
                <w:color w:val="auto"/>
              </w:rPr>
              <w:t>5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657</w:t>
            </w: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(329)</w:t>
            </w:r>
          </w:p>
        </w:tc>
        <w:tc>
          <w:tcPr>
            <w:tcW w:w="860" w:type="dxa"/>
            <w:vAlign w:val="bottom"/>
          </w:tcPr>
          <w:p>
            <w:pPr>
              <w:jc w:val="right"/>
              <w:ind w:right="20"/>
              <w:spacing w:after="0" w:line="202" w:lineRule="exact"/>
              <w:rPr>
                <w:sz w:val="20"/>
                <w:szCs w:val="20"/>
                <w:color w:val="auto"/>
              </w:rPr>
            </w:pPr>
            <w:r>
              <w:rPr>
                <w:rFonts w:ascii="Arial" w:cs="Arial" w:eastAsia="Arial" w:hAnsi="Arial"/>
                <w:sz w:val="18"/>
                <w:szCs w:val="18"/>
                <w:color w:val="auto"/>
              </w:rPr>
              <w:t>522</w:t>
            </w: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5"/>
        </w:trPr>
        <w:tc>
          <w:tcPr>
            <w:tcW w:w="4320" w:type="dxa"/>
            <w:vAlign w:val="bottom"/>
          </w:tcPr>
          <w:p>
            <w:pPr>
              <w:ind w:left="220"/>
              <w:spacing w:after="0"/>
              <w:rPr>
                <w:sz w:val="20"/>
                <w:szCs w:val="20"/>
                <w:color w:val="auto"/>
              </w:rPr>
            </w:pPr>
            <w:r>
              <w:rPr>
                <w:rFonts w:ascii="Arial" w:cs="Arial" w:eastAsia="Arial" w:hAnsi="Arial"/>
                <w:sz w:val="18"/>
                <w:szCs w:val="18"/>
                <w:color w:val="auto"/>
              </w:rPr>
              <w:t>Other</w:t>
            </w:r>
          </w:p>
        </w:tc>
        <w:tc>
          <w:tcPr>
            <w:tcW w:w="3260" w:type="dxa"/>
            <w:vAlign w:val="bottom"/>
          </w:tcPr>
          <w:p>
            <w:pPr>
              <w:jc w:val="right"/>
              <w:ind w:right="301"/>
              <w:spacing w:after="0"/>
              <w:rPr>
                <w:sz w:val="20"/>
                <w:szCs w:val="20"/>
                <w:color w:val="auto"/>
              </w:rPr>
            </w:pPr>
            <w:r>
              <w:rPr>
                <w:rFonts w:ascii="Arial" w:cs="Arial" w:eastAsia="Arial" w:hAnsi="Arial"/>
                <w:sz w:val="18"/>
                <w:szCs w:val="18"/>
                <w:color w:val="auto"/>
              </w:rPr>
              <w:t>21 years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1,556</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(864)</w:t>
            </w: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1,511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3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3,059</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20" w:type="dxa"/>
            <w:vAlign w:val="bottom"/>
          </w:tcPr>
          <w:p>
            <w:pPr>
              <w:ind w:left="220"/>
              <w:spacing w:after="0" w:line="181" w:lineRule="exact"/>
              <w:rPr>
                <w:sz w:val="20"/>
                <w:szCs w:val="20"/>
                <w:color w:val="auto"/>
              </w:rPr>
            </w:pPr>
            <w:r>
              <w:rPr>
                <w:rFonts w:ascii="Arial" w:cs="Arial" w:eastAsia="Arial" w:hAnsi="Arial"/>
                <w:sz w:val="18"/>
                <w:szCs w:val="18"/>
                <w:color w:val="auto"/>
              </w:rPr>
              <w:t>Trade names</w:t>
            </w:r>
          </w:p>
        </w:tc>
        <w:tc>
          <w:tcPr>
            <w:tcW w:w="3260" w:type="dxa"/>
            <w:vAlign w:val="bottom"/>
          </w:tcPr>
          <w:p>
            <w:pPr>
              <w:jc w:val="right"/>
              <w:ind w:right="301"/>
              <w:spacing w:after="0" w:line="181" w:lineRule="exact"/>
              <w:rPr>
                <w:sz w:val="20"/>
                <w:szCs w:val="20"/>
                <w:color w:val="auto"/>
              </w:rPr>
            </w:pPr>
            <w:r>
              <w:rPr>
                <w:rFonts w:ascii="Arial" w:cs="Arial" w:eastAsia="Arial" w:hAnsi="Arial"/>
                <w:sz w:val="18"/>
                <w:szCs w:val="18"/>
                <w:color w:val="auto"/>
              </w:rPr>
              <w:t>N/A</w:t>
            </w: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ind w:right="20"/>
              <w:spacing w:after="0" w:line="181" w:lineRule="exact"/>
              <w:rPr>
                <w:sz w:val="20"/>
                <w:szCs w:val="20"/>
                <w:color w:val="auto"/>
              </w:rPr>
            </w:pPr>
            <w:r>
              <w:rPr>
                <w:rFonts w:ascii="Arial" w:cs="Arial" w:eastAsia="Arial" w:hAnsi="Arial"/>
                <w:sz w:val="18"/>
                <w:szCs w:val="18"/>
                <w:color w:val="auto"/>
              </w:rPr>
              <w:t>3,089</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FCC licenses</w:t>
            </w:r>
          </w:p>
        </w:tc>
        <w:tc>
          <w:tcPr>
            <w:tcW w:w="3260" w:type="dxa"/>
            <w:vAlign w:val="bottom"/>
            <w:tcBorders>
              <w:bottom w:val="single" w:sz="8" w:color="auto"/>
            </w:tcBorders>
          </w:tcPr>
          <w:p>
            <w:pPr>
              <w:jc w:val="right"/>
              <w:ind w:right="301"/>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652</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$ 19,016</w:t>
            </w:r>
          </w:p>
        </w:tc>
        <w:tc>
          <w:tcPr>
            <w:tcW w:w="420" w:type="dxa"/>
            <w:vAlign w:val="bottom"/>
            <w:tcBorders>
              <w:bottom w:val="single" w:sz="8" w:color="0C6DFF"/>
            </w:tcBorders>
          </w:tcPr>
          <w:p>
            <w:pPr>
              <w:ind w:left="20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(4,829)</w:t>
            </w:r>
          </w:p>
        </w:tc>
        <w:tc>
          <w:tcPr>
            <w:tcW w:w="860" w:type="dxa"/>
            <w:vAlign w:val="bottom"/>
            <w:tcBorders>
              <w:bottom w:val="single" w:sz="8" w:color="0C6DFF"/>
            </w:tcBorders>
          </w:tcPr>
          <w:p>
            <w:pPr>
              <w:jc w:val="right"/>
              <w:ind w:right="20"/>
              <w:spacing w:after="0" w:line="196" w:lineRule="exact"/>
              <w:rPr>
                <w:sz w:val="20"/>
                <w:szCs w:val="20"/>
                <w:color w:val="auto"/>
              </w:rPr>
            </w:pPr>
            <w:r>
              <w:rPr>
                <w:rFonts w:ascii="Arial" w:cs="Arial" w:eastAsia="Arial" w:hAnsi="Arial"/>
                <w:sz w:val="18"/>
                <w:szCs w:val="18"/>
                <w:color w:val="auto"/>
              </w:rPr>
              <w:t>$ 18,860</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9" w:lineRule="auto"/>
        <w:rPr>
          <w:sz w:val="20"/>
          <w:szCs w:val="20"/>
          <w:color w:val="auto"/>
        </w:rPr>
      </w:pPr>
      <w:r>
        <w:rPr>
          <w:rFonts w:ascii="Arial" w:cs="Arial" w:eastAsia="Arial" w:hAnsi="Arial"/>
          <w:sz w:val="18"/>
          <w:szCs w:val="18"/>
          <w:color w:val="auto"/>
        </w:rPr>
        <w:t>Indefinite-lived intangible assets consist of trade names and FCC licenses. We assess the recoverability of our indefinite-lived intangible assets annually, or more frequently whenever events or substantive changes in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 We did not recognize any material impairment charges in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620" w:type="dxa"/>
            <w:vAlign w:val="bottom"/>
            <w:tcBorders>
              <w:top w:val="single" w:sz="8" w:color="auto"/>
            </w:tcBorders>
          </w:tcPr>
          <w:p>
            <w:pPr>
              <w:jc w:val="right"/>
              <w:ind w:right="5132"/>
              <w:spacing w:after="0" w:line="200" w:lineRule="exact"/>
              <w:rPr>
                <w:sz w:val="20"/>
                <w:szCs w:val="20"/>
                <w:color w:val="auto"/>
              </w:rPr>
            </w:pPr>
            <w:r>
              <w:rPr>
                <w:rFonts w:ascii="Arial" w:cs="Arial" w:eastAsia="Arial" w:hAnsi="Arial"/>
                <w:sz w:val="18"/>
                <w:szCs w:val="18"/>
                <w:color w:val="auto"/>
                <w:w w:val="94"/>
              </w:rPr>
              <w:t>2015</w:t>
            </w:r>
          </w:p>
        </w:tc>
        <w:tc>
          <w:tcPr>
            <w:tcW w:w="580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$ 777</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2016</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$ 748</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2017</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$ 747</w:t>
            </w:r>
          </w:p>
        </w:tc>
      </w:tr>
      <w:tr>
        <w:trPr>
          <w:trHeight w:val="203"/>
        </w:trPr>
        <w:tc>
          <w:tcPr>
            <w:tcW w:w="5620" w:type="dxa"/>
            <w:vAlign w:val="bottom"/>
          </w:tcPr>
          <w:p>
            <w:pPr>
              <w:jc w:val="right"/>
              <w:ind w:right="5132"/>
              <w:spacing w:after="0" w:line="202" w:lineRule="exact"/>
              <w:rPr>
                <w:sz w:val="20"/>
                <w:szCs w:val="20"/>
                <w:color w:val="auto"/>
              </w:rPr>
            </w:pPr>
            <w:r>
              <w:rPr>
                <w:rFonts w:ascii="Arial" w:cs="Arial" w:eastAsia="Arial" w:hAnsi="Arial"/>
                <w:sz w:val="18"/>
                <w:szCs w:val="18"/>
                <w:color w:val="auto"/>
                <w:w w:val="94"/>
              </w:rPr>
              <w:t>2018</w:t>
            </w:r>
          </w:p>
        </w:tc>
        <w:tc>
          <w:tcPr>
            <w:tcW w:w="58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$ 743</w:t>
            </w:r>
          </w:p>
        </w:tc>
      </w:tr>
      <w:tr>
        <w:trPr>
          <w:trHeight w:val="199"/>
        </w:trPr>
        <w:tc>
          <w:tcPr>
            <w:tcW w:w="5620" w:type="dxa"/>
            <w:vAlign w:val="bottom"/>
            <w:tcBorders>
              <w:bottom w:val="single" w:sz="8" w:color="auto"/>
            </w:tcBorders>
          </w:tcPr>
          <w:p>
            <w:pPr>
              <w:jc w:val="right"/>
              <w:ind w:right="5132"/>
              <w:spacing w:after="0" w:line="200" w:lineRule="exact"/>
              <w:rPr>
                <w:sz w:val="20"/>
                <w:szCs w:val="20"/>
                <w:color w:val="auto"/>
              </w:rPr>
            </w:pPr>
            <w:r>
              <w:rPr>
                <w:rFonts w:ascii="Arial" w:cs="Arial" w:eastAsia="Arial" w:hAnsi="Arial"/>
                <w:sz w:val="18"/>
                <w:szCs w:val="18"/>
                <w:color w:val="auto"/>
                <w:w w:val="94"/>
              </w:rPr>
              <w:t>2019</w:t>
            </w:r>
          </w:p>
        </w:tc>
        <w:tc>
          <w:tcPr>
            <w:tcW w:w="58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$ 740</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intellectual property rights and software. Our finite-lived intangible assets are amortized primarily on a straight-line basis over their estimated useful life or the term of the associated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8"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Borders>
              <w:top w:val="single" w:sz="8" w:color="auto"/>
            </w:tcBorders>
          </w:tcPr>
          <w:p>
            <w:pPr>
              <w:spacing w:after="0"/>
              <w:rPr>
                <w:sz w:val="14"/>
                <w:szCs w:val="14"/>
                <w:color w:val="auto"/>
              </w:rPr>
            </w:pPr>
          </w:p>
        </w:tc>
        <w:tc>
          <w:tcPr>
            <w:tcW w:w="3560" w:type="dxa"/>
            <w:vAlign w:val="bottom"/>
            <w:tcBorders>
              <w:top w:val="single" w:sz="8" w:color="auto"/>
            </w:tcBorders>
          </w:tcPr>
          <w:p>
            <w:pPr>
              <w:jc w:val="right"/>
              <w:ind w:right="301"/>
              <w:spacing w:after="0"/>
              <w:rPr>
                <w:sz w:val="20"/>
                <w:szCs w:val="20"/>
                <w:color w:val="auto"/>
              </w:rPr>
            </w:pPr>
            <w:r>
              <w:rPr>
                <w:rFonts w:ascii="Arial" w:cs="Arial" w:eastAsia="Arial" w:hAnsi="Arial"/>
                <w:sz w:val="14"/>
                <w:szCs w:val="14"/>
                <w:color w:val="auto"/>
              </w:rPr>
              <w:t>Weighted-Average</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3560" w:type="dxa"/>
            <w:vAlign w:val="bottom"/>
          </w:tcPr>
          <w:p>
            <w:pPr>
              <w:jc w:val="right"/>
              <w:ind w:right="301"/>
              <w:spacing w:after="0" w:line="149" w:lineRule="exact"/>
              <w:rPr>
                <w:sz w:val="20"/>
                <w:szCs w:val="20"/>
                <w:color w:val="auto"/>
              </w:rPr>
            </w:pPr>
            <w:r>
              <w:rPr>
                <w:rFonts w:ascii="Arial" w:cs="Arial" w:eastAsia="Arial" w:hAnsi="Arial"/>
                <w:sz w:val="14"/>
                <w:szCs w:val="14"/>
                <w:color w:val="auto"/>
              </w:rPr>
              <w:t>Interest Rate as of</w:t>
            </w:r>
          </w:p>
        </w:tc>
        <w:tc>
          <w:tcPr>
            <w:tcW w:w="180" w:type="dxa"/>
            <w:vAlign w:val="bottom"/>
          </w:tcPr>
          <w:p>
            <w:pPr>
              <w:spacing w:after="0"/>
              <w:rPr>
                <w:sz w:val="12"/>
                <w:szCs w:val="12"/>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560" w:type="dxa"/>
            <w:vAlign w:val="bottom"/>
            <w:tcBorders>
              <w:bottom w:val="single" w:sz="8" w:color="auto"/>
            </w:tcBorders>
          </w:tcPr>
          <w:p>
            <w:pPr>
              <w:jc w:val="right"/>
              <w:ind w:right="301"/>
              <w:spacing w:after="0" w:line="149" w:lineRule="exact"/>
              <w:rPr>
                <w:sz w:val="20"/>
                <w:szCs w:val="20"/>
                <w:color w:val="auto"/>
              </w:rPr>
            </w:pPr>
            <w:r>
              <w:rPr>
                <w:rFonts w:ascii="Arial" w:cs="Arial" w:eastAsia="Arial" w:hAnsi="Arial"/>
                <w:sz w:val="14"/>
                <w:szCs w:val="14"/>
                <w:color w:val="auto"/>
              </w:rPr>
              <w:t>December 31, 2014</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Senior notes with maturities of 5 years or less</w:t>
            </w:r>
          </w:p>
        </w:tc>
        <w:tc>
          <w:tcPr>
            <w:tcW w:w="3560" w:type="dxa"/>
            <w:vAlign w:val="bottom"/>
          </w:tcPr>
          <w:p>
            <w:pPr>
              <w:jc w:val="right"/>
              <w:ind w:right="141"/>
              <w:spacing w:after="0" w:line="177" w:lineRule="exact"/>
              <w:rPr>
                <w:sz w:val="20"/>
                <w:szCs w:val="20"/>
                <w:color w:val="auto"/>
              </w:rPr>
            </w:pPr>
            <w:r>
              <w:rPr>
                <w:rFonts w:ascii="Arial" w:cs="Arial" w:eastAsia="Arial" w:hAnsi="Arial"/>
                <w:sz w:val="18"/>
                <w:szCs w:val="18"/>
                <w:color w:val="auto"/>
              </w:rPr>
              <w:t>3.254%</w:t>
            </w:r>
          </w:p>
        </w:tc>
        <w:tc>
          <w:tcPr>
            <w:tcW w:w="1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rPr>
              <w:t>2,005</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5 and 10 years</w:t>
            </w:r>
          </w:p>
        </w:tc>
        <w:tc>
          <w:tcPr>
            <w:tcW w:w="356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4.389%</w:t>
            </w:r>
          </w:p>
        </w:tc>
        <w:tc>
          <w:tcPr>
            <w:tcW w:w="1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4,996</w:t>
            </w:r>
          </w:p>
        </w:tc>
        <w:tc>
          <w:tcPr>
            <w:tcW w:w="24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w:t>
            </w:r>
          </w:p>
        </w:tc>
        <w:tc>
          <w:tcPr>
            <w:tcW w:w="356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5.614%</w:t>
            </w:r>
          </w:p>
        </w:tc>
        <w:tc>
          <w:tcPr>
            <w:tcW w:w="1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3,204</w:t>
            </w:r>
          </w:p>
        </w:tc>
        <w:tc>
          <w:tcPr>
            <w:tcW w:w="24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60" w:type="dxa"/>
            <w:vAlign w:val="bottom"/>
            <w:tcBorders>
              <w:bottom w:val="single" w:sz="8" w:color="auto"/>
            </w:tcBorders>
          </w:tcPr>
          <w:p>
            <w:pPr>
              <w:jc w:val="right"/>
              <w:ind w:right="30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44</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7"/>
        </w:trPr>
        <w:tc>
          <w:tcPr>
            <w:tcW w:w="610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560" w:type="dxa"/>
            <w:vAlign w:val="bottom"/>
          </w:tcPr>
          <w:p>
            <w:pPr>
              <w:jc w:val="right"/>
              <w:ind w:right="1"/>
              <w:spacing w:after="0" w:line="177" w:lineRule="exact"/>
              <w:rPr>
                <w:sz w:val="20"/>
                <w:szCs w:val="20"/>
                <w:color w:val="auto"/>
              </w:rPr>
            </w:pPr>
            <w:r>
              <w:rPr>
                <w:rFonts w:ascii="Arial" w:cs="Arial" w:eastAsia="Arial" w:hAnsi="Arial"/>
                <w:sz w:val="16"/>
                <w:szCs w:val="16"/>
                <w:color w:val="auto"/>
              </w:rPr>
              <w:t>4.46%</w:t>
            </w:r>
            <w:r>
              <w:rPr>
                <w:rFonts w:ascii="Arial" w:cs="Arial" w:eastAsia="Arial" w:hAnsi="Arial"/>
                <w:sz w:val="20"/>
                <w:szCs w:val="20"/>
                <w:color w:val="auto"/>
                <w:vertAlign w:val="superscript"/>
              </w:rPr>
              <w:t>(a)</w:t>
            </w:r>
          </w:p>
        </w:tc>
        <w:tc>
          <w:tcPr>
            <w:tcW w:w="180" w:type="dxa"/>
            <w:vAlign w:val="bottom"/>
          </w:tcPr>
          <w:p>
            <w:pPr>
              <w:spacing w:after="0"/>
              <w:rPr>
                <w:sz w:val="15"/>
                <w:szCs w:val="15"/>
                <w:color w:val="auto"/>
              </w:rPr>
            </w:pPr>
          </w:p>
        </w:tc>
        <w:tc>
          <w:tcPr>
            <w:tcW w:w="660" w:type="dxa"/>
            <w:vAlign w:val="bottom"/>
          </w:tcPr>
          <w:p>
            <w:pPr>
              <w:jc w:val="right"/>
              <w:ind w:right="15"/>
              <w:spacing w:after="0" w:line="177" w:lineRule="exact"/>
              <w:rPr>
                <w:sz w:val="20"/>
                <w:szCs w:val="20"/>
                <w:color w:val="auto"/>
              </w:rPr>
            </w:pPr>
            <w:r>
              <w:rPr>
                <w:rFonts w:ascii="Arial" w:cs="Arial" w:eastAsia="Arial" w:hAnsi="Arial"/>
                <w:sz w:val="18"/>
                <w:szCs w:val="18"/>
                <w:b w:val="1"/>
                <w:bCs w:val="1"/>
                <w:color w:val="auto"/>
                <w:w w:val="98"/>
              </w:rPr>
              <w:t>10,249</w:t>
            </w:r>
          </w:p>
        </w:tc>
        <w:tc>
          <w:tcPr>
            <w:tcW w:w="240" w:type="dxa"/>
            <w:vAlign w:val="bottom"/>
          </w:tcPr>
          <w:p>
            <w:pPr>
              <w:spacing w:after="0"/>
              <w:rPr>
                <w:sz w:val="15"/>
                <w:szCs w:val="15"/>
                <w:color w:val="auto"/>
              </w:rPr>
            </w:pPr>
          </w:p>
        </w:tc>
        <w:tc>
          <w:tcPr>
            <w:tcW w:w="6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2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1,023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3560" w:type="dxa"/>
            <w:vAlign w:val="bottom"/>
            <w:tcBorders>
              <w:bottom w:val="single" w:sz="8" w:color="0C6DFF"/>
            </w:tcBorders>
          </w:tcPr>
          <w:p>
            <w:pPr>
              <w:spacing w:after="0"/>
              <w:rPr>
                <w:sz w:val="17"/>
                <w:szCs w:val="17"/>
                <w:color w:val="auto"/>
              </w:rPr>
            </w:pP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9,226</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Includes the effects of our derivative financial instruments.</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2014 and 2013, our debt had an estimated fair value of $11.5 billion and $11.7 billion, respectively.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Debt Maturities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Borders>
              <w:top w:val="single" w:sz="8" w:color="auto"/>
            </w:tcBorders>
          </w:tcPr>
          <w:p>
            <w:pPr>
              <w:spacing w:after="0"/>
              <w:rPr>
                <w:sz w:val="14"/>
                <w:szCs w:val="14"/>
                <w:color w:val="auto"/>
              </w:rPr>
            </w:pPr>
          </w:p>
        </w:tc>
        <w:tc>
          <w:tcPr>
            <w:tcW w:w="562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color w:val="auto"/>
              </w:rPr>
              <w:t>Weighted-Average</w:t>
            </w: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562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Interest Rate as of</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4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5620" w:type="dxa"/>
            <w:vAlign w:val="bottom"/>
            <w:tcBorders>
              <w:bottom w:val="single" w:sz="8" w:color="auto"/>
            </w:tcBorders>
          </w:tcPr>
          <w:p>
            <w:pPr>
              <w:jc w:val="right"/>
              <w:ind w:right="199"/>
              <w:spacing w:after="0" w:line="149" w:lineRule="exact"/>
              <w:rPr>
                <w:sz w:val="20"/>
                <w:szCs w:val="20"/>
                <w:color w:val="auto"/>
              </w:rPr>
            </w:pPr>
            <w:r>
              <w:rPr>
                <w:rFonts w:ascii="Arial" w:cs="Arial" w:eastAsia="Arial" w:hAnsi="Arial"/>
                <w:sz w:val="14"/>
                <w:szCs w:val="14"/>
                <w:color w:val="auto"/>
              </w:rPr>
              <w:t>December 31, 2014</w:t>
            </w: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99"/>
        </w:trPr>
        <w:tc>
          <w:tcPr>
            <w:tcW w:w="4960" w:type="dxa"/>
            <w:vAlign w:val="bottom"/>
          </w:tcPr>
          <w:p>
            <w:pPr>
              <w:spacing w:after="0" w:line="200" w:lineRule="exact"/>
              <w:rPr>
                <w:sz w:val="20"/>
                <w:szCs w:val="20"/>
                <w:color w:val="auto"/>
              </w:rPr>
            </w:pPr>
            <w:r>
              <w:rPr>
                <w:rFonts w:ascii="Arial" w:cs="Arial" w:eastAsia="Arial" w:hAnsi="Arial"/>
                <w:sz w:val="18"/>
                <w:szCs w:val="18"/>
                <w:color w:val="auto"/>
              </w:rPr>
              <w:t>2015</w:t>
            </w:r>
          </w:p>
        </w:tc>
        <w:tc>
          <w:tcPr>
            <w:tcW w:w="5620" w:type="dxa"/>
            <w:vAlign w:val="bottom"/>
          </w:tcPr>
          <w:p>
            <w:pPr>
              <w:jc w:val="right"/>
              <w:ind w:right="39"/>
              <w:spacing w:after="0" w:line="200" w:lineRule="exact"/>
              <w:rPr>
                <w:sz w:val="20"/>
                <w:szCs w:val="20"/>
                <w:color w:val="auto"/>
              </w:rPr>
            </w:pPr>
            <w:r>
              <w:rPr>
                <w:rFonts w:ascii="Arial" w:cs="Arial" w:eastAsia="Arial" w:hAnsi="Arial"/>
                <w:sz w:val="18"/>
                <w:szCs w:val="18"/>
                <w:color w:val="auto"/>
              </w:rPr>
              <w:t>3.633%</w:t>
            </w:r>
          </w:p>
        </w:tc>
        <w:tc>
          <w:tcPr>
            <w:tcW w:w="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1,023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2.894%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6.296%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6.307%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56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6.329%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w:t>
            </w:r>
          </w:p>
        </w:tc>
      </w:tr>
      <w:tr>
        <w:trPr>
          <w:trHeight w:val="199"/>
        </w:trPr>
        <w:tc>
          <w:tcPr>
            <w:tcW w:w="49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auto"/>
            </w:tcBorders>
          </w:tcPr>
          <w:p>
            <w:pPr>
              <w:jc w:val="right"/>
              <w:ind w:right="39"/>
              <w:spacing w:after="0" w:line="200" w:lineRule="exact"/>
              <w:rPr>
                <w:sz w:val="20"/>
                <w:szCs w:val="20"/>
                <w:color w:val="auto"/>
              </w:rPr>
            </w:pPr>
            <w:r>
              <w:rPr>
                <w:rFonts w:ascii="Arial" w:cs="Arial" w:eastAsia="Arial" w:hAnsi="Arial"/>
                <w:sz w:val="18"/>
                <w:szCs w:val="18"/>
                <w:color w:val="auto"/>
              </w:rPr>
              <w:t>4.871%</w:t>
            </w:r>
          </w:p>
        </w:tc>
        <w:tc>
          <w:tcPr>
            <w:tcW w:w="2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8,212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April 2014, we repaid at maturity $900 million aggregate principal amount of 2.10% senior notes due 2014.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we, Comcast and certain of Comcast’s 100%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December 31, 2014, we guaranteed $32.6 billion of outstanding debt securities of Comcast and the cable guarantors. We also fully and unconditionally guarantee the $6.25 billion Comcast revolving credit facility due June 2017, of which no amounts were outstanding as of December 31, 2014.</w:t>
      </w:r>
    </w:p>
    <w:p>
      <w:pPr>
        <w:spacing w:after="0" w:line="15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revolving credit facility and associated commercial paper program, or $725 million liquidation preference of Series A cumulative preferred stock.</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liabilities associated with our contractual obligations. The fair values of the contractual obligations in the table below are primarily based on certain expected future discounted cash flows, the determination of which involves the use of significant unobservable inputs. As the inputs used are not quoted market prices or observable inputs, we classify these contractual obligations as Level 3 financial instruments.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most significant unobservable inputs we use are our estimates of the future revenue we expect to generate from certain of our businesses. The discount rates used in the measurements of fair value as of December 31, 2014 were between 12% and 13% and are based on the underlying risk associated with our estimate of future revenue and the terms of the respective contracts. The fair value adjustments to contractual obligations are sensitive to the assumptions related to future revenue, as well as to current interest rates, and therefore the adjustments are recorded to other income (expense), net in our consolidated statement of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Changes in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66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Balance, December 31, 2013</w:t>
            </w:r>
          </w:p>
        </w:tc>
        <w:tc>
          <w:tcPr>
            <w:tcW w:w="482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$ 747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4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208</w:t>
            </w:r>
          </w:p>
        </w:tc>
      </w:tr>
      <w:tr>
        <w:trPr>
          <w:trHeight w:val="199"/>
        </w:trPr>
        <w:tc>
          <w:tcPr>
            <w:tcW w:w="6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Payments</w:t>
            </w:r>
          </w:p>
        </w:tc>
        <w:tc>
          <w:tcPr>
            <w:tcW w:w="4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(72)</w:t>
            </w:r>
          </w:p>
        </w:tc>
      </w:tr>
      <w:tr>
        <w:trPr>
          <w:trHeight w:val="196"/>
        </w:trPr>
        <w:tc>
          <w:tcPr>
            <w:tcW w:w="6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2014</w:t>
            </w:r>
          </w:p>
        </w:tc>
        <w:tc>
          <w:tcPr>
            <w:tcW w:w="48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$ 883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television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estimated fair value of a production is based on Level 3 inputs that primarily use an analysis of future expected cash flows. Adjustments to capitalized film and stage play production costs of $26 million, $167 million and $161 million were recorded in 2014, 2013 and 2012, respectively.</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167</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2013</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80" w:type="dxa"/>
            <w:vAlign w:val="bottom"/>
          </w:tcPr>
          <w:p>
            <w:pPr>
              <w:spacing w:after="0"/>
              <w:rPr>
                <w:sz w:val="10"/>
                <w:szCs w:val="10"/>
                <w:color w:val="auto"/>
              </w:rPr>
            </w:pPr>
          </w:p>
        </w:tc>
        <w:tc>
          <w:tcPr>
            <w:tcW w:w="1320" w:type="dxa"/>
            <w:vAlign w:val="bottom"/>
            <w:gridSpan w:val="2"/>
          </w:tcPr>
          <w:p>
            <w:pPr>
              <w:jc w:val="right"/>
              <w:ind w:right="197"/>
              <w:spacing w:after="0" w:line="125" w:lineRule="exact"/>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200" w:type="dxa"/>
            <w:vAlign w:val="bottom"/>
            <w:gridSpan w:val="2"/>
          </w:tcPr>
          <w:p>
            <w:pPr>
              <w:jc w:val="right"/>
              <w:ind w:right="137"/>
              <w:spacing w:after="0" w:line="125" w:lineRule="exact"/>
              <w:rPr>
                <w:sz w:val="20"/>
                <w:szCs w:val="20"/>
                <w:color w:val="auto"/>
              </w:rPr>
            </w:pPr>
            <w:r>
              <w:rPr>
                <w:rFonts w:ascii="Arial" w:cs="Arial" w:eastAsia="Arial" w:hAnsi="Arial"/>
                <w:sz w:val="14"/>
                <w:szCs w:val="14"/>
                <w:color w:val="auto"/>
              </w:rPr>
              <w:t>Postretirement</w:t>
            </w:r>
          </w:p>
        </w:tc>
        <w:tc>
          <w:tcPr>
            <w:tcW w:w="20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1180" w:type="dxa"/>
            <w:vAlign w:val="bottom"/>
            <w:gridSpan w:val="2"/>
          </w:tcPr>
          <w:p>
            <w:pPr>
              <w:jc w:val="right"/>
              <w:ind w:right="137"/>
              <w:spacing w:after="0" w:line="125" w:lineRule="exact"/>
              <w:rPr>
                <w:sz w:val="20"/>
                <w:szCs w:val="20"/>
                <w:color w:val="auto"/>
              </w:rPr>
            </w:pPr>
            <w:r>
              <w:rPr>
                <w:rFonts w:ascii="Arial" w:cs="Arial" w:eastAsia="Arial" w:hAnsi="Arial"/>
                <w:sz w:val="14"/>
                <w:szCs w:val="14"/>
                <w:color w:val="auto"/>
              </w:rPr>
              <w:t>Postretirement</w:t>
            </w:r>
          </w:p>
        </w:tc>
        <w:tc>
          <w:tcPr>
            <w:tcW w:w="20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Benefits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1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40" w:type="dxa"/>
            <w:vAlign w:val="bottom"/>
          </w:tcPr>
          <w:p>
            <w:pPr>
              <w:jc w:val="right"/>
              <w:ind w:right="82"/>
              <w:spacing w:after="0" w:line="177"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97"/>
              <w:spacing w:after="0" w:line="177" w:lineRule="exact"/>
              <w:rPr>
                <w:sz w:val="20"/>
                <w:szCs w:val="20"/>
                <w:color w:val="auto"/>
              </w:rPr>
            </w:pPr>
            <w:r>
              <w:rPr>
                <w:rFonts w:ascii="Arial" w:cs="Arial" w:eastAsia="Arial" w:hAnsi="Arial"/>
                <w:sz w:val="18"/>
                <w:szCs w:val="18"/>
                <w:b w:val="1"/>
                <w:bCs w:val="1"/>
                <w:color w:val="auto"/>
              </w:rPr>
              <w:t>209</w:t>
            </w:r>
          </w:p>
        </w:tc>
        <w:tc>
          <w:tcPr>
            <w:tcW w:w="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581</w:t>
            </w:r>
          </w:p>
        </w:tc>
        <w:tc>
          <w:tcPr>
            <w:tcW w:w="34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158</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498</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177</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3"/>
        </w:trPr>
        <w:tc>
          <w:tcPr>
            <w:tcW w:w="418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340" w:type="dxa"/>
            <w:vAlign w:val="bottom"/>
          </w:tcPr>
          <w:p>
            <w:pPr>
              <w:spacing w:after="0"/>
              <w:rPr>
                <w:sz w:val="17"/>
                <w:szCs w:val="17"/>
                <w:color w:val="auto"/>
              </w:rPr>
            </w:pPr>
          </w:p>
        </w:tc>
        <w:tc>
          <w:tcPr>
            <w:tcW w:w="980" w:type="dxa"/>
            <w:vAlign w:val="bottom"/>
          </w:tcPr>
          <w:p>
            <w:pPr>
              <w:jc w:val="right"/>
              <w:ind w:right="197"/>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242</w:t>
            </w:r>
          </w:p>
        </w:tc>
        <w:tc>
          <w:tcPr>
            <w:tcW w:w="34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220</w:t>
            </w:r>
          </w:p>
        </w:tc>
        <w:tc>
          <w:tcPr>
            <w:tcW w:w="32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340" w:type="dxa"/>
            <w:vAlign w:val="bottom"/>
          </w:tcPr>
          <w:p>
            <w:pPr>
              <w:spacing w:after="0"/>
              <w:rPr>
                <w:sz w:val="19"/>
                <w:szCs w:val="19"/>
                <w:color w:val="auto"/>
              </w:rPr>
            </w:pPr>
          </w:p>
        </w:tc>
        <w:tc>
          <w:tcPr>
            <w:tcW w:w="980" w:type="dxa"/>
            <w:vAlign w:val="bottom"/>
          </w:tcPr>
          <w:p>
            <w:pPr>
              <w:jc w:val="right"/>
              <w:ind w:right="137"/>
              <w:spacing w:after="0"/>
              <w:rPr>
                <w:sz w:val="20"/>
                <w:szCs w:val="20"/>
                <w:color w:val="auto"/>
              </w:rPr>
            </w:pPr>
            <w:r>
              <w:rPr>
                <w:rFonts w:ascii="Arial" w:cs="Arial" w:eastAsia="Arial" w:hAnsi="Arial"/>
                <w:sz w:val="18"/>
                <w:szCs w:val="18"/>
                <w:b w:val="1"/>
                <w:bCs w:val="1"/>
                <w:color w:val="auto"/>
              </w:rPr>
              <w:t>(209)</w:t>
            </w:r>
          </w:p>
        </w:tc>
        <w:tc>
          <w:tcPr>
            <w:tcW w:w="1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b w:val="1"/>
                <w:bCs w:val="1"/>
                <w:color w:val="auto"/>
              </w:rPr>
              <w:t>(339)</w:t>
            </w:r>
          </w:p>
        </w:tc>
        <w:tc>
          <w:tcPr>
            <w:tcW w:w="34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w:t>
            </w:r>
          </w:p>
        </w:tc>
        <w:tc>
          <w:tcPr>
            <w:tcW w:w="340" w:type="dxa"/>
            <w:vAlign w:val="bottom"/>
          </w:tcPr>
          <w:p>
            <w:pPr>
              <w:spacing w:after="0"/>
              <w:rPr>
                <w:sz w:val="17"/>
                <w:szCs w:val="17"/>
                <w:color w:val="auto"/>
              </w:rPr>
            </w:pPr>
          </w:p>
        </w:tc>
        <w:tc>
          <w:tcPr>
            <w:tcW w:w="98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100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53</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80" w:type="dxa"/>
            <w:vAlign w:val="bottom"/>
          </w:tcPr>
          <w:p>
            <w:pPr>
              <w:ind w:left="220"/>
              <w:spacing w:after="0" w:line="181" w:lineRule="exact"/>
              <w:rPr>
                <w:sz w:val="20"/>
                <w:szCs w:val="20"/>
                <w:color w:val="auto"/>
              </w:rPr>
            </w:pPr>
            <w:r>
              <w:rPr>
                <w:rFonts w:ascii="Arial" w:cs="Arial" w:eastAsia="Arial" w:hAnsi="Arial"/>
                <w:sz w:val="18"/>
                <w:szCs w:val="18"/>
                <w:color w:val="auto"/>
              </w:rPr>
              <w:t>benefit expense</w:t>
            </w: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77"/>
              <w:spacing w:after="0" w:line="181"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5"/>
                <w:szCs w:val="15"/>
                <w:color w:val="auto"/>
              </w:rPr>
            </w:pPr>
          </w:p>
        </w:tc>
        <w:tc>
          <w:tcPr>
            <w:tcW w:w="1000" w:type="dxa"/>
            <w:vAlign w:val="bottom"/>
          </w:tcPr>
          <w:p>
            <w:pPr>
              <w:jc w:val="right"/>
              <w:ind w:right="77"/>
              <w:spacing w:after="0" w:line="181"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5"/>
                <w:szCs w:val="15"/>
                <w:color w:val="auto"/>
              </w:rPr>
            </w:pPr>
          </w:p>
        </w:tc>
        <w:tc>
          <w:tcPr>
            <w:tcW w:w="860" w:type="dxa"/>
            <w:vAlign w:val="bottom"/>
          </w:tcPr>
          <w:p>
            <w:pPr>
              <w:jc w:val="right"/>
              <w:ind w:right="77"/>
              <w:spacing w:after="0" w:line="181"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5"/>
                <w:szCs w:val="15"/>
                <w:color w:val="auto"/>
              </w:rPr>
            </w:pPr>
          </w:p>
        </w:tc>
        <w:tc>
          <w:tcPr>
            <w:tcW w:w="100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14</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7"/>
        </w:trPr>
        <w:tc>
          <w:tcPr>
            <w:tcW w:w="418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340" w:type="dxa"/>
            <w:vAlign w:val="bottom"/>
          </w:tcPr>
          <w:p>
            <w:pPr>
              <w:spacing w:after="0"/>
              <w:rPr>
                <w:sz w:val="15"/>
                <w:szCs w:val="15"/>
                <w:color w:val="auto"/>
              </w:rPr>
            </w:pPr>
          </w:p>
        </w:tc>
        <w:tc>
          <w:tcPr>
            <w:tcW w:w="9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4.25%</w:t>
            </w:r>
          </w:p>
        </w:tc>
        <w:tc>
          <w:tcPr>
            <w:tcW w:w="14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3.75-4.25%</w:t>
            </w:r>
          </w:p>
        </w:tc>
        <w:tc>
          <w:tcPr>
            <w:tcW w:w="34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5.25%</w:t>
            </w:r>
          </w:p>
        </w:tc>
        <w:tc>
          <w:tcPr>
            <w:tcW w:w="20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w w:val="97"/>
              </w:rPr>
              <w:t>4.50-5.25%</w:t>
            </w:r>
          </w:p>
        </w:tc>
        <w:tc>
          <w:tcPr>
            <w:tcW w:w="3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4.25%</w:t>
            </w:r>
          </w:p>
        </w:tc>
        <w:tc>
          <w:tcPr>
            <w:tcW w:w="20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w w:val="99"/>
              </w:rPr>
              <w:t>3.75-4.25%</w:t>
            </w:r>
          </w:p>
        </w:tc>
        <w:tc>
          <w:tcPr>
            <w:tcW w:w="0" w:type="dxa"/>
            <w:vAlign w:val="bottom"/>
          </w:tcPr>
          <w:p>
            <w:pPr>
              <w:spacing w:after="0"/>
              <w:rPr>
                <w:sz w:val="1"/>
                <w:szCs w:val="1"/>
                <w:color w:val="auto"/>
              </w:rPr>
            </w:pPr>
          </w:p>
        </w:tc>
      </w:tr>
      <w:tr>
        <w:trPr>
          <w:trHeight w:val="22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N/A</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that use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did not recognize service costs related to our pension plans in 2014 and 2013 as the plans were frozen. The 2012 amount included service costs related to our pension benefits of $134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postretirement medical and life insurance plans that provide continuous coverage to employees eligible to receive such benefits and give credit for length of service provided before the close of the joint venture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Substantially all of the employees that were contributed by Comcast as part of the joint venture transaction participate in a postretirement healthcare stipend program (the “stipend plan”).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for our postretirement benefit plans is determined using certain assumptions, including the discount 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sponsor various qualified and nonqualified defined benefit plans for domestic employees for which future benefits have been frozen. We ceased to recognize service costs associated with these defined benefit plans following the date on which future benefits were frozen. The expense we recognize for our defined benefit plans is determined using certain assumptions, including the discount rate and the expected long-term rate of return on plan assets. We recognize the funded or unfunded status of our defined benefit plans as an asset or liability in our consolidated balance sheet and recognize changes in the funded status in the year in which the changes occur through accumulated other comprehensive income (loss). In addition to the defined benefit plans we sponsor, we are also obligated to reimburse GE for future benefit payments to those participants who were vested in the supplemental pension plan sponsored by GE at the time of the joint venture transaction.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168</w:t>
            </w: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October 2013, we provided notice to the plan participants of the qualified pension plan of our intent to terminate the plan effective December 31, 2013. On June 27, 2014, we filed a Standard Termination Notice with the Pension Benefit Guaranty Corporation (“PBGC”) and on August 26, 2014, the related PBGC review concluded with no objections. We filed for Internal Revenue Service (“IRS”) approval on May 23, 2014 and expect to fully fund and settle the plan within 120 days of receipt of approval. We currently anticipate the contributions required from us to fully fund and settle the plan to be $16 million.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balance sheet also includes the assets and liabilities of certain legacy pension plans, as well as the assets and liabilities for pension plans of certain foreign subsidiaries. As of December 31, 2014 and 2013, the benefit obligations associated with these plans exceeded the fair value of the plan assets by $51 million and $43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7"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Participants in the plan designate one or more valuation funds, independently established funds or indices that are used to determine the amount of income or loss to be credited or debited to the participant’s account.</w:t>
      </w:r>
    </w:p>
    <w:p>
      <w:pPr>
        <w:spacing w:after="0" w:line="15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certain of our employees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both deferred compensation plans, participants are eligible to receive distributions of the amounts credited to their account based on elected deferral periods that are consistent with the plans and applicable tax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2012</w:t>
            </w:r>
          </w:p>
        </w:tc>
      </w:tr>
      <w:tr>
        <w:trPr>
          <w:trHeight w:val="177"/>
        </w:trPr>
        <w:tc>
          <w:tcPr>
            <w:tcW w:w="58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7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9"/>
              <w:spacing w:after="0" w:line="177" w:lineRule="exact"/>
              <w:rPr>
                <w:sz w:val="20"/>
                <w:szCs w:val="20"/>
                <w:color w:val="auto"/>
              </w:rPr>
            </w:pPr>
            <w:r>
              <w:rPr>
                <w:rFonts w:ascii="Arial" w:cs="Arial" w:eastAsia="Arial" w:hAnsi="Arial"/>
                <w:sz w:val="18"/>
                <w:szCs w:val="18"/>
                <w:b w:val="1"/>
                <w:bCs w:val="1"/>
                <w:color w:val="auto"/>
                <w:w w:val="99"/>
              </w:rPr>
              <w:t>349</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250</w:t>
            </w:r>
          </w:p>
        </w:tc>
        <w:tc>
          <w:tcPr>
            <w:tcW w:w="24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9"/>
              <w:spacing w:after="0" w:line="177" w:lineRule="exact"/>
              <w:rPr>
                <w:sz w:val="20"/>
                <w:szCs w:val="20"/>
                <w:color w:val="auto"/>
              </w:rPr>
            </w:pPr>
            <w:r>
              <w:rPr>
                <w:rFonts w:ascii="Arial" w:cs="Arial" w:eastAsia="Arial" w:hAnsi="Arial"/>
                <w:sz w:val="18"/>
                <w:szCs w:val="18"/>
                <w:color w:val="auto"/>
              </w:rPr>
              <w:t>163</w:t>
            </w:r>
          </w:p>
        </w:tc>
      </w:tr>
      <w:tr>
        <w:trPr>
          <w:trHeight w:val="221"/>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2014, 2013 and 2012, expenses related to these plans totaled $165 million, $152 million and $85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participate in various multiemployer benefit plans, including pension and postretirement benefit plans, that cover some of our employees and temporary employees who are represented by labor unions. We also participate in other multiemployer benefit plans that provide health and welfare and retirement savings benefits to active and retired participants.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169</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2014, 2013 and 2012, the total contributions we made to multiemployer pension plans were $58 million, $59 million and $40 million, respectively. In 2014, 2013 and 2012, the total contributions we made to multiemployer postretirement and other benefit plans were $125 million, $98 million and $114 million, respectively.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cease to be obligated to make contributions or were to otherwise withdraw from participation in any of these plans, applicable law would require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In 2014, 2013 and 2012, we recorded severance costs of $113 million, $116 million and $90 million,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Recognized Share-Based Compensation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r>
      <w:tr>
        <w:trPr>
          <w:trHeight w:val="177"/>
        </w:trPr>
        <w:tc>
          <w:tcPr>
            <w:tcW w:w="614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4120" w:type="dxa"/>
            <w:vAlign w:val="bottom"/>
          </w:tcPr>
          <w:p>
            <w:pPr>
              <w:jc w:val="right"/>
              <w:ind w:right="16"/>
              <w:spacing w:after="0" w:line="177" w:lineRule="exact"/>
              <w:rPr>
                <w:sz w:val="20"/>
                <w:szCs w:val="20"/>
                <w:color w:val="auto"/>
              </w:rPr>
            </w:pPr>
            <w:r>
              <w:rPr>
                <w:rFonts w:ascii="Arial" w:cs="Arial" w:eastAsia="Arial" w:hAnsi="Arial"/>
                <w:sz w:val="18"/>
                <w:szCs w:val="18"/>
                <w:b w:val="1"/>
                <w:bCs w:val="1"/>
                <w:color w:val="auto"/>
              </w:rPr>
              <w:t>$ 16</w:t>
            </w:r>
          </w:p>
        </w:tc>
        <w:tc>
          <w:tcPr>
            <w:tcW w:w="5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$ 15</w:t>
            </w:r>
          </w:p>
        </w:tc>
        <w:tc>
          <w:tcPr>
            <w:tcW w:w="5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$ 15</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412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auto"/>
              </w:rPr>
              <w:t>69</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42</w:t>
            </w:r>
          </w:p>
        </w:tc>
        <w:tc>
          <w:tcPr>
            <w:tcW w:w="5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28</w:t>
            </w:r>
          </w:p>
        </w:tc>
      </w:tr>
      <w:tr>
        <w:trPr>
          <w:trHeight w:val="221"/>
        </w:trPr>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w:t>
            </w:r>
          </w:p>
        </w:tc>
      </w:tr>
      <w:tr>
        <w:trPr>
          <w:trHeight w:val="196"/>
        </w:trPr>
        <w:tc>
          <w:tcPr>
            <w:tcW w:w="61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12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$ 91</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$ 62</w:t>
            </w:r>
          </w:p>
        </w:tc>
        <w:tc>
          <w:tcPr>
            <w:tcW w:w="5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$ 47</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2014, we had unrecognized pretax compensation expense of $25 million related to nonvested Comcast stock options and unrecognized pretax compensation expense of $124 million related to nonvested Comcast restricted share units (“RSUs”) that will be recognized over a weighted-average period of approximately 2.1 years and 1.6 years, respectively.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RSUs to certain employees and directors as part of its approach to long-term incentive compensation. Awards generally vest over a period of 5 years and in the case of stock options, have a 10 year term. Additionally, through its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170</w:t>
            </w: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Comcast’s share-based compensation is based on an award’s estimated fair value at the date of grant and is recognized over the period in which any related services are provided. Comcast uses the Black-Scholes option pricing model to estimate the fair value of stock option awards. RSUs are valued based on the closing price of Comcast Class A common stock on the date of grant and are discounted for the lack of dividends, if any, during the vesting period. The table below presents the weighted-average fair value on the date of grant of RSUs and Class A common stock options awarded under Comcast’s various plans to employees of NBCUniversal and the related weighted-average valuation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3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2013</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580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3840" w:type="dxa"/>
            <w:vAlign w:val="bottom"/>
          </w:tcPr>
          <w:p>
            <w:pPr>
              <w:jc w:val="right"/>
              <w:ind w:right="214"/>
              <w:spacing w:after="0" w:line="177" w:lineRule="exact"/>
              <w:rPr>
                <w:sz w:val="20"/>
                <w:szCs w:val="20"/>
                <w:color w:val="auto"/>
              </w:rPr>
            </w:pPr>
            <w:r>
              <w:rPr>
                <w:rFonts w:ascii="Arial" w:cs="Arial" w:eastAsia="Arial" w:hAnsi="Arial"/>
                <w:sz w:val="18"/>
                <w:szCs w:val="18"/>
                <w:b w:val="1"/>
                <w:bCs w:val="1"/>
                <w:color w:val="auto"/>
              </w:rPr>
              <w:t>$ 48.04</w:t>
            </w:r>
          </w:p>
        </w:tc>
        <w:tc>
          <w:tcPr>
            <w:tcW w:w="120" w:type="dxa"/>
            <w:vAlign w:val="bottom"/>
          </w:tcPr>
          <w:p>
            <w:pPr>
              <w:jc w:val="right"/>
              <w:spacing w:after="0" w:line="177" w:lineRule="exact"/>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37.79</w:t>
            </w:r>
          </w:p>
        </w:tc>
        <w:tc>
          <w:tcPr>
            <w:tcW w:w="1120" w:type="dxa"/>
            <w:vAlign w:val="bottom"/>
            <w:gridSpan w:val="3"/>
          </w:tcPr>
          <w:p>
            <w:pPr>
              <w:jc w:val="right"/>
              <w:ind w:right="134"/>
              <w:spacing w:after="0" w:line="177" w:lineRule="exact"/>
              <w:rPr>
                <w:sz w:val="20"/>
                <w:szCs w:val="20"/>
                <w:color w:val="auto"/>
              </w:rPr>
            </w:pPr>
            <w:r>
              <w:rPr>
                <w:rFonts w:ascii="Arial" w:cs="Arial" w:eastAsia="Arial" w:hAnsi="Arial"/>
                <w:sz w:val="18"/>
                <w:szCs w:val="18"/>
                <w:color w:val="auto"/>
              </w:rPr>
              <w:t>$ 27.51</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3840" w:type="dxa"/>
            <w:vAlign w:val="bottom"/>
          </w:tcPr>
          <w:p>
            <w:pPr>
              <w:jc w:val="right"/>
              <w:ind w:right="214"/>
              <w:spacing w:after="0"/>
              <w:rPr>
                <w:sz w:val="20"/>
                <w:szCs w:val="20"/>
                <w:color w:val="auto"/>
              </w:rPr>
            </w:pPr>
            <w:r>
              <w:rPr>
                <w:rFonts w:ascii="Arial" w:cs="Arial" w:eastAsia="Arial" w:hAnsi="Arial"/>
                <w:sz w:val="18"/>
                <w:szCs w:val="18"/>
                <w:b w:val="1"/>
                <w:bCs w:val="1"/>
                <w:color w:val="auto"/>
              </w:rPr>
              <w:t>$ 11.09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34"/>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384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3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75"/>
              <w:spacing w:after="0" w:line="181"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5"/>
                <w:szCs w:val="15"/>
                <w:color w:val="auto"/>
              </w:rPr>
            </w:pPr>
          </w:p>
        </w:tc>
        <w:tc>
          <w:tcPr>
            <w:tcW w:w="460" w:type="dxa"/>
            <w:vAlign w:val="bottom"/>
          </w:tcPr>
          <w:p>
            <w:pPr>
              <w:jc w:val="right"/>
              <w:spacing w:after="0" w:line="181" w:lineRule="exact"/>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38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24.0%</w:t>
            </w:r>
          </w:p>
        </w:tc>
        <w:tc>
          <w:tcPr>
            <w:tcW w:w="120" w:type="dxa"/>
            <w:vAlign w:val="bottom"/>
          </w:tcPr>
          <w:p>
            <w:pPr>
              <w:spacing w:after="0"/>
              <w:rPr>
                <w:sz w:val="17"/>
                <w:szCs w:val="17"/>
                <w:color w:val="auto"/>
              </w:rPr>
            </w:pPr>
          </w:p>
        </w:tc>
        <w:tc>
          <w:tcPr>
            <w:tcW w:w="1020" w:type="dxa"/>
            <w:vAlign w:val="bottom"/>
            <w:gridSpan w:val="3"/>
          </w:tcPr>
          <w:p>
            <w:pPr>
              <w:jc w:val="right"/>
              <w:ind w:right="275"/>
              <w:spacing w:after="0" w:line="202" w:lineRule="exact"/>
              <w:rPr>
                <w:sz w:val="20"/>
                <w:szCs w:val="20"/>
                <w:color w:val="auto"/>
              </w:rPr>
            </w:pPr>
            <w:r>
              <w:rPr>
                <w:rFonts w:ascii="Arial" w:cs="Arial" w:eastAsia="Arial" w:hAnsi="Arial"/>
                <w:sz w:val="18"/>
                <w:szCs w:val="18"/>
                <w:color w:val="auto"/>
              </w:rPr>
              <w:t>25.2%</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75"/>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38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532"/>
        </w:trPr>
        <w:tc>
          <w:tcPr>
            <w:tcW w:w="5800" w:type="dxa"/>
            <w:vAlign w:val="bottom"/>
          </w:tcPr>
          <w:p>
            <w:pPr>
              <w:spacing w:after="0"/>
              <w:rPr>
                <w:sz w:val="20"/>
                <w:szCs w:val="20"/>
                <w:color w:val="auto"/>
              </w:rPr>
            </w:pPr>
            <w:r>
              <w:rPr>
                <w:rFonts w:ascii="Arial" w:cs="Arial" w:eastAsia="Arial" w:hAnsi="Arial"/>
                <w:sz w:val="18"/>
                <w:szCs w:val="18"/>
                <w:b w:val="1"/>
                <w:bCs w:val="1"/>
                <w:color w:val="0C6DFF"/>
              </w:rPr>
              <w:t>Note 14: Income Taxes</w:t>
            </w: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800" w:type="dxa"/>
            <w:vAlign w:val="bottom"/>
            <w:tcBorders>
              <w:bottom w:val="single" w:sz="8" w:color="0C6DFF"/>
            </w:tcBorders>
          </w:tcPr>
          <w:p>
            <w:pPr>
              <w:spacing w:after="0"/>
              <w:rPr>
                <w:sz w:val="3"/>
                <w:szCs w:val="3"/>
                <w:color w:val="auto"/>
              </w:rPr>
            </w:pPr>
          </w:p>
        </w:tc>
        <w:tc>
          <w:tcPr>
            <w:tcW w:w="3840" w:type="dxa"/>
            <w:vAlign w:val="bottom"/>
            <w:tcBorders>
              <w:bottom w:val="single" w:sz="8" w:color="0C6DFF"/>
            </w:tcBorders>
          </w:tcPr>
          <w:p>
            <w:pPr>
              <w:spacing w:after="0"/>
              <w:rPr>
                <w:sz w:val="3"/>
                <w:szCs w:val="3"/>
                <w:color w:val="auto"/>
              </w:rPr>
            </w:pPr>
          </w:p>
        </w:tc>
        <w:tc>
          <w:tcPr>
            <w:tcW w:w="120" w:type="dxa"/>
            <w:vAlign w:val="bottom"/>
            <w:tcBorders>
              <w:bottom w:val="single" w:sz="8" w:color="0C6DFF"/>
            </w:tcBorders>
          </w:tcPr>
          <w:p>
            <w:pPr>
              <w:spacing w:after="0"/>
              <w:rPr>
                <w:sz w:val="3"/>
                <w:szCs w:val="3"/>
                <w:color w:val="auto"/>
              </w:rPr>
            </w:pPr>
          </w:p>
        </w:tc>
        <w:tc>
          <w:tcPr>
            <w:tcW w:w="200" w:type="dxa"/>
            <w:vAlign w:val="bottom"/>
            <w:tcBorders>
              <w:bottom w:val="single" w:sz="8" w:color="0C6DFF"/>
            </w:tcBorders>
          </w:tcPr>
          <w:p>
            <w:pPr>
              <w:spacing w:after="0"/>
              <w:rPr>
                <w:sz w:val="3"/>
                <w:szCs w:val="3"/>
                <w:color w:val="auto"/>
              </w:rPr>
            </w:pPr>
          </w:p>
        </w:tc>
        <w:tc>
          <w:tcPr>
            <w:tcW w:w="340" w:type="dxa"/>
            <w:vAlign w:val="bottom"/>
            <w:tcBorders>
              <w:bottom w:val="single" w:sz="8" w:color="0C6DFF"/>
            </w:tcBorders>
          </w:tcPr>
          <w:p>
            <w:pPr>
              <w:spacing w:after="0"/>
              <w:rPr>
                <w:sz w:val="3"/>
                <w:szCs w:val="3"/>
                <w:color w:val="auto"/>
              </w:rPr>
            </w:pPr>
          </w:p>
        </w:tc>
        <w:tc>
          <w:tcPr>
            <w:tcW w:w="480" w:type="dxa"/>
            <w:vAlign w:val="bottom"/>
            <w:tcBorders>
              <w:bottom w:val="single" w:sz="8" w:color="0C6DFF"/>
            </w:tcBorders>
          </w:tcPr>
          <w:p>
            <w:pPr>
              <w:spacing w:after="0"/>
              <w:rPr>
                <w:sz w:val="3"/>
                <w:szCs w:val="3"/>
                <w:color w:val="auto"/>
              </w:rPr>
            </w:pPr>
          </w:p>
        </w:tc>
        <w:tc>
          <w:tcPr>
            <w:tcW w:w="180" w:type="dxa"/>
            <w:vAlign w:val="bottom"/>
            <w:tcBorders>
              <w:bottom w:val="single" w:sz="8" w:color="0C6DFF"/>
            </w:tcBorders>
          </w:tcPr>
          <w:p>
            <w:pPr>
              <w:spacing w:after="0"/>
              <w:rPr>
                <w:sz w:val="3"/>
                <w:szCs w:val="3"/>
                <w:color w:val="auto"/>
              </w:rPr>
            </w:pPr>
          </w:p>
        </w:tc>
        <w:tc>
          <w:tcPr>
            <w:tcW w:w="460" w:type="dxa"/>
            <w:vAlign w:val="bottom"/>
            <w:tcBorders>
              <w:bottom w:val="single" w:sz="8" w:color="0C6DFF"/>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color w:val="0C6DFF"/>
              </w:rPr>
              <w:t>Components of Income Tax Expense</w:t>
            </w: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80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38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5800" w:type="dxa"/>
            <w:vAlign w:val="bottom"/>
          </w:tcPr>
          <w:p>
            <w:pPr>
              <w:spacing w:after="0" w:line="200" w:lineRule="exact"/>
              <w:rPr>
                <w:sz w:val="20"/>
                <w:szCs w:val="20"/>
                <w:color w:val="auto"/>
              </w:rPr>
            </w:pPr>
            <w:r>
              <w:rPr>
                <w:rFonts w:ascii="Arial" w:cs="Arial" w:eastAsia="Arial" w:hAnsi="Arial"/>
                <w:sz w:val="18"/>
                <w:szCs w:val="18"/>
                <w:color w:val="auto"/>
              </w:rPr>
              <w:t>Foreign</w:t>
            </w:r>
          </w:p>
        </w:tc>
        <w:tc>
          <w:tcPr>
            <w:tcW w:w="3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33</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Current income tax expense</w:t>
            </w:r>
          </w:p>
        </w:tc>
        <w:tc>
          <w:tcPr>
            <w:tcW w:w="3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55"/>
              <w:spacing w:after="0" w:line="181" w:lineRule="exact"/>
              <w:rPr>
                <w:sz w:val="20"/>
                <w:szCs w:val="20"/>
                <w:color w:val="auto"/>
              </w:rPr>
            </w:pPr>
            <w:r>
              <w:rPr>
                <w:rFonts w:ascii="Arial" w:cs="Arial" w:eastAsia="Arial" w:hAnsi="Arial"/>
                <w:sz w:val="18"/>
                <w:szCs w:val="18"/>
                <w:color w:val="auto"/>
              </w:rPr>
              <w:t>77</w:t>
            </w: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4"/>
              <w:spacing w:after="0" w:line="181"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expense</w:t>
            </w: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96"/>
              <w:spacing w:after="0" w:line="202" w:lineRule="exact"/>
              <w:rPr>
                <w:sz w:val="20"/>
                <w:szCs w:val="20"/>
                <w:color w:val="auto"/>
              </w:rPr>
            </w:pPr>
            <w:r>
              <w:rPr>
                <w:rFonts w:ascii="Arial" w:cs="Arial" w:eastAsia="Arial" w:hAnsi="Arial"/>
                <w:sz w:val="18"/>
                <w:szCs w:val="18"/>
                <w:b w:val="1"/>
                <w:bCs w:val="1"/>
                <w:color w:val="auto"/>
              </w:rPr>
              <w:t>(8)</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Withholding tax expense</w:t>
            </w:r>
          </w:p>
        </w:tc>
        <w:tc>
          <w:tcPr>
            <w:tcW w:w="384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9"/>
              </w:rPr>
              <w:t>108</w:t>
            </w:r>
          </w:p>
        </w:tc>
        <w:tc>
          <w:tcPr>
            <w:tcW w:w="340" w:type="dxa"/>
            <w:vAlign w:val="bottom"/>
          </w:tcPr>
          <w:p>
            <w:pPr>
              <w:spacing w:after="0"/>
              <w:rPr>
                <w:sz w:val="17"/>
                <w:szCs w:val="17"/>
                <w:color w:val="auto"/>
              </w:rPr>
            </w:pPr>
          </w:p>
        </w:tc>
        <w:tc>
          <w:tcPr>
            <w:tcW w:w="4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123</w:t>
            </w:r>
          </w:p>
        </w:tc>
        <w:tc>
          <w:tcPr>
            <w:tcW w:w="180" w:type="dxa"/>
            <w:vAlign w:val="bottom"/>
          </w:tcPr>
          <w:p>
            <w:pPr>
              <w:spacing w:after="0"/>
              <w:rPr>
                <w:sz w:val="17"/>
                <w:szCs w:val="17"/>
                <w:color w:val="auto"/>
              </w:rPr>
            </w:pPr>
          </w:p>
        </w:tc>
        <w:tc>
          <w:tcPr>
            <w:tcW w:w="4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domestic tax expense</w:t>
            </w:r>
          </w:p>
        </w:tc>
        <w:tc>
          <w:tcPr>
            <w:tcW w:w="3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160" w:type="dxa"/>
            <w:vAlign w:val="bottom"/>
            <w:tcBorders>
              <w:bottom w:val="single" w:sz="8" w:color="0C6DFF"/>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$ 143</w:t>
            </w:r>
          </w:p>
        </w:tc>
        <w:tc>
          <w:tcPr>
            <w:tcW w:w="820" w:type="dxa"/>
            <w:vAlign w:val="bottom"/>
            <w:tcBorders>
              <w:bottom w:val="single" w:sz="8" w:color="0C6DFF"/>
            </w:tcBorders>
            <w:gridSpan w:val="2"/>
          </w:tcPr>
          <w:p>
            <w:pPr>
              <w:jc w:val="right"/>
              <w:ind w:right="55"/>
              <w:spacing w:after="0" w:line="196" w:lineRule="exact"/>
              <w:rPr>
                <w:sz w:val="20"/>
                <w:szCs w:val="20"/>
                <w:color w:val="auto"/>
              </w:rPr>
            </w:pPr>
            <w:r>
              <w:rPr>
                <w:rFonts w:ascii="Arial" w:cs="Arial" w:eastAsia="Arial" w:hAnsi="Arial"/>
                <w:sz w:val="18"/>
                <w:szCs w:val="18"/>
                <w:color w:val="auto"/>
              </w:rPr>
              <w:t>$ 206</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 limited liability company, and our company is disregarded for U.S. federal income tax purposes as an entity separate from NBCUniversal Holdings, a tax partnership. NBCUniversal and our subsidiaries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2014 and 2013 were not material.</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and penalties, if any, associated with our uncertain tax positions as a component of income tax expense.</w:t>
      </w:r>
    </w:p>
    <w:p>
      <w:pPr>
        <w:spacing w:after="0" w:line="327"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171</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retain liabilities for uncertain tax positions where we are the tax filer of record. GE and Comcast have indemnified NBCUniversal Holdings and us with respect to our income tax obligations attributable to periods prior to the close of the joint venture transaction, including indemnification of uncertain tax positions for these periods. The liabilities for uncertain tax positions included in our consolidated balance sheet were not material as of December 31, 2014 and 2013.</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Various domestic and foreign taxing authorities are examining our tax returns through 2012. The majority of the periods under examination relate to tax years 2004 and forward.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15: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77"/>
        </w:trPr>
        <w:tc>
          <w:tcPr>
            <w:tcW w:w="692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2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$ 5,258</w:t>
            </w:r>
          </w:p>
        </w:tc>
        <w:tc>
          <w:tcPr>
            <w:tcW w:w="8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$ 5,348</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356</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372</w:t>
            </w: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60</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65</w:t>
            </w:r>
          </w:p>
        </w:tc>
      </w:tr>
      <w:tr>
        <w:trPr>
          <w:trHeight w:val="196"/>
        </w:trPr>
        <w:tc>
          <w:tcPr>
            <w:tcW w:w="6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$ 4,842</w:t>
            </w:r>
          </w:p>
        </w:tc>
        <w:tc>
          <w:tcPr>
            <w:tcW w:w="8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$ 4,911</w:t>
            </w:r>
          </w:p>
        </w:tc>
      </w:tr>
    </w:tbl>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amounts in the table above, noncurrent receivables of $569 million and $488 million as of December 31, 2014 and 2013,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Accumulated Other Comprehensive Income (Loss)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0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w w:val="96"/>
              </w:rPr>
              <w:t>2013</w:t>
            </w:r>
          </w:p>
        </w:tc>
      </w:tr>
      <w:tr>
        <w:trPr>
          <w:trHeight w:val="177"/>
        </w:trPr>
        <w:tc>
          <w:tcPr>
            <w:tcW w:w="7120" w:type="dxa"/>
            <w:vAlign w:val="bottom"/>
          </w:tcPr>
          <w:p>
            <w:pPr>
              <w:spacing w:after="0" w:line="177" w:lineRule="exact"/>
              <w:rPr>
                <w:sz w:val="20"/>
                <w:szCs w:val="20"/>
                <w:color w:val="auto"/>
              </w:rPr>
            </w:pPr>
            <w:r>
              <w:rPr>
                <w:rFonts w:ascii="Arial" w:cs="Arial" w:eastAsia="Arial" w:hAnsi="Arial"/>
                <w:sz w:val="18"/>
                <w:szCs w:val="18"/>
                <w:color w:val="auto"/>
              </w:rPr>
              <w:t>Deferred gains (losses) on cash flow hedges</w:t>
            </w:r>
          </w:p>
        </w:tc>
        <w:tc>
          <w:tcPr>
            <w:tcW w:w="30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98"/>
              <w:spacing w:after="0" w:line="177" w:lineRule="exact"/>
              <w:rPr>
                <w:sz w:val="20"/>
                <w:szCs w:val="20"/>
                <w:color w:val="auto"/>
              </w:rPr>
            </w:pPr>
            <w:r>
              <w:rPr>
                <w:rFonts w:ascii="Arial" w:cs="Arial" w:eastAsia="Arial" w:hAnsi="Arial"/>
                <w:sz w:val="18"/>
                <w:szCs w:val="18"/>
                <w:b w:val="1"/>
                <w:bCs w:val="1"/>
                <w:color w:val="auto"/>
              </w:rPr>
              <w:t>20</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77" w:lineRule="exact"/>
              <w:rPr>
                <w:sz w:val="20"/>
                <w:szCs w:val="20"/>
                <w:color w:val="auto"/>
              </w:rPr>
            </w:pPr>
            <w:r>
              <w:rPr>
                <w:rFonts w:ascii="Arial" w:cs="Arial" w:eastAsia="Arial" w:hAnsi="Arial"/>
                <w:sz w:val="18"/>
                <w:szCs w:val="18"/>
                <w:color w:val="auto"/>
              </w:rPr>
              <w:t>(5)</w:t>
            </w:r>
          </w:p>
        </w:tc>
      </w:tr>
      <w:tr>
        <w:trPr>
          <w:trHeight w:val="203"/>
        </w:trPr>
        <w:tc>
          <w:tcPr>
            <w:tcW w:w="712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3040" w:type="dxa"/>
            <w:vAlign w:val="bottom"/>
          </w:tcPr>
          <w:p>
            <w:pPr>
              <w:spacing w:after="0"/>
              <w:rPr>
                <w:sz w:val="17"/>
                <w:szCs w:val="17"/>
                <w:color w:val="auto"/>
              </w:rPr>
            </w:pPr>
          </w:p>
        </w:tc>
        <w:tc>
          <w:tcPr>
            <w:tcW w:w="58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(61)</w:t>
            </w:r>
          </w:p>
        </w:tc>
        <w:tc>
          <w:tcPr>
            <w:tcW w:w="260" w:type="dxa"/>
            <w:vAlign w:val="bottom"/>
          </w:tcPr>
          <w:p>
            <w:pPr>
              <w:spacing w:after="0"/>
              <w:rPr>
                <w:sz w:val="17"/>
                <w:szCs w:val="17"/>
                <w:color w:val="auto"/>
              </w:rPr>
            </w:pPr>
          </w:p>
        </w:tc>
        <w:tc>
          <w:tcPr>
            <w:tcW w:w="4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45</w:t>
            </w:r>
          </w:p>
        </w:tc>
      </w:tr>
      <w:tr>
        <w:trPr>
          <w:trHeight w:val="221"/>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3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(118)</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196"/>
        </w:trPr>
        <w:tc>
          <w:tcPr>
            <w:tcW w:w="7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w:t>
            </w:r>
          </w:p>
        </w:tc>
        <w:tc>
          <w:tcPr>
            <w:tcW w:w="3620" w:type="dxa"/>
            <w:vAlign w:val="bottom"/>
            <w:tcBorders>
              <w:bottom w:val="single" w:sz="8" w:color="0C6DFF"/>
            </w:tcBorders>
            <w:gridSpan w:val="2"/>
          </w:tcPr>
          <w:p>
            <w:pPr>
              <w:jc w:val="right"/>
              <w:ind w:right="38"/>
              <w:spacing w:after="0" w:line="196" w:lineRule="exact"/>
              <w:rPr>
                <w:sz w:val="20"/>
                <w:szCs w:val="20"/>
                <w:color w:val="auto"/>
              </w:rPr>
            </w:pPr>
            <w:r>
              <w:rPr>
                <w:rFonts w:ascii="Arial" w:cs="Arial" w:eastAsia="Arial" w:hAnsi="Arial"/>
                <w:sz w:val="18"/>
                <w:szCs w:val="18"/>
                <w:b w:val="1"/>
                <w:bCs w:val="1"/>
                <w:color w:val="auto"/>
              </w:rPr>
              <w:t>$ (159)</w:t>
            </w:r>
          </w:p>
        </w:tc>
        <w:tc>
          <w:tcPr>
            <w:tcW w:w="2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70"/>
        </w:trPr>
        <w:tc>
          <w:tcPr>
            <w:tcW w:w="7120" w:type="dxa"/>
            <w:vAlign w:val="bottom"/>
          </w:tcPr>
          <w:p>
            <w:pPr>
              <w:spacing w:after="0"/>
              <w:rPr>
                <w:sz w:val="20"/>
                <w:szCs w:val="20"/>
                <w:color w:val="auto"/>
              </w:rPr>
            </w:pPr>
            <w:r>
              <w:rPr>
                <w:rFonts w:ascii="Arial" w:cs="Arial" w:eastAsia="Arial" w:hAnsi="Arial"/>
                <w:sz w:val="18"/>
                <w:szCs w:val="18"/>
                <w:color w:val="0C6DFF"/>
              </w:rPr>
              <w:t>Cash Payments for Interest and Income Taxes</w:t>
            </w:r>
          </w:p>
        </w:tc>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
        </w:trPr>
        <w:tc>
          <w:tcPr>
            <w:tcW w:w="71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42"/>
        </w:trPr>
        <w:tc>
          <w:tcPr>
            <w:tcW w:w="7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30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96"/>
              </w:rPr>
              <w:t>2012</w:t>
            </w:r>
          </w:p>
        </w:tc>
      </w:tr>
      <w:tr>
        <w:trPr>
          <w:trHeight w:val="177"/>
        </w:trPr>
        <w:tc>
          <w:tcPr>
            <w:tcW w:w="712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3040" w:type="dxa"/>
            <w:vAlign w:val="bottom"/>
          </w:tcPr>
          <w:p>
            <w:pPr>
              <w:jc w:val="right"/>
              <w:ind w:right="116"/>
              <w:spacing w:after="0" w:line="177" w:lineRule="exact"/>
              <w:rPr>
                <w:sz w:val="20"/>
                <w:szCs w:val="20"/>
                <w:color w:val="auto"/>
              </w:rPr>
            </w:pPr>
            <w:r>
              <w:rPr>
                <w:rFonts w:ascii="Arial" w:cs="Arial" w:eastAsia="Arial" w:hAnsi="Arial"/>
                <w:sz w:val="18"/>
                <w:szCs w:val="18"/>
                <w:b w:val="1"/>
                <w:bCs w:val="1"/>
                <w:color w:val="auto"/>
              </w:rPr>
              <w:t>$ 485</w:t>
            </w:r>
          </w:p>
        </w:tc>
        <w:tc>
          <w:tcPr>
            <w:tcW w:w="580" w:type="dxa"/>
            <w:vAlign w:val="bottom"/>
          </w:tcPr>
          <w:p>
            <w:pPr>
              <w:jc w:val="right"/>
              <w:ind w:right="18"/>
              <w:spacing w:after="0" w:line="177" w:lineRule="exact"/>
              <w:rPr>
                <w:sz w:val="20"/>
                <w:szCs w:val="20"/>
                <w:color w:val="auto"/>
              </w:rPr>
            </w:pPr>
            <w:r>
              <w:rPr>
                <w:rFonts w:ascii="Arial" w:cs="Arial" w:eastAsia="Arial" w:hAnsi="Arial"/>
                <w:sz w:val="18"/>
                <w:szCs w:val="18"/>
                <w:color w:val="auto"/>
              </w:rPr>
              <w:t>$ 462</w:t>
            </w:r>
          </w:p>
        </w:tc>
        <w:tc>
          <w:tcPr>
            <w:tcW w:w="2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7"/>
              <w:spacing w:after="0" w:line="177" w:lineRule="exact"/>
              <w:rPr>
                <w:sz w:val="20"/>
                <w:szCs w:val="20"/>
                <w:color w:val="auto"/>
              </w:rPr>
            </w:pPr>
            <w:r>
              <w:rPr>
                <w:rFonts w:ascii="Arial" w:cs="Arial" w:eastAsia="Arial" w:hAnsi="Arial"/>
                <w:sz w:val="18"/>
                <w:szCs w:val="18"/>
                <w:color w:val="auto"/>
                <w:w w:val="99"/>
              </w:rPr>
              <w:t>461</w:t>
            </w:r>
          </w:p>
        </w:tc>
      </w:tr>
      <w:tr>
        <w:trPr>
          <w:trHeight w:val="221"/>
        </w:trPr>
        <w:tc>
          <w:tcPr>
            <w:tcW w:w="7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3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$ 174</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$ 205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9"/>
              </w:rPr>
              <w:t>169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2014:</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acquired $148 million of property and equipment and intangible assets that were accrued but unpaid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acquired $306 million of property and equipment and intangible assets that were accrued but unpaid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17" w:lineRule="exact"/>
        <w:rPr>
          <w:sz w:val="20"/>
          <w:szCs w:val="20"/>
          <w:color w:val="auto"/>
        </w:rPr>
      </w:pPr>
    </w:p>
    <w:p>
      <w:pPr>
        <w:ind w:left="1020" w:right="1260" w:hanging="215"/>
        <w:spacing w:after="0" w:line="23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entered into a capital lease transaction that resulted in an increase in property and equipment and debt of $85 million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172</w:t>
            </w:r>
          </w:p>
        </w:tc>
      </w:tr>
    </w:tbl>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enter into long-term commitments with third parties in the ordinary course of our business, including commitments to acquire film and television programming, creative talent and employment agreements, and various other television-related commitments. Many of our employees, including writers, directors, actors, technical and production personnel, and others, as well as some of our on-air and creative talent, are covered by collective bargaining agreements or works councils. As of December 31, 2014, the total number of full-time, part-time and hourly employees on our payroll covered by collective bargaining agreements was 7,400 full-time equivalent employees. Of this total, approximately 30% of these full-time equivalent employees were covered by collective bargaining agreements that have expired or are scheduled to expire during 2015.</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and equipment under operating leases. Programming and talent commitments include acquired film and television programming, including U.S. television rights to the Olympic Games through 2032,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and other programming commitments, as well as various contracts with creative talent and employment agreements.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4640" w:type="dxa"/>
            <w:vAlign w:val="bottom"/>
            <w:gridSpan w:val="2"/>
          </w:tcPr>
          <w:p>
            <w:pPr>
              <w:jc w:val="right"/>
              <w:ind w:right="75"/>
              <w:spacing w:after="0"/>
              <w:rPr>
                <w:sz w:val="20"/>
                <w:szCs w:val="20"/>
                <w:color w:val="auto"/>
              </w:rPr>
            </w:pPr>
            <w:r>
              <w:rPr>
                <w:rFonts w:ascii="Arial" w:cs="Arial" w:eastAsia="Arial" w:hAnsi="Arial"/>
                <w:sz w:val="14"/>
                <w:szCs w:val="14"/>
                <w:color w:val="auto"/>
              </w:rPr>
              <w:t>Programming</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59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40" w:type="dxa"/>
            <w:vAlign w:val="bottom"/>
          </w:tcPr>
          <w:p>
            <w:pPr>
              <w:jc w:val="right"/>
              <w:ind w:right="75"/>
              <w:spacing w:after="0" w:line="149" w:lineRule="exact"/>
              <w:rPr>
                <w:sz w:val="20"/>
                <w:szCs w:val="20"/>
                <w:color w:val="auto"/>
              </w:rPr>
            </w:pPr>
            <w:r>
              <w:rPr>
                <w:rFonts w:ascii="Arial" w:cs="Arial" w:eastAsia="Arial" w:hAnsi="Arial"/>
                <w:sz w:val="14"/>
                <w:szCs w:val="14"/>
                <w:color w:val="auto"/>
                <w:w w:val="99"/>
              </w:rPr>
              <w:t>and Talent</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Operating</w:t>
            </w:r>
          </w:p>
        </w:tc>
      </w:tr>
      <w:tr>
        <w:trPr>
          <w:trHeight w:val="149"/>
        </w:trPr>
        <w:tc>
          <w:tcPr>
            <w:tcW w:w="59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2014 (in millions)</w:t>
            </w:r>
          </w:p>
        </w:tc>
        <w:tc>
          <w:tcPr>
            <w:tcW w:w="4640" w:type="dxa"/>
            <w:vAlign w:val="bottom"/>
            <w:tcBorders>
              <w:bottom w:val="single" w:sz="8" w:color="auto"/>
            </w:tcBorders>
            <w:gridSpan w:val="2"/>
          </w:tcPr>
          <w:p>
            <w:pPr>
              <w:ind w:left="3660"/>
              <w:spacing w:after="0" w:line="149" w:lineRule="exact"/>
              <w:rPr>
                <w:sz w:val="20"/>
                <w:szCs w:val="20"/>
                <w:color w:val="auto"/>
              </w:rPr>
            </w:pPr>
            <w:r>
              <w:rPr>
                <w:rFonts w:ascii="Arial" w:cs="Arial" w:eastAsia="Arial" w:hAnsi="Arial"/>
                <w:sz w:val="14"/>
                <w:szCs w:val="14"/>
                <w:color w:val="auto"/>
              </w:rPr>
              <w:t>Commitments</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9" w:lineRule="exact"/>
              <w:rPr>
                <w:sz w:val="20"/>
                <w:szCs w:val="20"/>
                <w:color w:val="auto"/>
              </w:rPr>
            </w:pPr>
            <w:r>
              <w:rPr>
                <w:rFonts w:ascii="Arial" w:cs="Arial" w:eastAsia="Arial" w:hAnsi="Arial"/>
                <w:sz w:val="14"/>
                <w:szCs w:val="14"/>
                <w:color w:val="auto"/>
              </w:rPr>
              <w:t>Leases</w:t>
            </w:r>
          </w:p>
        </w:tc>
      </w:tr>
      <w:tr>
        <w:trPr>
          <w:trHeight w:val="199"/>
        </w:trPr>
        <w:tc>
          <w:tcPr>
            <w:tcW w:w="5920" w:type="dxa"/>
            <w:vAlign w:val="bottom"/>
          </w:tcPr>
          <w:p>
            <w:pPr>
              <w:spacing w:after="0" w:line="200" w:lineRule="exact"/>
              <w:rPr>
                <w:sz w:val="20"/>
                <w:szCs w:val="20"/>
                <w:color w:val="auto"/>
              </w:rPr>
            </w:pPr>
            <w:r>
              <w:rPr>
                <w:rFonts w:ascii="Arial" w:cs="Arial" w:eastAsia="Arial" w:hAnsi="Arial"/>
                <w:sz w:val="18"/>
                <w:szCs w:val="18"/>
                <w:color w:val="auto"/>
              </w:rPr>
              <w:t>2015</w:t>
            </w:r>
          </w:p>
        </w:tc>
        <w:tc>
          <w:tcPr>
            <w:tcW w:w="3800" w:type="dxa"/>
            <w:vAlign w:val="bottom"/>
          </w:tcPr>
          <w:p>
            <w:pPr>
              <w:ind w:left="3640"/>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0" w:lineRule="exact"/>
              <w:rPr>
                <w:sz w:val="20"/>
                <w:szCs w:val="20"/>
                <w:color w:val="auto"/>
              </w:rPr>
            </w:pPr>
            <w:r>
              <w:rPr>
                <w:rFonts w:ascii="Arial" w:cs="Arial" w:eastAsia="Arial" w:hAnsi="Arial"/>
                <w:sz w:val="18"/>
                <w:szCs w:val="18"/>
                <w:color w:val="auto"/>
              </w:rPr>
              <w:t>4,898</w:t>
            </w:r>
          </w:p>
        </w:tc>
        <w:tc>
          <w:tcPr>
            <w:tcW w:w="280" w:type="dxa"/>
            <w:vAlign w:val="bottom"/>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150</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800" w:type="dxa"/>
            <w:vAlign w:val="bottom"/>
          </w:tcPr>
          <w:p>
            <w:pPr>
              <w:ind w:left="3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4,648</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135</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800" w:type="dxa"/>
            <w:vAlign w:val="bottom"/>
          </w:tcPr>
          <w:p>
            <w:pPr>
              <w:ind w:left="3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3,173</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107</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800" w:type="dxa"/>
            <w:vAlign w:val="bottom"/>
          </w:tcPr>
          <w:p>
            <w:pPr>
              <w:ind w:left="3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3,998</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89</w:t>
            </w: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3800" w:type="dxa"/>
            <w:vAlign w:val="bottom"/>
          </w:tcPr>
          <w:p>
            <w:pPr>
              <w:ind w:left="3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2,793</w:t>
            </w:r>
          </w:p>
        </w:tc>
        <w:tc>
          <w:tcPr>
            <w:tcW w:w="280" w:type="dxa"/>
            <w:vAlign w:val="bottom"/>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73</w:t>
            </w:r>
          </w:p>
        </w:tc>
      </w:tr>
      <w:tr>
        <w:trPr>
          <w:trHeight w:val="199"/>
        </w:trPr>
        <w:tc>
          <w:tcPr>
            <w:tcW w:w="5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auto"/>
            </w:tcBorders>
          </w:tcPr>
          <w:p>
            <w:pPr>
              <w:ind w:left="3640"/>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5"/>
              <w:spacing w:after="0" w:line="200" w:lineRule="exact"/>
              <w:rPr>
                <w:sz w:val="20"/>
                <w:szCs w:val="20"/>
                <w:color w:val="auto"/>
              </w:rPr>
            </w:pPr>
            <w:r>
              <w:rPr>
                <w:rFonts w:ascii="Arial" w:cs="Arial" w:eastAsia="Arial" w:hAnsi="Arial"/>
                <w:sz w:val="18"/>
                <w:szCs w:val="18"/>
                <w:color w:val="auto"/>
              </w:rPr>
              <w:t>26,130</w:t>
            </w:r>
          </w:p>
        </w:tc>
        <w:tc>
          <w:tcPr>
            <w:tcW w:w="280" w:type="dxa"/>
            <w:vAlign w:val="bottom"/>
            <w:tcBorders>
              <w:bottom w:val="single" w:sz="8" w:color="auto"/>
            </w:tcBorders>
          </w:tcPr>
          <w:p>
            <w:pPr>
              <w:ind w:left="160"/>
              <w:spacing w:after="0" w:line="20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402</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 expense charged to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2012</w:t>
            </w:r>
          </w:p>
        </w:tc>
      </w:tr>
      <w:tr>
        <w:trPr>
          <w:trHeight w:val="196"/>
        </w:trPr>
        <w:tc>
          <w:tcPr>
            <w:tcW w:w="5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 expense</w:t>
            </w:r>
          </w:p>
        </w:tc>
        <w:tc>
          <w:tcPr>
            <w:tcW w:w="41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b w:val="1"/>
                <w:bCs w:val="1"/>
                <w:color w:val="auto"/>
              </w:rPr>
              <w:t>$ 222</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$ 250</w:t>
            </w:r>
          </w:p>
        </w:tc>
        <w:tc>
          <w:tcPr>
            <w:tcW w:w="680" w:type="dxa"/>
            <w:vAlign w:val="bottom"/>
            <w:tcBorders>
              <w:bottom w:val="single" w:sz="8" w:color="auto"/>
            </w:tcBorders>
          </w:tcPr>
          <w:p>
            <w:pPr>
              <w:jc w:val="right"/>
              <w:ind w:right="22"/>
              <w:spacing w:after="0" w:line="196" w:lineRule="exact"/>
              <w:rPr>
                <w:sz w:val="20"/>
                <w:szCs w:val="20"/>
                <w:color w:val="auto"/>
              </w:rPr>
            </w:pPr>
            <w:r>
              <w:rPr>
                <w:rFonts w:ascii="Arial" w:cs="Arial" w:eastAsia="Arial" w:hAnsi="Arial"/>
                <w:sz w:val="18"/>
                <w:szCs w:val="18"/>
                <w:color w:val="auto"/>
              </w:rPr>
              <w:t>$ 317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four reportable business segments: Cable Networks, Broadcast Television, Filmed Entertainment and Theme Parks.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data by reportable business segment is presented in the tables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60"/>
              <w:spacing w:after="0" w:line="149" w:lineRule="exact"/>
              <w:rPr>
                <w:sz w:val="20"/>
                <w:szCs w:val="20"/>
                <w:color w:val="auto"/>
              </w:rPr>
            </w:pPr>
            <w:r>
              <w:rPr>
                <w:rFonts w:ascii="Arial" w:cs="Arial" w:eastAsia="Arial" w:hAnsi="Arial"/>
                <w:sz w:val="14"/>
                <w:szCs w:val="14"/>
                <w:color w:val="auto"/>
              </w:rPr>
              <w:t>Income (Loss)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60" w:type="dxa"/>
            <w:vAlign w:val="bottom"/>
            <w:gridSpan w:val="2"/>
            <w:vMerge w:val="restart"/>
          </w:tcPr>
          <w:p>
            <w:pPr>
              <w:jc w:val="right"/>
              <w:ind w:right="38"/>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Before Depreciation</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60"/>
              <w:spacing w:after="0" w:line="149" w:lineRule="exact"/>
              <w:rPr>
                <w:sz w:val="20"/>
                <w:szCs w:val="20"/>
                <w:color w:val="auto"/>
              </w:rPr>
            </w:pPr>
            <w:r>
              <w:rPr>
                <w:rFonts w:ascii="Arial" w:cs="Arial" w:eastAsia="Arial" w:hAnsi="Arial"/>
                <w:sz w:val="14"/>
                <w:szCs w:val="14"/>
                <w:color w:val="auto"/>
              </w:rPr>
              <w:t>and</w:t>
            </w:r>
          </w:p>
        </w:tc>
        <w:tc>
          <w:tcPr>
            <w:tcW w:w="260" w:type="dxa"/>
            <w:vAlign w:val="bottom"/>
          </w:tcPr>
          <w:p>
            <w:pPr>
              <w:spacing w:after="0"/>
              <w:rPr>
                <w:sz w:val="12"/>
                <w:szCs w:val="12"/>
                <w:color w:val="auto"/>
              </w:rPr>
            </w:pPr>
          </w:p>
        </w:tc>
        <w:tc>
          <w:tcPr>
            <w:tcW w:w="6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and</w:t>
            </w: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2"/>
                <w:szCs w:val="12"/>
                <w:color w:val="auto"/>
              </w:rPr>
            </w:pPr>
          </w:p>
        </w:tc>
        <w:tc>
          <w:tcPr>
            <w:tcW w:w="6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Capital</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color w:val="auto"/>
              </w:rPr>
              <w:t>(g)</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line="162" w:lineRule="exact"/>
              <w:rPr>
                <w:sz w:val="20"/>
                <w:szCs w:val="20"/>
                <w:color w:val="auto"/>
              </w:rPr>
            </w:pPr>
            <w:r>
              <w:rPr>
                <w:rFonts w:ascii="Arial" w:cs="Arial" w:eastAsia="Arial" w:hAnsi="Arial"/>
                <w:sz w:val="12"/>
                <w:szCs w:val="12"/>
                <w:color w:val="auto"/>
              </w:rPr>
              <w:t>Amortization</w:t>
            </w:r>
            <w:r>
              <w:rPr>
                <w:rFonts w:ascii="Arial" w:cs="Arial" w:eastAsia="Arial" w:hAnsi="Arial"/>
                <w:sz w:val="18"/>
                <w:szCs w:val="18"/>
                <w:color w:val="auto"/>
                <w:vertAlign w:val="superscript"/>
              </w:rPr>
              <w:t>(f)</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6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2014</w:t>
            </w:r>
          </w:p>
        </w:tc>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3" w:lineRule="exact"/>
              <w:rPr>
                <w:sz w:val="20"/>
                <w:szCs w:val="20"/>
                <w:color w:val="auto"/>
              </w:rPr>
            </w:pPr>
            <w:r>
              <w:rPr>
                <w:rFonts w:ascii="Arial" w:cs="Arial" w:eastAsia="Arial" w:hAnsi="Arial"/>
                <w:sz w:val="18"/>
                <w:szCs w:val="18"/>
                <w:color w:val="auto"/>
              </w:rPr>
              <w:t>Cable Networks</w:t>
            </w:r>
            <w:r>
              <w:rPr>
                <w:rFonts w:ascii="Arial" w:cs="Arial" w:eastAsia="Arial" w:hAnsi="Arial"/>
                <w:sz w:val="22"/>
                <w:szCs w:val="22"/>
                <w:color w:val="auto"/>
                <w:vertAlign w:val="superscript"/>
              </w:rPr>
              <w:t>(a)(b)</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9,563</w:t>
            </w:r>
          </w:p>
        </w:tc>
        <w:tc>
          <w:tcPr>
            <w:tcW w:w="2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3,589</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748</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2,841</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49</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$ 28,582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(b)</w:t>
            </w:r>
          </w:p>
        </w:tc>
        <w:tc>
          <w:tcPr>
            <w:tcW w:w="1560" w:type="dxa"/>
            <w:vAlign w:val="bottom"/>
          </w:tcPr>
          <w:p>
            <w:pPr>
              <w:spacing w:after="0"/>
              <w:rPr>
                <w:sz w:val="17"/>
                <w:szCs w:val="17"/>
                <w:color w:val="auto"/>
              </w:rPr>
            </w:pPr>
          </w:p>
        </w:tc>
        <w:tc>
          <w:tcPr>
            <w:tcW w:w="7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8,542</w:t>
            </w:r>
          </w:p>
        </w:tc>
        <w:tc>
          <w:tcPr>
            <w:tcW w:w="280" w:type="dxa"/>
            <w:vAlign w:val="bottom"/>
          </w:tcPr>
          <w:p>
            <w:pPr>
              <w:spacing w:after="0"/>
              <w:rPr>
                <w:sz w:val="17"/>
                <w:szCs w:val="17"/>
                <w:color w:val="auto"/>
              </w:rPr>
            </w:pPr>
          </w:p>
        </w:tc>
        <w:tc>
          <w:tcPr>
            <w:tcW w:w="11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734</w:t>
            </w:r>
          </w:p>
        </w:tc>
        <w:tc>
          <w:tcPr>
            <w:tcW w:w="26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127</w:t>
            </w:r>
          </w:p>
        </w:tc>
        <w:tc>
          <w:tcPr>
            <w:tcW w:w="36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607</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76</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3"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22"/>
                <w:szCs w:val="22"/>
                <w:color w:val="auto"/>
                <w:vertAlign w:val="superscript"/>
              </w:rPr>
              <w:t>(a)</w:t>
            </w:r>
          </w:p>
        </w:tc>
        <w:tc>
          <w:tcPr>
            <w:tcW w:w="1560" w:type="dxa"/>
            <w:vAlign w:val="bottom"/>
          </w:tcPr>
          <w:p>
            <w:pPr>
              <w:spacing w:after="0"/>
              <w:rPr>
                <w:sz w:val="17"/>
                <w:szCs w:val="17"/>
                <w:color w:val="auto"/>
              </w:rPr>
            </w:pPr>
          </w:p>
        </w:tc>
        <w:tc>
          <w:tcPr>
            <w:tcW w:w="7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5,008</w:t>
            </w:r>
          </w:p>
        </w:tc>
        <w:tc>
          <w:tcPr>
            <w:tcW w:w="280" w:type="dxa"/>
            <w:vAlign w:val="bottom"/>
          </w:tcPr>
          <w:p>
            <w:pPr>
              <w:spacing w:after="0"/>
              <w:rPr>
                <w:sz w:val="17"/>
                <w:szCs w:val="17"/>
                <w:color w:val="auto"/>
              </w:rPr>
            </w:pPr>
          </w:p>
        </w:tc>
        <w:tc>
          <w:tcPr>
            <w:tcW w:w="11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711</w:t>
            </w:r>
          </w:p>
        </w:tc>
        <w:tc>
          <w:tcPr>
            <w:tcW w:w="26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690</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1560" w:type="dxa"/>
            <w:vAlign w:val="bottom"/>
          </w:tcPr>
          <w:p>
            <w:pPr>
              <w:spacing w:after="0"/>
              <w:rPr>
                <w:sz w:val="17"/>
                <w:szCs w:val="17"/>
                <w:color w:val="auto"/>
              </w:rPr>
            </w:pPr>
          </w:p>
        </w:tc>
        <w:tc>
          <w:tcPr>
            <w:tcW w:w="7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2,623</w:t>
            </w:r>
          </w:p>
        </w:tc>
        <w:tc>
          <w:tcPr>
            <w:tcW w:w="280" w:type="dxa"/>
            <w:vAlign w:val="bottom"/>
          </w:tcPr>
          <w:p>
            <w:pPr>
              <w:spacing w:after="0"/>
              <w:rPr>
                <w:sz w:val="17"/>
                <w:szCs w:val="17"/>
                <w:color w:val="auto"/>
              </w:rPr>
            </w:pPr>
          </w:p>
        </w:tc>
        <w:tc>
          <w:tcPr>
            <w:tcW w:w="1120" w:type="dxa"/>
            <w:vAlign w:val="bottom"/>
          </w:tcPr>
          <w:p>
            <w:pPr>
              <w:jc w:val="right"/>
              <w:ind w:right="60"/>
              <w:spacing w:after="0" w:line="202" w:lineRule="exact"/>
              <w:rPr>
                <w:sz w:val="20"/>
                <w:szCs w:val="20"/>
                <w:color w:val="auto"/>
              </w:rPr>
            </w:pPr>
            <w:r>
              <w:rPr>
                <w:rFonts w:ascii="Arial" w:cs="Arial" w:eastAsia="Arial" w:hAnsi="Arial"/>
                <w:sz w:val="18"/>
                <w:szCs w:val="18"/>
                <w:color w:val="auto"/>
              </w:rPr>
              <w:t>1,168</w:t>
            </w:r>
          </w:p>
        </w:tc>
        <w:tc>
          <w:tcPr>
            <w:tcW w:w="26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273</w:t>
            </w:r>
          </w:p>
        </w:tc>
        <w:tc>
          <w:tcPr>
            <w:tcW w:w="36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895</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671</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(c)</w:t>
            </w:r>
          </w:p>
        </w:tc>
        <w:tc>
          <w:tcPr>
            <w:tcW w:w="1560" w:type="dxa"/>
            <w:vAlign w:val="bottom"/>
          </w:tcPr>
          <w:p>
            <w:pPr>
              <w:spacing w:after="0"/>
              <w:rPr>
                <w:sz w:val="17"/>
                <w:szCs w:val="17"/>
                <w:color w:val="auto"/>
              </w:rPr>
            </w:pPr>
          </w:p>
        </w:tc>
        <w:tc>
          <w:tcPr>
            <w:tcW w:w="7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13</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(613)</w:t>
            </w:r>
          </w:p>
        </w:tc>
        <w:tc>
          <w:tcPr>
            <w:tcW w:w="26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326</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414</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(d)</w:t>
            </w:r>
          </w:p>
        </w:tc>
        <w:tc>
          <w:tcPr>
            <w:tcW w:w="15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(321)</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0C6DFF"/>
            </w:tcBorders>
          </w:tcPr>
          <w:p>
            <w:pPr>
              <w:jc w:val="right"/>
              <w:ind w:right="38"/>
              <w:spacing w:after="0" w:line="196" w:lineRule="exact"/>
              <w:rPr>
                <w:sz w:val="20"/>
                <w:szCs w:val="20"/>
                <w:color w:val="auto"/>
              </w:rPr>
            </w:pPr>
            <w:r>
              <w:rPr>
                <w:rFonts w:ascii="Arial" w:cs="Arial" w:eastAsia="Arial" w:hAnsi="Arial"/>
                <w:sz w:val="18"/>
                <w:szCs w:val="18"/>
                <w:b w:val="1"/>
                <w:bCs w:val="1"/>
                <w:color w:val="auto"/>
              </w:rPr>
              <w:t>25,428</w:t>
            </w:r>
          </w:p>
        </w:tc>
        <w:tc>
          <w:tcPr>
            <w:tcW w:w="280" w:type="dxa"/>
            <w:vAlign w:val="bottom"/>
            <w:tcBorders>
              <w:bottom w:val="single" w:sz="8" w:color="0C6DFF"/>
            </w:tcBorders>
          </w:tcPr>
          <w:p>
            <w:pPr>
              <w:jc w:val="right"/>
              <w:ind w:right="39"/>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0C6DFF"/>
            </w:tcBorders>
          </w:tcPr>
          <w:p>
            <w:pPr>
              <w:jc w:val="right"/>
              <w:ind w:right="60"/>
              <w:spacing w:after="0" w:line="196" w:lineRule="exact"/>
              <w:rPr>
                <w:sz w:val="20"/>
                <w:szCs w:val="20"/>
                <w:color w:val="auto"/>
              </w:rPr>
            </w:pPr>
            <w:r>
              <w:rPr>
                <w:rFonts w:ascii="Arial" w:cs="Arial" w:eastAsia="Arial" w:hAnsi="Arial"/>
                <w:sz w:val="18"/>
                <w:szCs w:val="18"/>
                <w:b w:val="1"/>
                <w:bCs w:val="1"/>
                <w:color w:val="auto"/>
              </w:rPr>
              <w:t>5,588</w:t>
            </w:r>
          </w:p>
        </w:tc>
        <w:tc>
          <w:tcPr>
            <w:tcW w:w="2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1,495</w:t>
            </w:r>
          </w:p>
        </w:tc>
        <w:tc>
          <w:tcPr>
            <w:tcW w:w="36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4,093</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1,221</w:t>
            </w:r>
          </w:p>
        </w:tc>
        <w:tc>
          <w:tcPr>
            <w:tcW w:w="90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$ 52,617</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jc w:val="right"/>
              <w:ind w:right="38"/>
              <w:spacing w:after="0"/>
              <w:rPr>
                <w:sz w:val="20"/>
                <w:szCs w:val="20"/>
                <w:color w:val="auto"/>
              </w:rPr>
            </w:pPr>
            <w:r>
              <w:rPr>
                <w:rFonts w:ascii="Arial" w:cs="Arial" w:eastAsia="Arial" w:hAnsi="Arial"/>
                <w:sz w:val="14"/>
                <w:szCs w:val="14"/>
                <w:b w:val="1"/>
                <w:bCs w:val="1"/>
                <w:color w:val="auto"/>
              </w:rPr>
              <w:t>173</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Arial" w:cs="Arial" w:eastAsia="Arial" w:hAnsi="Arial"/>
                <w:sz w:val="14"/>
                <w:szCs w:val="14"/>
                <w:color w:val="auto"/>
              </w:rPr>
              <w:t>Comcast 2014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4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w w:val="94"/>
              </w:rPr>
              <w:t>Depreciation</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840" w:type="dxa"/>
            <w:vAlign w:val="bottom"/>
          </w:tcPr>
          <w:p>
            <w:pPr>
              <w:jc w:val="right"/>
              <w:ind w:right="58"/>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4060" w:type="dxa"/>
            <w:vAlign w:val="bottom"/>
          </w:tcPr>
          <w:p>
            <w:pPr>
              <w:spacing w:after="0"/>
              <w:rPr>
                <w:sz w:val="12"/>
                <w:szCs w:val="12"/>
                <w:color w:val="auto"/>
              </w:rPr>
            </w:pPr>
          </w:p>
        </w:tc>
        <w:tc>
          <w:tcPr>
            <w:tcW w:w="2620" w:type="dxa"/>
            <w:vAlign w:val="bottom"/>
            <w:gridSpan w:val="2"/>
          </w:tcPr>
          <w:p>
            <w:pPr>
              <w:jc w:val="right"/>
              <w:ind w:right="36"/>
              <w:spacing w:after="0" w:line="150" w:lineRule="exact"/>
              <w:rPr>
                <w:sz w:val="20"/>
                <w:szCs w:val="20"/>
                <w:color w:val="auto"/>
              </w:rPr>
            </w:pPr>
            <w:r>
              <w:rPr>
                <w:rFonts w:ascii="Arial" w:cs="Arial" w:eastAsia="Arial" w:hAnsi="Arial"/>
                <w:sz w:val="11"/>
                <w:szCs w:val="11"/>
                <w:color w:val="auto"/>
              </w:rPr>
              <w:t>Revenue</w:t>
            </w:r>
            <w:r>
              <w:rPr>
                <w:rFonts w:ascii="Arial" w:cs="Arial" w:eastAsia="Arial" w:hAnsi="Arial"/>
                <w:sz w:val="17"/>
                <w:szCs w:val="17"/>
                <w:color w:val="auto"/>
                <w:vertAlign w:val="superscript"/>
              </w:rPr>
              <w:t>(e)</w:t>
            </w:r>
          </w:p>
        </w:tc>
        <w:tc>
          <w:tcPr>
            <w:tcW w:w="18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2"/>
                <w:szCs w:val="12"/>
                <w:color w:val="auto"/>
              </w:rPr>
            </w:pPr>
          </w:p>
        </w:tc>
        <w:tc>
          <w:tcPr>
            <w:tcW w:w="6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and</w:t>
            </w:r>
          </w:p>
        </w:tc>
        <w:tc>
          <w:tcPr>
            <w:tcW w:w="840" w:type="dxa"/>
            <w:vAlign w:val="bottom"/>
          </w:tcPr>
          <w:p>
            <w:pPr>
              <w:jc w:val="right"/>
              <w:ind w:right="58"/>
              <w:spacing w:after="0" w:line="149"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2"/>
                <w:szCs w:val="12"/>
                <w:color w:val="auto"/>
              </w:rPr>
            </w:pPr>
          </w:p>
        </w:tc>
        <w:tc>
          <w:tcPr>
            <w:tcW w:w="6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Capital</w:t>
            </w:r>
          </w:p>
        </w:tc>
        <w:tc>
          <w:tcPr>
            <w:tcW w:w="920" w:type="dxa"/>
            <w:vAlign w:val="bottom"/>
          </w:tcPr>
          <w:p>
            <w:pPr>
              <w:spacing w:after="0"/>
              <w:rPr>
                <w:sz w:val="12"/>
                <w:szCs w:val="12"/>
                <w:color w:val="auto"/>
              </w:rPr>
            </w:pPr>
          </w:p>
        </w:tc>
      </w:tr>
      <w:tr>
        <w:trPr>
          <w:trHeight w:val="162"/>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9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color w:val="auto"/>
              </w:rPr>
              <w:t>(g)</w:t>
            </w:r>
          </w:p>
        </w:tc>
        <w:tc>
          <w:tcPr>
            <w:tcW w:w="1080" w:type="dxa"/>
            <w:vAlign w:val="bottom"/>
            <w:tcBorders>
              <w:bottom w:val="single" w:sz="8" w:color="auto"/>
            </w:tcBorders>
            <w:gridSpan w:val="2"/>
          </w:tcPr>
          <w:p>
            <w:pPr>
              <w:jc w:val="right"/>
              <w:ind w:right="60"/>
              <w:spacing w:after="0" w:line="162" w:lineRule="exact"/>
              <w:rPr>
                <w:sz w:val="20"/>
                <w:szCs w:val="20"/>
                <w:color w:val="auto"/>
              </w:rPr>
            </w:pPr>
            <w:r>
              <w:rPr>
                <w:rFonts w:ascii="Arial" w:cs="Arial" w:eastAsia="Arial" w:hAnsi="Arial"/>
                <w:sz w:val="12"/>
                <w:szCs w:val="12"/>
                <w:color w:val="auto"/>
              </w:rPr>
              <w:t>Amortization</w:t>
            </w:r>
            <w:r>
              <w:rPr>
                <w:rFonts w:ascii="Arial" w:cs="Arial" w:eastAsia="Arial" w:hAnsi="Arial"/>
                <w:sz w:val="18"/>
                <w:szCs w:val="18"/>
                <w:color w:val="auto"/>
                <w:vertAlign w:val="superscript"/>
              </w:rPr>
              <w:t>(f)</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199"/>
        </w:trPr>
        <w:tc>
          <w:tcPr>
            <w:tcW w:w="4060" w:type="dxa"/>
            <w:vAlign w:val="bottom"/>
          </w:tcPr>
          <w:p>
            <w:pPr>
              <w:spacing w:after="0" w:line="200" w:lineRule="exact"/>
              <w:rPr>
                <w:sz w:val="20"/>
                <w:szCs w:val="20"/>
                <w:color w:val="auto"/>
              </w:rPr>
            </w:pPr>
            <w:r>
              <w:rPr>
                <w:rFonts w:ascii="Arial" w:cs="Arial" w:eastAsia="Arial" w:hAnsi="Arial"/>
                <w:sz w:val="18"/>
                <w:szCs w:val="18"/>
                <w:b w:val="1"/>
                <w:bCs w:val="1"/>
                <w:color w:val="auto"/>
              </w:rPr>
              <w:t>2013</w:t>
            </w:r>
          </w:p>
        </w:tc>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9,201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3,501</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734</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$ 2,767</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$ 29,413</w:t>
            </w: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92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7,120</w:t>
            </w:r>
          </w:p>
        </w:tc>
        <w:tc>
          <w:tcPr>
            <w:tcW w:w="180" w:type="dxa"/>
            <w:vAlign w:val="bottom"/>
          </w:tcPr>
          <w:p>
            <w:pPr>
              <w:spacing w:after="0"/>
              <w:rPr>
                <w:sz w:val="17"/>
                <w:szCs w:val="17"/>
                <w:color w:val="auto"/>
              </w:rPr>
            </w:pP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345</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98</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247</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65</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6,723</w:t>
            </w: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192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5,452</w:t>
            </w:r>
          </w:p>
        </w:tc>
        <w:tc>
          <w:tcPr>
            <w:tcW w:w="180" w:type="dxa"/>
            <w:vAlign w:val="bottom"/>
          </w:tcPr>
          <w:p>
            <w:pPr>
              <w:spacing w:after="0"/>
              <w:rPr>
                <w:sz w:val="17"/>
                <w:szCs w:val="17"/>
                <w:color w:val="auto"/>
              </w:rPr>
            </w:pP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483</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468</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3,549</w:t>
            </w: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92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2,235</w:t>
            </w:r>
          </w:p>
        </w:tc>
        <w:tc>
          <w:tcPr>
            <w:tcW w:w="180" w:type="dxa"/>
            <w:vAlign w:val="bottom"/>
          </w:tcPr>
          <w:p>
            <w:pPr>
              <w:spacing w:after="0"/>
              <w:rPr>
                <w:sz w:val="17"/>
                <w:szCs w:val="17"/>
                <w:color w:val="auto"/>
              </w:rPr>
            </w:pP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1,004</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300</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704</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580</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6,608</w:t>
            </w: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192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439</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6,002</w:t>
            </w:r>
          </w:p>
        </w:tc>
      </w:tr>
      <w:tr>
        <w:trPr>
          <w:trHeight w:val="199"/>
        </w:trPr>
        <w:tc>
          <w:tcPr>
            <w:tcW w:w="40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19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(389)</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(556)</w:t>
            </w:r>
          </w:p>
        </w:tc>
      </w:tr>
      <w:tr>
        <w:trPr>
          <w:trHeight w:val="196"/>
        </w:trPr>
        <w:tc>
          <w:tcPr>
            <w:tcW w:w="40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19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23,650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C6DFF"/>
            </w:tcBorders>
          </w:tcPr>
          <w:p>
            <w:pPr>
              <w:jc w:val="right"/>
              <w:ind w:right="60"/>
              <w:spacing w:after="0" w:line="196" w:lineRule="exact"/>
              <w:rPr>
                <w:sz w:val="20"/>
                <w:szCs w:val="20"/>
                <w:color w:val="auto"/>
              </w:rPr>
            </w:pPr>
            <w:r>
              <w:rPr>
                <w:rFonts w:ascii="Arial" w:cs="Arial" w:eastAsia="Arial" w:hAnsi="Arial"/>
                <w:sz w:val="18"/>
                <w:szCs w:val="18"/>
                <w:color w:val="auto"/>
              </w:rPr>
              <w:t>4,732</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1,411</w:t>
            </w:r>
          </w:p>
        </w:tc>
        <w:tc>
          <w:tcPr>
            <w:tcW w:w="840" w:type="dxa"/>
            <w:vAlign w:val="bottom"/>
            <w:tcBorders>
              <w:bottom w:val="single" w:sz="8" w:color="0C6DFF"/>
            </w:tcBorders>
          </w:tcPr>
          <w:p>
            <w:pPr>
              <w:jc w:val="right"/>
              <w:ind w:right="58"/>
              <w:spacing w:after="0" w:line="196" w:lineRule="exact"/>
              <w:rPr>
                <w:sz w:val="20"/>
                <w:szCs w:val="20"/>
                <w:color w:val="auto"/>
              </w:rPr>
            </w:pPr>
            <w:r>
              <w:rPr>
                <w:rFonts w:ascii="Arial" w:cs="Arial" w:eastAsia="Arial" w:hAnsi="Arial"/>
                <w:sz w:val="18"/>
                <w:szCs w:val="18"/>
                <w:color w:val="auto"/>
              </w:rPr>
              <w:t>$ 3,321</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1,160</w:t>
            </w:r>
          </w:p>
        </w:tc>
        <w:tc>
          <w:tcPr>
            <w:tcW w:w="9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$ 51,739</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4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0"/>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0"/>
              <w:spacing w:after="0" w:line="149" w:lineRule="exact"/>
              <w:rPr>
                <w:sz w:val="20"/>
                <w:szCs w:val="20"/>
                <w:color w:val="auto"/>
              </w:rPr>
            </w:pPr>
            <w:r>
              <w:rPr>
                <w:rFonts w:ascii="Arial" w:cs="Arial" w:eastAsia="Arial" w:hAnsi="Arial"/>
                <w:sz w:val="14"/>
                <w:szCs w:val="14"/>
                <w:color w:val="auto"/>
                <w:w w:val="94"/>
              </w:rPr>
              <w:t>Depreciation</w:t>
            </w:r>
          </w:p>
        </w:tc>
        <w:tc>
          <w:tcPr>
            <w:tcW w:w="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2860" w:type="dxa"/>
            <w:vAlign w:val="bottom"/>
            <w:gridSpan w:val="2"/>
          </w:tcPr>
          <w:p>
            <w:pPr>
              <w:jc w:val="right"/>
              <w:ind w:right="36"/>
              <w:spacing w:after="0" w:line="150" w:lineRule="exact"/>
              <w:rPr>
                <w:sz w:val="20"/>
                <w:szCs w:val="20"/>
                <w:color w:val="auto"/>
              </w:rPr>
            </w:pPr>
            <w:r>
              <w:rPr>
                <w:rFonts w:ascii="Arial" w:cs="Arial" w:eastAsia="Arial" w:hAnsi="Arial"/>
                <w:sz w:val="11"/>
                <w:szCs w:val="11"/>
                <w:color w:val="auto"/>
              </w:rPr>
              <w:t>Revenue</w:t>
            </w:r>
            <w:r>
              <w:rPr>
                <w:rFonts w:ascii="Arial" w:cs="Arial" w:eastAsia="Arial" w:hAnsi="Arial"/>
                <w:sz w:val="17"/>
                <w:szCs w:val="17"/>
                <w:color w:val="auto"/>
                <w:vertAlign w:val="superscript"/>
              </w:rPr>
              <w:t>(e)</w:t>
            </w:r>
          </w:p>
        </w:tc>
        <w:tc>
          <w:tcPr>
            <w:tcW w:w="180" w:type="dxa"/>
            <w:vAlign w:val="bottom"/>
          </w:tcPr>
          <w:p>
            <w:pPr>
              <w:spacing w:after="0"/>
              <w:rPr>
                <w:sz w:val="12"/>
                <w:szCs w:val="12"/>
                <w:color w:val="auto"/>
              </w:rPr>
            </w:pPr>
          </w:p>
        </w:tc>
        <w:tc>
          <w:tcPr>
            <w:tcW w:w="880" w:type="dxa"/>
            <w:vAlign w:val="bottom"/>
          </w:tcPr>
          <w:p>
            <w:pPr>
              <w:jc w:val="right"/>
              <w:ind w:right="40"/>
              <w:spacing w:after="0" w:line="149"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2"/>
                <w:szCs w:val="12"/>
                <w:color w:val="auto"/>
              </w:rPr>
            </w:pPr>
          </w:p>
        </w:tc>
        <w:tc>
          <w:tcPr>
            <w:tcW w:w="6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and</w:t>
            </w: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2"/>
                <w:szCs w:val="12"/>
                <w:color w:val="auto"/>
              </w:rPr>
            </w:pPr>
          </w:p>
        </w:tc>
        <w:tc>
          <w:tcPr>
            <w:tcW w:w="660" w:type="dxa"/>
            <w:vAlign w:val="bottom"/>
          </w:tcPr>
          <w:p>
            <w:pPr>
              <w:jc w:val="right"/>
              <w:ind w:right="15"/>
              <w:spacing w:after="0" w:line="149" w:lineRule="exact"/>
              <w:rPr>
                <w:sz w:val="20"/>
                <w:szCs w:val="20"/>
                <w:color w:val="auto"/>
              </w:rPr>
            </w:pPr>
            <w:r>
              <w:rPr>
                <w:rFonts w:ascii="Arial" w:cs="Arial" w:eastAsia="Arial" w:hAnsi="Arial"/>
                <w:sz w:val="14"/>
                <w:szCs w:val="14"/>
                <w:color w:val="auto"/>
              </w:rPr>
              <w:t>Capital</w:t>
            </w:r>
          </w:p>
        </w:tc>
      </w:tr>
      <w:tr>
        <w:trPr>
          <w:trHeight w:val="162"/>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color w:val="auto"/>
              </w:rPr>
              <w:t>(g)</w:t>
            </w:r>
          </w:p>
        </w:tc>
        <w:tc>
          <w:tcPr>
            <w:tcW w:w="1060" w:type="dxa"/>
            <w:vAlign w:val="bottom"/>
            <w:tcBorders>
              <w:bottom w:val="single" w:sz="8" w:color="auto"/>
            </w:tcBorders>
            <w:gridSpan w:val="2"/>
          </w:tcPr>
          <w:p>
            <w:pPr>
              <w:jc w:val="right"/>
              <w:ind w:right="40"/>
              <w:spacing w:after="0" w:line="162" w:lineRule="exact"/>
              <w:rPr>
                <w:sz w:val="20"/>
                <w:szCs w:val="20"/>
                <w:color w:val="auto"/>
              </w:rPr>
            </w:pPr>
            <w:r>
              <w:rPr>
                <w:rFonts w:ascii="Arial" w:cs="Arial" w:eastAsia="Arial" w:hAnsi="Arial"/>
                <w:sz w:val="12"/>
                <w:szCs w:val="12"/>
                <w:color w:val="auto"/>
              </w:rPr>
              <w:t>Amortization</w:t>
            </w:r>
            <w:r>
              <w:rPr>
                <w:rFonts w:ascii="Arial" w:cs="Arial" w:eastAsia="Arial" w:hAnsi="Arial"/>
                <w:sz w:val="18"/>
                <w:szCs w:val="18"/>
                <w:color w:val="auto"/>
                <w:vertAlign w:val="superscript"/>
              </w:rPr>
              <w:t>(f)</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(Loss)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r>
      <w:tr>
        <w:trPr>
          <w:trHeight w:val="199"/>
        </w:trPr>
        <w:tc>
          <w:tcPr>
            <w:tcW w:w="4260" w:type="dxa"/>
            <w:vAlign w:val="bottom"/>
          </w:tcPr>
          <w:p>
            <w:pPr>
              <w:spacing w:after="0" w:line="200" w:lineRule="exact"/>
              <w:rPr>
                <w:sz w:val="20"/>
                <w:szCs w:val="20"/>
                <w:color w:val="auto"/>
              </w:rPr>
            </w:pPr>
            <w:r>
              <w:rPr>
                <w:rFonts w:ascii="Arial" w:cs="Arial" w:eastAsia="Arial" w:hAnsi="Arial"/>
                <w:sz w:val="18"/>
                <w:szCs w:val="18"/>
                <w:b w:val="1"/>
                <w:bCs w:val="1"/>
                <w:color w:val="auto"/>
              </w:rPr>
              <w:t>2012</w:t>
            </w:r>
          </w:p>
        </w:tc>
        <w:tc>
          <w:tcPr>
            <w:tcW w:w="2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8,727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3,303</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735</w:t>
            </w:r>
          </w:p>
        </w:tc>
        <w:tc>
          <w:tcPr>
            <w:tcW w:w="4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2,568</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150</w:t>
            </w: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(b)</w:t>
            </w:r>
          </w:p>
        </w:tc>
        <w:tc>
          <w:tcPr>
            <w:tcW w:w="216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8,200</w:t>
            </w:r>
          </w:p>
        </w:tc>
        <w:tc>
          <w:tcPr>
            <w:tcW w:w="180" w:type="dxa"/>
            <w:vAlign w:val="bottom"/>
          </w:tcPr>
          <w:p>
            <w:pPr>
              <w:spacing w:after="0"/>
              <w:rPr>
                <w:sz w:val="17"/>
                <w:szCs w:val="17"/>
                <w:color w:val="auto"/>
              </w:rPr>
            </w:pPr>
          </w:p>
        </w:tc>
        <w:tc>
          <w:tcPr>
            <w:tcW w:w="88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30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97</w:t>
            </w:r>
          </w:p>
        </w:tc>
        <w:tc>
          <w:tcPr>
            <w:tcW w:w="4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261</w:t>
            </w:r>
          </w:p>
        </w:tc>
        <w:tc>
          <w:tcPr>
            <w:tcW w:w="32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65</w:t>
            </w: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r>
              <w:rPr>
                <w:rFonts w:ascii="Arial" w:cs="Arial" w:eastAsia="Arial" w:hAnsi="Arial"/>
                <w:sz w:val="11"/>
                <w:szCs w:val="11"/>
                <w:color w:val="auto"/>
              </w:rPr>
              <w:t>(a)</w:t>
            </w:r>
          </w:p>
        </w:tc>
        <w:tc>
          <w:tcPr>
            <w:tcW w:w="216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5,159</w:t>
            </w:r>
          </w:p>
        </w:tc>
        <w:tc>
          <w:tcPr>
            <w:tcW w:w="180" w:type="dxa"/>
            <w:vAlign w:val="bottom"/>
          </w:tcPr>
          <w:p>
            <w:pPr>
              <w:spacing w:after="0"/>
              <w:rPr>
                <w:sz w:val="17"/>
                <w:szCs w:val="17"/>
                <w:color w:val="auto"/>
              </w:rPr>
            </w:pPr>
          </w:p>
        </w:tc>
        <w:tc>
          <w:tcPr>
            <w:tcW w:w="880" w:type="dxa"/>
            <w:vAlign w:val="bottom"/>
          </w:tcPr>
          <w:p>
            <w:pPr>
              <w:jc w:val="right"/>
              <w:ind w:right="40"/>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w:t>
            </w:r>
          </w:p>
        </w:tc>
        <w:tc>
          <w:tcPr>
            <w:tcW w:w="4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w:t>
            </w: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16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2,085</w:t>
            </w:r>
          </w:p>
        </w:tc>
        <w:tc>
          <w:tcPr>
            <w:tcW w:w="180" w:type="dxa"/>
            <w:vAlign w:val="bottom"/>
          </w:tcPr>
          <w:p>
            <w:pPr>
              <w:spacing w:after="0"/>
              <w:rPr>
                <w:sz w:val="17"/>
                <w:szCs w:val="17"/>
                <w:color w:val="auto"/>
              </w:rPr>
            </w:pPr>
          </w:p>
        </w:tc>
        <w:tc>
          <w:tcPr>
            <w:tcW w:w="880" w:type="dxa"/>
            <w:vAlign w:val="bottom"/>
          </w:tcPr>
          <w:p>
            <w:pPr>
              <w:jc w:val="right"/>
              <w:ind w:right="40"/>
              <w:spacing w:after="0" w:line="202" w:lineRule="exact"/>
              <w:rPr>
                <w:sz w:val="20"/>
                <w:szCs w:val="20"/>
                <w:color w:val="auto"/>
              </w:rPr>
            </w:pPr>
            <w:r>
              <w:rPr>
                <w:rFonts w:ascii="Arial" w:cs="Arial" w:eastAsia="Arial" w:hAnsi="Arial"/>
                <w:sz w:val="18"/>
                <w:szCs w:val="18"/>
                <w:color w:val="auto"/>
              </w:rPr>
              <w:t>953</w:t>
            </w:r>
          </w:p>
        </w:tc>
        <w:tc>
          <w:tcPr>
            <w:tcW w:w="30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268</w:t>
            </w:r>
          </w:p>
        </w:tc>
        <w:tc>
          <w:tcPr>
            <w:tcW w:w="460" w:type="dxa"/>
            <w:vAlign w:val="bottom"/>
          </w:tcPr>
          <w:p>
            <w:pPr>
              <w:spacing w:after="0"/>
              <w:rPr>
                <w:sz w:val="17"/>
                <w:szCs w:val="17"/>
                <w:color w:val="auto"/>
              </w:rPr>
            </w:pPr>
          </w:p>
        </w:tc>
        <w:tc>
          <w:tcPr>
            <w:tcW w:w="8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685</w:t>
            </w:r>
          </w:p>
        </w:tc>
        <w:tc>
          <w:tcPr>
            <w:tcW w:w="32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272</w:t>
            </w: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2160" w:type="dxa"/>
            <w:vAlign w:val="bottom"/>
          </w:tcPr>
          <w:p>
            <w:pPr>
              <w:spacing w:after="0"/>
              <w:rPr>
                <w:sz w:val="17"/>
                <w:szCs w:val="17"/>
                <w:color w:val="auto"/>
              </w:rPr>
            </w:pPr>
          </w:p>
        </w:tc>
        <w:tc>
          <w:tcPr>
            <w:tcW w:w="7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300" w:type="dxa"/>
            <w:vAlign w:val="bottom"/>
          </w:tcPr>
          <w:p>
            <w:pPr>
              <w:spacing w:after="0"/>
              <w:rPr>
                <w:sz w:val="17"/>
                <w:szCs w:val="17"/>
                <w:color w:val="auto"/>
              </w:rPr>
            </w:pPr>
          </w:p>
        </w:tc>
        <w:tc>
          <w:tcPr>
            <w:tcW w:w="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210</w:t>
            </w: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32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269</w:t>
            </w:r>
          </w:p>
        </w:tc>
      </w:tr>
      <w:tr>
        <w:trPr>
          <w:trHeight w:val="199"/>
        </w:trPr>
        <w:tc>
          <w:tcPr>
            <w:tcW w:w="426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2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(402)</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color w:val="auto"/>
              </w:rPr>
              <w:t>23,812</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C6DFF"/>
            </w:tcBorders>
          </w:tcPr>
          <w:p>
            <w:pPr>
              <w:jc w:val="right"/>
              <w:ind w:right="40"/>
              <w:spacing w:after="0" w:line="196" w:lineRule="exact"/>
              <w:rPr>
                <w:sz w:val="20"/>
                <w:szCs w:val="20"/>
                <w:color w:val="auto"/>
              </w:rPr>
            </w:pPr>
            <w:r>
              <w:rPr>
                <w:rFonts w:ascii="Arial" w:cs="Arial" w:eastAsia="Arial" w:hAnsi="Arial"/>
                <w:sz w:val="18"/>
                <w:szCs w:val="18"/>
                <w:color w:val="auto"/>
              </w:rPr>
              <w:t>4,107</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1,326</w:t>
            </w:r>
          </w:p>
        </w:tc>
        <w:tc>
          <w:tcPr>
            <w:tcW w:w="46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2,781</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763</w:t>
            </w:r>
          </w:p>
        </w:tc>
      </w:tr>
    </w:tbl>
    <w:p>
      <w:pPr>
        <w:spacing w:after="0" w:line="67" w:lineRule="exact"/>
        <w:rPr>
          <w:sz w:val="20"/>
          <w:szCs w:val="20"/>
          <w:color w:val="auto"/>
        </w:rPr>
      </w:pPr>
    </w:p>
    <w:p>
      <w:pPr>
        <w:ind w:left="300" w:hanging="292"/>
        <w:spacing w:after="0" w:line="231" w:lineRule="auto"/>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Beginning in 2014, Fandango, our movie ticketing and entertainment business that was previously presented in our Cable Networks segment, is now presented in the Filmed Entertainment segment to reflect the change in our management reporting presentation. Due to immateriality, prior period amounts have not been adjusted.</w:t>
      </w:r>
    </w:p>
    <w:p>
      <w:pPr>
        <w:spacing w:after="0" w:line="54" w:lineRule="exact"/>
        <w:rPr>
          <w:rFonts w:ascii="Arial" w:cs="Arial" w:eastAsia="Arial" w:hAnsi="Arial"/>
          <w:sz w:val="14"/>
          <w:szCs w:val="14"/>
          <w:color w:val="auto"/>
        </w:rPr>
      </w:pPr>
    </w:p>
    <w:p>
      <w:pPr>
        <w:ind w:left="300" w:right="20" w:hanging="292"/>
        <w:spacing w:after="0" w:line="300" w:lineRule="auto"/>
        <w:tabs>
          <w:tab w:leader="none" w:pos="3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revenue and operating costs and expenses associated with our broadcast of the 2014 Sochi Olympics were reported in our Cable Networks and Broadcast Television segments. The revenue and operating costs and expenses associated with our broadcasts of the 2012 London Olympics and the 2012 Super Bowl were reported in our Broadcast Television segment.</w:t>
      </w:r>
    </w:p>
    <w:p>
      <w:pPr>
        <w:spacing w:after="0" w:line="19" w:lineRule="exact"/>
        <w:rPr>
          <w:rFonts w:ascii="Arial" w:cs="Arial" w:eastAsia="Arial" w:hAnsi="Arial"/>
          <w:sz w:val="12"/>
          <w:szCs w:val="12"/>
          <w:color w:val="auto"/>
        </w:rPr>
      </w:pPr>
    </w:p>
    <w:p>
      <w:pPr>
        <w:ind w:left="280" w:hanging="272"/>
        <w:spacing w:after="0"/>
        <w:tabs>
          <w:tab w:leader="none" w:pos="2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corporate initiatives.</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260" w:hanging="252"/>
        <w:spacing w:after="0" w:line="224"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53" w:lineRule="exact"/>
        <w:rPr>
          <w:rFonts w:ascii="Arial" w:cs="Arial" w:eastAsia="Arial" w:hAnsi="Arial"/>
          <w:sz w:val="14"/>
          <w:szCs w:val="14"/>
          <w:color w:val="auto"/>
        </w:rPr>
      </w:pPr>
    </w:p>
    <w:p>
      <w:pPr>
        <w:ind w:left="300" w:hanging="292"/>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 below summarizes revenue by geographic location.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2012</w:t>
            </w:r>
          </w:p>
        </w:tc>
      </w:tr>
      <w:tr>
        <w:trPr>
          <w:trHeight w:val="141"/>
        </w:trPr>
        <w:tc>
          <w:tcPr>
            <w:tcW w:w="412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4120" w:type="dxa"/>
            <w:vAlign w:val="bottom"/>
          </w:tcPr>
          <w:p>
            <w:pPr>
              <w:ind w:left="220"/>
              <w:spacing w:after="0" w:line="149" w:lineRule="exact"/>
              <w:rPr>
                <w:sz w:val="20"/>
                <w:szCs w:val="20"/>
                <w:color w:val="auto"/>
              </w:rPr>
            </w:pPr>
            <w:r>
              <w:rPr>
                <w:rFonts w:ascii="Arial" w:cs="Arial" w:eastAsia="Arial" w:hAnsi="Arial"/>
                <w:sz w:val="14"/>
                <w:szCs w:val="14"/>
                <w:color w:val="auto"/>
              </w:rPr>
              <w:t>United States</w:t>
            </w:r>
          </w:p>
        </w:tc>
        <w:tc>
          <w:tcPr>
            <w:tcW w:w="5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20,995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18,887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7"/>
              </w:rPr>
              <w:t>19,348</w:t>
            </w:r>
          </w:p>
        </w:tc>
      </w:tr>
      <w:tr>
        <w:trPr>
          <w:trHeight w:val="149"/>
        </w:trPr>
        <w:tc>
          <w:tcPr>
            <w:tcW w:w="41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Foreign</w:t>
            </w:r>
          </w:p>
        </w:tc>
        <w:tc>
          <w:tcPr>
            <w:tcW w:w="5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4,433</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4,763</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4,464</w:t>
            </w:r>
          </w:p>
        </w:tc>
      </w:tr>
      <w:tr>
        <w:trPr>
          <w:trHeight w:val="506"/>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5320" w:type="dxa"/>
            <w:vAlign w:val="bottom"/>
          </w:tcPr>
          <w:p>
            <w:pPr>
              <w:jc w:val="right"/>
              <w:ind w:right="3552"/>
              <w:spacing w:after="0"/>
              <w:rPr>
                <w:sz w:val="20"/>
                <w:szCs w:val="20"/>
                <w:color w:val="auto"/>
              </w:rPr>
            </w:pPr>
            <w:r>
              <w:rPr>
                <w:rFonts w:ascii="Arial" w:cs="Arial" w:eastAsia="Arial" w:hAnsi="Arial"/>
                <w:sz w:val="14"/>
                <w:szCs w:val="14"/>
                <w:b w:val="1"/>
                <w:bCs w:val="1"/>
                <w:color w:val="auto"/>
              </w:rPr>
              <w:t>174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2014 and 2013, and for each of the three years in the period ended December 31, 2014, and the Company’s internal control over financial reporting as of December 31, 2014, and have issued our report thereon dated February 27, 2015;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175</w:t>
      </w:r>
      <w:r>
        <w:rPr>
          <w:sz w:val="20"/>
          <w:szCs w:val="20"/>
          <w:color w:val="auto"/>
        </w:rPr>
        <w:tab/>
      </w:r>
      <w:r>
        <w:rPr>
          <w:rFonts w:ascii="Arial" w:cs="Arial" w:eastAsia="Arial" w:hAnsi="Arial"/>
          <w:sz w:val="14"/>
          <w:szCs w:val="14"/>
          <w:color w:val="auto"/>
        </w:rPr>
        <w:t>Comcast 2014 Annual Report on Form 10-K</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NBCUniversal Media, LLC and subsidiaries (the “Company”) as of December 31, 2014 and 2013, and for each of the three years in the period ended December 31, 2014, and have issued our report thereon dated February 27, 2015;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2014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2014, 2013 and 2012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28"/>
        </w:trPr>
        <w:tc>
          <w:tcPr>
            <w:tcW w:w="5040" w:type="dxa"/>
            <w:vAlign w:val="bottom"/>
          </w:tcPr>
          <w:p>
            <w:pPr>
              <w:spacing w:after="0"/>
              <w:rPr>
                <w:sz w:val="11"/>
                <w:szCs w:val="11"/>
                <w:color w:val="auto"/>
              </w:rPr>
            </w:pPr>
          </w:p>
        </w:tc>
        <w:tc>
          <w:tcPr>
            <w:tcW w:w="2600" w:type="dxa"/>
            <w:vAlign w:val="bottom"/>
            <w:gridSpan w:val="2"/>
          </w:tcPr>
          <w:p>
            <w:pPr>
              <w:ind w:left="1220"/>
              <w:spacing w:after="0" w:line="129" w:lineRule="exact"/>
              <w:rPr>
                <w:sz w:val="20"/>
                <w:szCs w:val="20"/>
                <w:color w:val="auto"/>
              </w:rPr>
            </w:pPr>
            <w:r>
              <w:rPr>
                <w:rFonts w:ascii="Arial" w:cs="Arial" w:eastAsia="Arial" w:hAnsi="Arial"/>
                <w:sz w:val="14"/>
                <w:szCs w:val="14"/>
                <w:color w:val="auto"/>
              </w:rPr>
              <w:t>Balance at Beginning</w:t>
            </w:r>
          </w:p>
        </w:tc>
        <w:tc>
          <w:tcPr>
            <w:tcW w:w="420" w:type="dxa"/>
            <w:vAlign w:val="bottom"/>
          </w:tcPr>
          <w:p>
            <w:pPr>
              <w:spacing w:after="0"/>
              <w:rPr>
                <w:sz w:val="11"/>
                <w:szCs w:val="11"/>
                <w:color w:val="auto"/>
              </w:rPr>
            </w:pPr>
          </w:p>
        </w:tc>
        <w:tc>
          <w:tcPr>
            <w:tcW w:w="1040" w:type="dxa"/>
            <w:vAlign w:val="bottom"/>
          </w:tcPr>
          <w:p>
            <w:pPr>
              <w:jc w:val="right"/>
              <w:ind w:right="17"/>
              <w:spacing w:after="0" w:line="129" w:lineRule="exact"/>
              <w:rPr>
                <w:sz w:val="20"/>
                <w:szCs w:val="20"/>
                <w:color w:val="auto"/>
              </w:rPr>
            </w:pPr>
            <w:r>
              <w:rPr>
                <w:rFonts w:ascii="Arial" w:cs="Arial" w:eastAsia="Arial" w:hAnsi="Arial"/>
                <w:sz w:val="14"/>
                <w:szCs w:val="14"/>
                <w:color w:val="auto"/>
              </w:rPr>
              <w:t>Costs and</w:t>
            </w:r>
          </w:p>
        </w:tc>
        <w:tc>
          <w:tcPr>
            <w:tcW w:w="12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Balance at End</w:t>
            </w:r>
          </w:p>
        </w:tc>
      </w:t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
              <w:spacing w:after="0" w:line="170" w:lineRule="exact"/>
              <w:rPr>
                <w:sz w:val="20"/>
                <w:szCs w:val="20"/>
                <w:color w:val="auto"/>
              </w:rPr>
            </w:pPr>
            <w:r>
              <w:rPr>
                <w:rFonts w:ascii="Arial" w:cs="Arial" w:eastAsia="Arial" w:hAnsi="Arial"/>
                <w:sz w:val="12"/>
                <w:szCs w:val="12"/>
                <w:color w:val="auto"/>
              </w:rPr>
              <w:t>Expenses</w:t>
            </w:r>
            <w:r>
              <w:rPr>
                <w:rFonts w:ascii="Arial" w:cs="Arial" w:eastAsia="Arial" w:hAnsi="Arial"/>
                <w:sz w:val="19"/>
                <w:szCs w:val="19"/>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2014</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221</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162</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178</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932</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948</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359</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198</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317</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294</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221</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811</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71</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405</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202</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293</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297</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198</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663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781</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r>
      <w:tr>
        <w:trPr>
          <w:trHeight w:val="199"/>
        </w:trPr>
        <w:tc>
          <w:tcPr>
            <w:tcW w:w="5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297</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355</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24"/>
          <w:szCs w:val="24"/>
          <w:color w:val="auto"/>
        </w:rPr>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2014, 2013 and 2012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28"/>
        </w:trPr>
        <w:tc>
          <w:tcPr>
            <w:tcW w:w="5040" w:type="dxa"/>
            <w:vAlign w:val="bottom"/>
          </w:tcPr>
          <w:p>
            <w:pPr>
              <w:spacing w:after="0"/>
              <w:rPr>
                <w:sz w:val="11"/>
                <w:szCs w:val="11"/>
                <w:color w:val="auto"/>
              </w:rPr>
            </w:pPr>
          </w:p>
        </w:tc>
        <w:tc>
          <w:tcPr>
            <w:tcW w:w="2600" w:type="dxa"/>
            <w:vAlign w:val="bottom"/>
            <w:gridSpan w:val="2"/>
          </w:tcPr>
          <w:p>
            <w:pPr>
              <w:ind w:left="1220"/>
              <w:spacing w:after="0" w:line="129" w:lineRule="exact"/>
              <w:rPr>
                <w:sz w:val="20"/>
                <w:szCs w:val="20"/>
                <w:color w:val="auto"/>
              </w:rPr>
            </w:pPr>
            <w:r>
              <w:rPr>
                <w:rFonts w:ascii="Arial" w:cs="Arial" w:eastAsia="Arial" w:hAnsi="Arial"/>
                <w:sz w:val="14"/>
                <w:szCs w:val="14"/>
                <w:color w:val="auto"/>
              </w:rPr>
              <w:t>Balance at Beginning</w:t>
            </w:r>
          </w:p>
        </w:tc>
        <w:tc>
          <w:tcPr>
            <w:tcW w:w="420" w:type="dxa"/>
            <w:vAlign w:val="bottom"/>
          </w:tcPr>
          <w:p>
            <w:pPr>
              <w:spacing w:after="0"/>
              <w:rPr>
                <w:sz w:val="11"/>
                <w:szCs w:val="11"/>
                <w:color w:val="auto"/>
              </w:rPr>
            </w:pPr>
          </w:p>
        </w:tc>
        <w:tc>
          <w:tcPr>
            <w:tcW w:w="1040" w:type="dxa"/>
            <w:vAlign w:val="bottom"/>
          </w:tcPr>
          <w:p>
            <w:pPr>
              <w:jc w:val="right"/>
              <w:ind w:right="17"/>
              <w:spacing w:after="0" w:line="129" w:lineRule="exact"/>
              <w:rPr>
                <w:sz w:val="20"/>
                <w:szCs w:val="20"/>
                <w:color w:val="auto"/>
              </w:rPr>
            </w:pPr>
            <w:r>
              <w:rPr>
                <w:rFonts w:ascii="Arial" w:cs="Arial" w:eastAsia="Arial" w:hAnsi="Arial"/>
                <w:sz w:val="14"/>
                <w:szCs w:val="14"/>
                <w:color w:val="auto"/>
              </w:rPr>
              <w:t>Costs and</w:t>
            </w:r>
          </w:p>
        </w:tc>
        <w:tc>
          <w:tcPr>
            <w:tcW w:w="12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Deductions from</w:t>
            </w: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Balance at End</w:t>
            </w:r>
          </w:p>
        </w:tc>
      </w:tr>
      <w:tr>
        <w:trPr>
          <w:trHeight w:val="16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7"/>
              <w:spacing w:after="0" w:line="170" w:lineRule="exact"/>
              <w:rPr>
                <w:sz w:val="20"/>
                <w:szCs w:val="20"/>
                <w:color w:val="auto"/>
              </w:rPr>
            </w:pPr>
            <w:r>
              <w:rPr>
                <w:rFonts w:ascii="Arial" w:cs="Arial" w:eastAsia="Arial" w:hAnsi="Arial"/>
                <w:sz w:val="12"/>
                <w:szCs w:val="12"/>
                <w:color w:val="auto"/>
              </w:rPr>
              <w:t>Expenses</w:t>
            </w:r>
            <w:r>
              <w:rPr>
                <w:rFonts w:ascii="Arial" w:cs="Arial" w:eastAsia="Arial" w:hAnsi="Arial"/>
                <w:sz w:val="19"/>
                <w:szCs w:val="19"/>
                <w:color w:val="auto"/>
                <w:vertAlign w:val="superscript"/>
              </w:rPr>
              <w:t>(a)</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line="170" w:lineRule="exact"/>
              <w:rPr>
                <w:sz w:val="20"/>
                <w:szCs w:val="20"/>
                <w:color w:val="auto"/>
              </w:rPr>
            </w:pPr>
            <w:r>
              <w:rPr>
                <w:rFonts w:ascii="Arial" w:cs="Arial" w:eastAsia="Arial" w:hAnsi="Arial"/>
                <w:sz w:val="12"/>
                <w:szCs w:val="12"/>
                <w:color w:val="auto"/>
              </w:rPr>
              <w:t>Reserves</w:t>
            </w:r>
            <w:r>
              <w:rPr>
                <w:rFonts w:ascii="Arial" w:cs="Arial" w:eastAsia="Arial" w:hAnsi="Arial"/>
                <w:sz w:val="19"/>
                <w:szCs w:val="19"/>
                <w:color w:val="auto"/>
                <w:vertAlign w:val="superscript"/>
              </w:rPr>
              <w:t>(a)</w:t>
            </w: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of Year</w:t>
            </w: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2014</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930</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946</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356</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14</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808</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743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c>
          <w:tcPr>
            <w:tcW w:w="420" w:type="dxa"/>
            <w:vAlign w:val="bottom"/>
          </w:tcPr>
          <w:p>
            <w:pPr>
              <w:spacing w:after="0"/>
              <w:rPr>
                <w:sz w:val="17"/>
                <w:szCs w:val="17"/>
                <w:color w:val="auto"/>
              </w:rPr>
            </w:pPr>
          </w:p>
        </w:tc>
        <w:tc>
          <w:tcPr>
            <w:tcW w:w="1040" w:type="dxa"/>
            <w:vAlign w:val="bottom"/>
          </w:tcPr>
          <w:p>
            <w:pPr>
              <w:jc w:val="right"/>
              <w:ind w:right="17"/>
              <w:spacing w:after="0" w:line="202" w:lineRule="exact"/>
              <w:rPr>
                <w:sz w:val="20"/>
                <w:szCs w:val="20"/>
                <w:color w:val="auto"/>
              </w:rPr>
            </w:pPr>
            <w:r>
              <w:rPr>
                <w:rFonts w:ascii="Arial" w:cs="Arial" w:eastAsia="Arial" w:hAnsi="Arial"/>
                <w:sz w:val="18"/>
                <w:szCs w:val="18"/>
                <w:color w:val="auto"/>
              </w:rPr>
              <w:t>663</w:t>
            </w:r>
          </w:p>
        </w:tc>
        <w:tc>
          <w:tcPr>
            <w:tcW w:w="3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781</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r>
      <w:tr>
        <w:trPr>
          <w:trHeight w:val="199"/>
        </w:trPr>
        <w:tc>
          <w:tcPr>
            <w:tcW w:w="5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73</w:t>
            </w:r>
          </w:p>
        </w:tc>
      </w:tr>
    </w:tbl>
    <w:p>
      <w:pPr>
        <w:spacing w:after="0" w:line="67" w:lineRule="exact"/>
        <w:rPr>
          <w:sz w:val="20"/>
          <w:szCs w:val="20"/>
          <w:color w:val="auto"/>
        </w:rPr>
      </w:pPr>
    </w:p>
    <w:p>
      <w:pPr>
        <w:ind w:left="300" w:hanging="292"/>
        <w:spacing w:after="0" w:line="231" w:lineRule="auto"/>
        <w:tabs>
          <w:tab w:leader="none" w:pos="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Additions and deductions related to allowance for returns and customer incentives include amounts for distribution on behalf of third parties. Additions and deductions related to allowance for returns and customer incentives for the years ended December 31, 2013 and 2012 also reflect corrections to change amounts that were previously recorded net.</w:t>
      </w:r>
    </w:p>
    <w:p>
      <w:pPr>
        <w:spacing w:after="0" w:line="322"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177</w:t>
      </w:r>
      <w:r>
        <w:rPr>
          <w:sz w:val="20"/>
          <w:szCs w:val="20"/>
          <w:color w:val="auto"/>
        </w:rPr>
        <w:tab/>
      </w:r>
      <w:r>
        <w:rPr>
          <w:rFonts w:ascii="Arial" w:cs="Arial" w:eastAsia="Arial" w:hAnsi="Arial"/>
          <w:sz w:val="12"/>
          <w:szCs w:val="12"/>
          <w:color w:val="auto"/>
        </w:rPr>
        <w:t>Comcast 2014 Annual Report on Form 10-K</w:t>
      </w:r>
    </w:p>
    <w:p>
      <w:pPr>
        <w:sectPr>
          <w:pgSz w:w="11900" w:h="16838" w:orient="portrait"/>
          <w:cols w:equalWidth="0" w:num="1">
            <w:col w:w="11420"/>
          </w:cols>
          <w:pgMar w:left="240" w:top="460"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Amendment and Restatement of the Plan</w:t>
      </w:r>
      <w:r>
        <w:rPr>
          <w:rFonts w:ascii="Arial" w:cs="Arial" w:eastAsia="Arial" w:hAnsi="Arial"/>
          <w:sz w:val="16"/>
          <w:szCs w:val="16"/>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Administrator.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420"/>
          </w:cols>
          <w:pgMar w:left="240" w:top="125" w:right="23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171" w:lineRule="exact"/>
        <w:rPr>
          <w:rFonts w:ascii="Arial" w:cs="Arial" w:eastAsia="Arial" w:hAnsi="Arial"/>
          <w:sz w:val="18"/>
          <w:szCs w:val="18"/>
          <w:color w:val="auto"/>
        </w:rPr>
      </w:pPr>
    </w:p>
    <w:p>
      <w:pPr>
        <w:ind w:left="460" w:right="3420" w:firstLine="461"/>
        <w:spacing w:after="0" w:line="438" w:lineRule="auto"/>
        <w:tabs>
          <w:tab w:leader="none" w:pos="11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its delegate.</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2.5. “</w:t>
      </w:r>
      <w:r>
        <w:rPr>
          <w:rFonts w:ascii="Arial" w:cs="Arial" w:eastAsia="Arial" w:hAnsi="Arial"/>
          <w:sz w:val="15"/>
          <w:szCs w:val="15"/>
          <w:u w:val="single" w:color="auto"/>
          <w:color w:val="auto"/>
        </w:rPr>
        <w:t>Annual Rate of Pay</w:t>
      </w:r>
      <w:r>
        <w:rPr>
          <w:rFonts w:ascii="Arial" w:cs="Arial" w:eastAsia="Arial" w:hAnsi="Arial"/>
          <w:sz w:val="15"/>
          <w:szCs w:val="15"/>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60" w:firstLine="1492"/>
        <w:spacing w:after="0" w:line="259" w:lineRule="auto"/>
        <w:tabs>
          <w:tab w:leader="none" w:pos="169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Protected Account Balances</w:t>
      </w:r>
      <w:r>
        <w:rPr>
          <w:rFonts w:ascii="Arial" w:cs="Arial" w:eastAsia="Arial" w:hAnsi="Arial"/>
          <w:sz w:val="18"/>
          <w:szCs w:val="18"/>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40" w:lineRule="exact"/>
        <w:rPr>
          <w:rFonts w:ascii="Arial" w:cs="Arial" w:eastAsia="Arial" w:hAnsi="Arial"/>
          <w:sz w:val="18"/>
          <w:szCs w:val="18"/>
          <w:color w:val="auto"/>
        </w:rPr>
      </w:pPr>
    </w:p>
    <w:p>
      <w:pPr>
        <w:ind w:right="300" w:firstLine="1492"/>
        <w:spacing w:after="0" w:line="268" w:lineRule="auto"/>
        <w:tabs>
          <w:tab w:leader="none" w:pos="1742"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Contributions Credited on and after January 1, 2014 (on and after January 1, 2013 for Eligible NBCUniversal Employees)</w:t>
      </w:r>
      <w:r>
        <w:rPr>
          <w:rFonts w:ascii="Arial" w:cs="Arial" w:eastAsia="Arial" w:hAnsi="Arial"/>
          <w:sz w:val="18"/>
          <w:szCs w:val="18"/>
          <w:color w:val="auto"/>
        </w:rPr>
        <w:t>. Except as otherwise provided in Sections 2.6(b):</w:t>
      </w:r>
    </w:p>
    <w:p>
      <w:pPr>
        <w:spacing w:after="0" w:line="131" w:lineRule="exact"/>
        <w:rPr>
          <w:rFonts w:ascii="Arial" w:cs="Arial" w:eastAsia="Arial" w:hAnsi="Arial"/>
          <w:sz w:val="18"/>
          <w:szCs w:val="18"/>
          <w:color w:val="auto"/>
        </w:rPr>
      </w:pPr>
    </w:p>
    <w:p>
      <w:pPr>
        <w:ind w:firstLine="1948"/>
        <w:spacing w:after="0" w:line="255" w:lineRule="auto"/>
        <w:tabs>
          <w:tab w:leader="none" w:pos="2228"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82" w:name="page183"/>
    <w:bookmarkEnd w:id="182"/>
    <w:p>
      <w:pPr>
        <w:ind w:right="100" w:firstLine="1948"/>
        <w:spacing w:after="0" w:line="298" w:lineRule="auto"/>
        <w:tabs>
          <w:tab w:leader="none" w:pos="2218"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amounts credited to Accounts of Eligible NBCUniversal Employees on 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12" w:lineRule="exact"/>
        <w:rPr>
          <w:rFonts w:ascii="Arial" w:cs="Arial" w:eastAsia="Arial" w:hAnsi="Arial"/>
          <w:sz w:val="16"/>
          <w:szCs w:val="16"/>
          <w:color w:val="auto"/>
        </w:rPr>
      </w:pPr>
    </w:p>
    <w:p>
      <w:pPr>
        <w:ind w:right="100" w:firstLine="921"/>
        <w:spacing w:after="0" w:line="290"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Comcast Spectacor</w:t>
      </w:r>
      <w:r>
        <w:rPr>
          <w:rFonts w:ascii="Arial" w:cs="Arial" w:eastAsia="Arial" w:hAnsi="Arial"/>
          <w:sz w:val="18"/>
          <w:szCs w:val="18"/>
          <w:color w:val="auto"/>
        </w:rPr>
        <w:t>” means Comcast Spectacor, L.P.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83" w:name="page184"/>
    <w:bookmarkEnd w:id="183"/>
    <w:p>
      <w:pPr>
        <w:ind w:right="1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2.14.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or Directors Emeriti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06" w:lineRule="auto"/>
        <w:tabs>
          <w:tab w:leader="none" w:pos="1152"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 (i) Severance Pay,</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sales commissions or other similar payments or awards other than cash bonus arrangements described in Section 2.16(c), (iii) bonuses earned under any</w:t>
      </w:r>
    </w:p>
    <w:p>
      <w:pPr>
        <w:spacing w:after="0" w:line="32"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program designated by the Company’s Programming Division as a “long-term incentive plan” and (iv) cash bonuses earned under any long-term incentive plan for employees of NBCUniversal.</w:t>
      </w:r>
    </w:p>
    <w:p>
      <w:pPr>
        <w:spacing w:after="0" w:line="137" w:lineRule="exact"/>
        <w:rPr>
          <w:rFonts w:ascii="Arial" w:cs="Arial" w:eastAsia="Arial" w:hAnsi="Arial"/>
          <w:sz w:val="16"/>
          <w:szCs w:val="16"/>
          <w:color w:val="auto"/>
        </w:rPr>
      </w:pPr>
    </w:p>
    <w:p>
      <w:pPr>
        <w:ind w:right="40" w:firstLine="921"/>
        <w:spacing w:after="0" w:line="306" w:lineRule="auto"/>
        <w:tabs>
          <w:tab w:leader="none" w:pos="1152" w:val="left"/>
        </w:tabs>
        <w:numPr>
          <w:ilvl w:val="1"/>
          <w:numId w:val="59"/>
        </w:numPr>
        <w:rPr>
          <w:rFonts w:ascii="Arial" w:cs="Arial" w:eastAsia="Arial" w:hAnsi="Arial"/>
          <w:sz w:val="16"/>
          <w:szCs w:val="16"/>
          <w:color w:val="auto"/>
        </w:rPr>
      </w:pPr>
      <w:r>
        <w:rPr>
          <w:rFonts w:ascii="Arial" w:cs="Arial" w:eastAsia="Arial" w:hAnsi="Arial"/>
          <w:sz w:val="16"/>
          <w:szCs w:val="16"/>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84" w:name="page185"/>
    <w:bookmarkEnd w:id="184"/>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arrangement for employees of NBCUniversal, provided that such cash bonus arrangement is the exclusive cash bonus arrangement in which such Eligible Employee is eligible to participate.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Contribution Limit</w:t>
      </w:r>
      <w:r>
        <w:rPr>
          <w:rFonts w:ascii="Arial" w:cs="Arial" w:eastAsia="Arial" w:hAnsi="Arial"/>
          <w:sz w:val="18"/>
          <w:szCs w:val="18"/>
          <w:color w:val="auto"/>
        </w:rPr>
        <w:t>” means the product of (a) seven (7) times (b) Total Compensation.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71" w:lineRule="exact"/>
        <w:rPr>
          <w:sz w:val="20"/>
          <w:szCs w:val="20"/>
          <w:color w:val="auto"/>
        </w:rPr>
      </w:pPr>
    </w:p>
    <w:p>
      <w:pPr>
        <w:ind w:right="340" w:firstLine="921"/>
        <w:spacing w:after="0" w:line="332" w:lineRule="auto"/>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85" w:lineRule="exact"/>
        <w:rPr>
          <w:rFonts w:ascii="Arial" w:cs="Arial" w:eastAsia="Arial" w:hAnsi="Arial"/>
          <w:sz w:val="16"/>
          <w:szCs w:val="16"/>
          <w:color w:val="auto"/>
        </w:rPr>
      </w:pPr>
    </w:p>
    <w:p>
      <w:pPr>
        <w:ind w:right="100" w:firstLine="921"/>
        <w:spacing w:after="0" w:line="259"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171" w:lineRule="exact"/>
        <w:rPr>
          <w:sz w:val="20"/>
          <w:szCs w:val="20"/>
          <w:color w:val="auto"/>
        </w:rPr>
      </w:pPr>
    </w:p>
    <w:p>
      <w:pPr>
        <w:ind w:right="120" w:firstLine="921"/>
        <w:spacing w:after="0" w:line="268" w:lineRule="auto"/>
        <w:tabs>
          <w:tab w:leader="none" w:pos="11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2.23(a) acting on behalf of such individual.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2.24.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means any judgment, decree or order (including approval of a property settlement agreement) which:</w:t>
      </w:r>
    </w:p>
    <w:p>
      <w:pPr>
        <w:spacing w:after="0" w:line="171" w:lineRule="exact"/>
        <w:rPr>
          <w:sz w:val="20"/>
          <w:szCs w:val="20"/>
          <w:color w:val="auto"/>
        </w:rPr>
      </w:pPr>
    </w:p>
    <w:p>
      <w:pPr>
        <w:ind w:left="1160" w:hanging="239"/>
        <w:spacing w:after="0"/>
        <w:tabs>
          <w:tab w:leader="none" w:pos="11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Relates to the provision of child support, alimony payments or marital property rights to a spouse or former spouse of a Participant;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Eligible Comcast Employee</w:t>
      </w:r>
      <w:r>
        <w:rPr>
          <w:rFonts w:ascii="Arial" w:cs="Arial" w:eastAsia="Arial" w:hAnsi="Arial"/>
          <w:sz w:val="16"/>
          <w:szCs w:val="16"/>
          <w:color w:val="auto"/>
        </w:rPr>
        <w:t>” means an employee of a Participating Company described in Section 2.25(a) through 2.25(e) below,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113" w:lineRule="exact"/>
        <w:rPr>
          <w:sz w:val="20"/>
          <w:szCs w:val="20"/>
          <w:color w:val="auto"/>
        </w:rPr>
      </w:pPr>
    </w:p>
    <w:p>
      <w:pPr>
        <w:ind w:right="180" w:firstLine="921"/>
        <w:spacing w:after="0" w:line="268" w:lineRule="auto"/>
        <w:tabs>
          <w:tab w:leader="none" w:pos="11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31" w:lineRule="exact"/>
        <w:rPr>
          <w:rFonts w:ascii="Arial" w:cs="Arial" w:eastAsia="Arial" w:hAnsi="Arial"/>
          <w:sz w:val="18"/>
          <w:szCs w:val="18"/>
          <w:color w:val="auto"/>
        </w:rPr>
      </w:pPr>
    </w:p>
    <w:p>
      <w:pPr>
        <w:ind w:right="260" w:firstLine="921"/>
        <w:spacing w:after="0" w:line="259"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2013 Plan Year, (i) each employee of a Participating Company other than NBCUniversal and (ii) each employee of NBCUniversal described in Section 2.25(a), provided that in each case, such employee has an Annual Rate of Pay of $200,000 or more as of both (iii) the date on which an Initial Election is filed with the Administrator for the 2013 Plan Year and (iv) January 1, 2013.</w:t>
      </w:r>
    </w:p>
    <w:p>
      <w:pPr>
        <w:spacing w:after="0" w:line="140" w:lineRule="exact"/>
        <w:rPr>
          <w:rFonts w:ascii="Arial" w:cs="Arial" w:eastAsia="Arial" w:hAnsi="Arial"/>
          <w:sz w:val="18"/>
          <w:szCs w:val="18"/>
          <w:color w:val="auto"/>
        </w:rPr>
      </w:pPr>
    </w:p>
    <w:p>
      <w:pPr>
        <w:ind w:right="160" w:firstLine="921"/>
        <w:spacing w:after="0" w:line="298" w:lineRule="auto"/>
        <w:tabs>
          <w:tab w:leader="none" w:pos="11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Plan Years beginning on and after January 1, 2014, (i) each employee of a Participating Company other than NBCUniversal and (ii) each employee of NBCUniversal described in Section 2.25(a) whose Compensation was administered under NBCUniversal’s common payroll system as of December 31, 2013, provided that in each case, such employee has an Annual Rate of Pay of $250,000 or more as of both (iii) the date on which an Initial Election is filed with the Administrator and (iv) the first day of the calendar year in which such Initial Election is filed.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a Participating Company other than NBCUniversal.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New Key Employee who is an employee of a Participating Company other than NBCUniversal.</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Eligible Comcast Spectacor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Eligible Comcast Spectacor Employee</w:t>
      </w:r>
      <w:r>
        <w:rPr>
          <w:rFonts w:ascii="Arial" w:cs="Arial" w:eastAsia="Arial" w:hAnsi="Arial"/>
          <w:sz w:val="18"/>
          <w:szCs w:val="18"/>
          <w:color w:val="auto"/>
        </w:rPr>
        <w:t>” means:</w:t>
      </w:r>
    </w:p>
    <w:p>
      <w:pPr>
        <w:spacing w:after="0" w:line="171" w:lineRule="exact"/>
        <w:rPr>
          <w:sz w:val="20"/>
          <w:szCs w:val="20"/>
          <w:color w:val="auto"/>
        </w:rPr>
      </w:pPr>
    </w:p>
    <w:p>
      <w:pPr>
        <w:ind w:firstLine="921"/>
        <w:spacing w:after="0" w:line="268" w:lineRule="auto"/>
        <w:tabs>
          <w:tab w:leader="none" w:pos="11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Eligible Comcast Employee who is providing services to Comcast Spectacor under a secondment arrangement between the Company and Comcast Spectacor.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280" w:right="439" w:bottom="1440" w:gutter="0" w:footer="0" w:header="0"/>
        </w:sectPr>
      </w:pPr>
    </w:p>
    <w:bookmarkStart w:id="186" w:name="page187"/>
    <w:bookmarkEnd w:id="186"/>
    <w:p>
      <w:pPr>
        <w:ind w:right="180" w:firstLine="921"/>
        <w:spacing w:after="0" w:line="259"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Eligible Comcast Employee;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Eligible NBCU Employee;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Administrator, in its discretion, as an Eligible Employee.</w:t>
      </w:r>
    </w:p>
    <w:p>
      <w:pPr>
        <w:spacing w:after="0" w:line="19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Eligible NBCU Employee</w:t>
      </w:r>
      <w:r>
        <w:rPr>
          <w:rFonts w:ascii="Arial" w:cs="Arial" w:eastAsia="Arial" w:hAnsi="Arial"/>
          <w:sz w:val="16"/>
          <w:szCs w:val="16"/>
          <w:color w:val="auto"/>
        </w:rPr>
        <w:t>” means an employee of NBCUniversal described in Section 2.28(a) through 2.28(e) below, provided that, in each case, except as otherwise designated by the Administrator, such individual’s Compensation is administered under NBCUniversal’s common payroll system.</w:t>
      </w:r>
    </w:p>
    <w:p>
      <w:pPr>
        <w:spacing w:after="0" w:line="85" w:lineRule="exact"/>
        <w:rPr>
          <w:sz w:val="20"/>
          <w:szCs w:val="20"/>
          <w:color w:val="auto"/>
        </w:rPr>
      </w:pPr>
    </w:p>
    <w:p>
      <w:pPr>
        <w:ind w:firstLine="921"/>
        <w:spacing w:after="0" w:line="268"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employee of NBCUniversal who has been designated as a member of NBCUniversal’s Operating Committee by the Chief Executive Officer of NBCUniversal and approved by the Administrator, other than an employee who is described in Section 2.25.</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2.25, who, for the 2013 Plan Year: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Transferred employment directly from the Company to NBCUniversal in 2011 or 2012;</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Was an Eligible Employee under the rules of the Plan as in effect immediately before transferring employment from the Company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164" w:lineRule="exact"/>
        <w:rPr>
          <w:rFonts w:ascii="Arial" w:cs="Arial" w:eastAsia="Arial" w:hAnsi="Arial"/>
          <w:sz w:val="16"/>
          <w:szCs w:val="16"/>
          <w:color w:val="auto"/>
        </w:rPr>
      </w:pPr>
    </w:p>
    <w:p>
      <w:pPr>
        <w:ind w:right="640" w:firstLine="1492"/>
        <w:spacing w:after="0" w:line="268" w:lineRule="auto"/>
        <w:tabs>
          <w:tab w:leader="none" w:pos="1781" w:val="left"/>
        </w:tabs>
        <w:numPr>
          <w:ilvl w:val="1"/>
          <w:numId w:val="67"/>
        </w:numPr>
        <w:rPr>
          <w:rFonts w:ascii="Arial" w:cs="Arial" w:eastAsia="Arial" w:hAnsi="Arial"/>
          <w:sz w:val="18"/>
          <w:szCs w:val="18"/>
          <w:color w:val="auto"/>
        </w:rPr>
      </w:pPr>
      <w:r>
        <w:rPr>
          <w:rFonts w:ascii="Arial" w:cs="Arial" w:eastAsia="Arial" w:hAnsi="Arial"/>
          <w:sz w:val="18"/>
          <w:szCs w:val="18"/>
          <w:color w:val="auto"/>
        </w:rPr>
        <w:t>Elected to waive the opportunity to continue to be an Eligible Employee following the transfer of employment directly from the Company to NBCUniversal;</w:t>
      </w:r>
    </w:p>
    <w:p>
      <w:pPr>
        <w:spacing w:after="0" w:line="131" w:lineRule="exact"/>
        <w:rPr>
          <w:rFonts w:ascii="Arial" w:cs="Arial" w:eastAsia="Arial" w:hAnsi="Arial"/>
          <w:sz w:val="18"/>
          <w:szCs w:val="18"/>
          <w:color w:val="auto"/>
        </w:rPr>
      </w:pPr>
    </w:p>
    <w:p>
      <w:pPr>
        <w:ind w:right="220" w:firstLine="1492"/>
        <w:spacing w:after="0" w:line="268" w:lineRule="auto"/>
        <w:tabs>
          <w:tab w:leader="none" w:pos="17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Has an Annual Rate of Pay of $200,000 or more as of both (iii) the date on which an Initial Election is filed with the Administrator for the 2013 Plan Year and (iv) January 1, 2013; and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7" w:name="page188"/>
    <w:bookmarkEnd w:id="187"/>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employee of NBCUniversal, other than an employee who is described in Section 2.25, who, for the 2013 Plan Year:</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Has been a participant in the NBCUniversal Supplementary Pension Plan for the period extending from January 29, 2011 through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2012;</w:t>
      </w:r>
    </w:p>
    <w:p>
      <w:pPr>
        <w:spacing w:after="0" w:line="164" w:lineRule="exact"/>
        <w:rPr>
          <w:rFonts w:ascii="Arial" w:cs="Arial" w:eastAsia="Arial" w:hAnsi="Arial"/>
          <w:sz w:val="16"/>
          <w:szCs w:val="16"/>
          <w:color w:val="auto"/>
        </w:rPr>
      </w:pPr>
    </w:p>
    <w:p>
      <w:pPr>
        <w:ind w:right="180" w:firstLine="1492"/>
        <w:spacing w:after="0" w:line="268" w:lineRule="auto"/>
        <w:tabs>
          <w:tab w:leader="none" w:pos="1791" w:val="left"/>
        </w:tabs>
        <w:numPr>
          <w:ilvl w:val="1"/>
          <w:numId w:val="68"/>
        </w:numPr>
        <w:rPr>
          <w:rFonts w:ascii="Arial" w:cs="Arial" w:eastAsia="Arial" w:hAnsi="Arial"/>
          <w:sz w:val="18"/>
          <w:szCs w:val="18"/>
          <w:color w:val="auto"/>
        </w:rPr>
      </w:pPr>
      <w:r>
        <w:rPr>
          <w:rFonts w:ascii="Arial" w:cs="Arial" w:eastAsia="Arial" w:hAnsi="Arial"/>
          <w:sz w:val="18"/>
          <w:szCs w:val="18"/>
          <w:color w:val="auto"/>
        </w:rPr>
        <w:t>Has an Annual Rate of Pay is $200,000 or more as of both (iii) the date on which an Initial Election is filed with the Administrator for the 2013 Plan Year and (iv) January 1, 2013; and</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NBCUniversal.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New Key Employee who is an employee of NBCUniversal,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332" w:lineRule="auto"/>
        <w:tabs>
          <w:tab w:leader="none" w:pos="11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85" w:lineRule="exact"/>
        <w:rPr>
          <w:rFonts w:ascii="Arial" w:cs="Arial" w:eastAsia="Arial" w:hAnsi="Arial"/>
          <w:sz w:val="16"/>
          <w:szCs w:val="16"/>
          <w:color w:val="auto"/>
        </w:rPr>
      </w:pPr>
    </w:p>
    <w:p>
      <w:pPr>
        <w:ind w:right="40" w:firstLine="921"/>
        <w:spacing w:after="0" w:line="259" w:lineRule="auto"/>
        <w:tabs>
          <w:tab w:leader="none" w:pos="11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171" w:lineRule="exact"/>
        <w:rPr>
          <w:sz w:val="20"/>
          <w:szCs w:val="20"/>
          <w:color w:val="auto"/>
        </w:rPr>
      </w:pPr>
    </w:p>
    <w:p>
      <w:pPr>
        <w:ind w:left="1160" w:hanging="239"/>
        <w:spacing w:after="0"/>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171" w:lineRule="exact"/>
        <w:rPr>
          <w:rFonts w:ascii="Arial" w:cs="Arial" w:eastAsia="Arial" w:hAnsi="Arial"/>
          <w:sz w:val="18"/>
          <w:szCs w:val="18"/>
          <w:color w:val="auto"/>
        </w:rPr>
      </w:pPr>
    </w:p>
    <w:p>
      <w:pPr>
        <w:ind w:right="280" w:firstLine="1492"/>
        <w:spacing w:after="0" w:line="268" w:lineRule="auto"/>
        <w:tabs>
          <w:tab w:leader="none" w:pos="1693" w:val="left"/>
        </w:tabs>
        <w:numPr>
          <w:ilvl w:val="2"/>
          <w:numId w:val="70"/>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31" w:lineRule="exact"/>
        <w:rPr>
          <w:rFonts w:ascii="Arial" w:cs="Arial" w:eastAsia="Arial" w:hAnsi="Arial"/>
          <w:sz w:val="18"/>
          <w:szCs w:val="18"/>
          <w:color w:val="auto"/>
        </w:rPr>
      </w:pPr>
    </w:p>
    <w:p>
      <w:pPr>
        <w:ind w:firstLine="1492"/>
        <w:spacing w:after="0" w:line="305" w:lineRule="auto"/>
        <w:tabs>
          <w:tab w:leader="none" w:pos="1742" w:val="left"/>
        </w:tabs>
        <w:numPr>
          <w:ilvl w:val="2"/>
          <w:numId w:val="70"/>
        </w:numPr>
        <w:rPr>
          <w:rFonts w:ascii="Arial" w:cs="Arial" w:eastAsia="Arial" w:hAnsi="Arial"/>
          <w:sz w:val="15"/>
          <w:szCs w:val="15"/>
          <w:color w:val="auto"/>
        </w:rPr>
      </w:pPr>
      <w:r>
        <w:rPr>
          <w:rFonts w:ascii="Arial" w:cs="Arial" w:eastAsia="Arial" w:hAnsi="Arial"/>
          <w:sz w:val="15"/>
          <w:szCs w:val="15"/>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w:t>
      </w:r>
    </w:p>
    <w:p>
      <w:pPr>
        <w:ind w:left="280" w:hanging="272"/>
        <w:spacing w:after="0"/>
        <w:tabs>
          <w:tab w:leader="none" w:pos="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of each calendar year beginning after December 31, 1994.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8" w:name="page189"/>
    <w:bookmarkEnd w:id="188"/>
    <w:p>
      <w:pPr>
        <w:ind w:right="240" w:firstLine="1492"/>
        <w:spacing w:after="0" w:line="306" w:lineRule="auto"/>
        <w:tabs>
          <w:tab w:leader="none" w:pos="1791"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06" w:lineRule="exact"/>
        <w:rPr>
          <w:rFonts w:ascii="Arial" w:cs="Arial" w:eastAsia="Arial" w:hAnsi="Arial"/>
          <w:sz w:val="16"/>
          <w:szCs w:val="16"/>
          <w:color w:val="auto"/>
        </w:rPr>
      </w:pPr>
    </w:p>
    <w:p>
      <w:pPr>
        <w:ind w:firstLine="1492"/>
        <w:spacing w:after="0" w:line="256" w:lineRule="auto"/>
        <w:tabs>
          <w:tab w:leader="none" w:pos="1781"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Effective after December 31, 2013:</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is described in Section 2.28(a)(i)-(iv).</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 is a Participant and who has an Annual Rate of Pay of</w:t>
      </w:r>
    </w:p>
    <w:p>
      <w:pPr>
        <w:spacing w:after="0" w:line="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$200,000 or more as of each of (A) December 31, 2013; (B) the date on which an Initial Election is filed with the Administrator and (C) the first day of each calendar year beginning after December 31, 2013.</w:t>
      </w:r>
    </w:p>
    <w:p>
      <w:pPr>
        <w:spacing w:after="0" w:line="138" w:lineRule="exact"/>
        <w:rPr>
          <w:sz w:val="20"/>
          <w:szCs w:val="20"/>
          <w:color w:val="auto"/>
        </w:rPr>
      </w:pPr>
    </w:p>
    <w:p>
      <w:pPr>
        <w:ind w:right="320" w:firstLine="1492"/>
        <w:spacing w:after="0" w:line="259" w:lineRule="auto"/>
        <w:tabs>
          <w:tab w:leader="none" w:pos="1791"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employee of NBCUniversal described in Section 2.28(b) or 2.28(c)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Participant constitute an unforeseeable emergency and thus a Hardship within the meaning of this Section 2.31.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2.31 for all Participants in similar circumstances.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High Water Mark</w:t>
      </w:r>
      <w:r>
        <w:rPr>
          <w:rFonts w:ascii="Arial" w:cs="Arial" w:eastAsia="Arial" w:hAnsi="Arial"/>
          <w:sz w:val="18"/>
          <w:szCs w:val="18"/>
          <w:color w:val="auto"/>
        </w:rPr>
        <w:t>” means:</w:t>
      </w:r>
    </w:p>
    <w:p>
      <w:pPr>
        <w:spacing w:after="0" w:line="171" w:lineRule="exact"/>
        <w:rPr>
          <w:sz w:val="20"/>
          <w:szCs w:val="20"/>
          <w:color w:val="auto"/>
        </w:rPr>
      </w:pPr>
    </w:p>
    <w:p>
      <w:pPr>
        <w:ind w:right="160" w:firstLine="921"/>
        <w:spacing w:after="0" w:line="259"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amounts credited pursuant to an Eligible Comcast Employee’s Initial Elections on account of Compensation earned in 2014, the highest of the sum of the amounts described in (i), (ii) and (iii) below as of the last day of any calendar quarter beginning after December 31, 2008 and before October 1, 2013:</w:t>
      </w:r>
    </w:p>
    <w:p>
      <w:pPr>
        <w:spacing w:after="0" w:line="1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An Eligible Comcast Employee’s Account; 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89" w:name="page190"/>
    <w:bookmarkEnd w:id="189"/>
    <w:p>
      <w:pPr>
        <w:ind w:left="1760" w:hanging="268"/>
        <w:spacing w:after="0"/>
        <w:tabs>
          <w:tab w:leader="none" w:pos="1760" w:val="left"/>
        </w:tabs>
        <w:numPr>
          <w:ilvl w:val="1"/>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Eligible Comcast Employee’s Account in the Prior Plan; plus</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Such Eligible Comcast Employee’s Account in the Restricted Stock Plan to the extent such Account is credited to the “Income Fund.”</w:t>
      </w:r>
    </w:p>
    <w:p>
      <w:pPr>
        <w:spacing w:after="0" w:line="194" w:lineRule="exact"/>
        <w:rPr>
          <w:rFonts w:ascii="Arial" w:cs="Arial" w:eastAsia="Arial" w:hAnsi="Arial"/>
          <w:sz w:val="16"/>
          <w:szCs w:val="16"/>
          <w:color w:val="auto"/>
        </w:rPr>
      </w:pPr>
    </w:p>
    <w:p>
      <w:pPr>
        <w:ind w:right="200" w:firstLine="921"/>
        <w:spacing w:after="0" w:line="259"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 respect to amounts credited pursuant to an Eligible Comcast Employee’s Initial Elections on account of Compensation earned after 2014, the sum of (x) plus (y) where (x) equals the highest of the sum of the amounts described in Section 2.32(a)(i), (ii) and (iii) as of the last day of any calendar quarter beginning after December 31, 2008 and before January 1, 2014, and (y) equals the sum of:</w:t>
      </w:r>
    </w:p>
    <w:p>
      <w:pPr>
        <w:spacing w:after="0" w:line="140" w:lineRule="exact"/>
        <w:rPr>
          <w:rFonts w:ascii="Arial" w:cs="Arial" w:eastAsia="Arial" w:hAnsi="Arial"/>
          <w:sz w:val="18"/>
          <w:szCs w:val="18"/>
          <w:color w:val="auto"/>
        </w:rPr>
      </w:pPr>
    </w:p>
    <w:p>
      <w:pPr>
        <w:ind w:right="420" w:firstLine="1492"/>
        <w:spacing w:after="0" w:line="332" w:lineRule="auto"/>
        <w:tabs>
          <w:tab w:leader="none" w:pos="1693"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amount credited to an Eligible Comcast Employee’s Account pursuant to Section 3.8 after December 31, 2013 and on or before September 30, 2014 that is contractually committed pursuant to an employment agreement entered into on or before December 31, 2013; plus</w:t>
      </w:r>
    </w:p>
    <w:p>
      <w:pPr>
        <w:spacing w:after="0" w:line="85" w:lineRule="exact"/>
        <w:rPr>
          <w:rFonts w:ascii="Arial" w:cs="Arial" w:eastAsia="Arial" w:hAnsi="Arial"/>
          <w:sz w:val="16"/>
          <w:szCs w:val="16"/>
          <w:color w:val="auto"/>
        </w:rPr>
      </w:pPr>
    </w:p>
    <w:p>
      <w:pPr>
        <w:ind w:right="240" w:firstLine="1492"/>
        <w:spacing w:after="0" w:line="268" w:lineRule="auto"/>
        <w:tabs>
          <w:tab w:leader="none" w:pos="1742"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deferred portion of an Eligible Comcast Employee’s cash bonus award earned for 2013 and payable, but for the Eligible Comcast Employee’s Initial Deferral Election, after December 31, 2013 and on or before September 30, 2014; plus</w:t>
      </w:r>
    </w:p>
    <w:p>
      <w:pPr>
        <w:spacing w:after="0" w:line="131" w:lineRule="exact"/>
        <w:rPr>
          <w:rFonts w:ascii="Arial" w:cs="Arial" w:eastAsia="Arial" w:hAnsi="Arial"/>
          <w:sz w:val="18"/>
          <w:szCs w:val="18"/>
          <w:color w:val="auto"/>
        </w:rPr>
      </w:pPr>
    </w:p>
    <w:p>
      <w:pPr>
        <w:ind w:right="40" w:firstLine="1492"/>
        <w:spacing w:after="0" w:line="259" w:lineRule="auto"/>
        <w:tabs>
          <w:tab w:leader="none" w:pos="1791"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9" w:lineRule="auto"/>
        <w:tabs>
          <w:tab w:leader="none" w:pos="11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Outside Directors and Directors Emeriti</w:t>
      </w:r>
      <w:r>
        <w:rPr>
          <w:rFonts w:ascii="Arial" w:cs="Arial" w:eastAsia="Arial" w:hAnsi="Arial"/>
          <w:sz w:val="18"/>
          <w:szCs w:val="18"/>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40" w:lineRule="exact"/>
        <w:rPr>
          <w:rFonts w:ascii="Arial" w:cs="Arial" w:eastAsia="Arial" w:hAnsi="Arial"/>
          <w:sz w:val="18"/>
          <w:szCs w:val="18"/>
          <w:color w:val="auto"/>
        </w:rPr>
      </w:pPr>
    </w:p>
    <w:p>
      <w:pPr>
        <w:ind w:right="20" w:firstLine="1492"/>
        <w:spacing w:after="0" w:line="268" w:lineRule="auto"/>
        <w:tabs>
          <w:tab w:leader="none" w:pos="1693" w:val="left"/>
        </w:tabs>
        <w:numPr>
          <w:ilvl w:val="1"/>
          <w:numId w:val="78"/>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31" w:lineRule="exact"/>
        <w:rPr>
          <w:rFonts w:ascii="Arial" w:cs="Arial" w:eastAsia="Arial" w:hAnsi="Arial"/>
          <w:sz w:val="18"/>
          <w:szCs w:val="18"/>
          <w:color w:val="auto"/>
        </w:rPr>
      </w:pPr>
    </w:p>
    <w:p>
      <w:pPr>
        <w:ind w:left="1760" w:hanging="268"/>
        <w:spacing w:after="0"/>
        <w:tabs>
          <w:tab w:leader="none" w:pos="1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90" w:name="page191"/>
    <w:bookmarkEnd w:id="190"/>
    <w:p>
      <w:pPr>
        <w:ind w:left="-20" w:right="140" w:firstLine="921"/>
        <w:spacing w:after="0" w:line="259" w:lineRule="auto"/>
        <w:tabs>
          <w:tab w:leader="none" w:pos="114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2013 Plan Year For Eligible Comcast Employees</w:t>
      </w:r>
      <w:r>
        <w:rPr>
          <w:rFonts w:ascii="Arial" w:cs="Arial" w:eastAsia="Arial" w:hAnsi="Arial"/>
          <w:sz w:val="18"/>
          <w:szCs w:val="18"/>
          <w:color w:val="auto"/>
        </w:rPr>
        <w:t>. With respect to Eligible Comcast Employees for Compensation earned in the 2013 Plan Year, the term “Initial Election” means one or more written elections provided by the Administrator and filed with the Administrator in accordance with Article 3 pursuant to which an Eligible Comcast Employee may:</w:t>
      </w:r>
    </w:p>
    <w:p>
      <w:pPr>
        <w:spacing w:after="0" w:line="140" w:lineRule="exact"/>
        <w:rPr>
          <w:rFonts w:ascii="Arial" w:cs="Arial" w:eastAsia="Arial" w:hAnsi="Arial"/>
          <w:sz w:val="18"/>
          <w:szCs w:val="18"/>
          <w:color w:val="auto"/>
        </w:rPr>
      </w:pPr>
    </w:p>
    <w:p>
      <w:pPr>
        <w:ind w:left="-20" w:right="60" w:firstLine="1492"/>
        <w:spacing w:after="0" w:line="306" w:lineRule="auto"/>
        <w:tabs>
          <w:tab w:leader="none" w:pos="1673" w:val="left"/>
        </w:tabs>
        <w:numPr>
          <w:ilvl w:val="1"/>
          <w:numId w:val="79"/>
        </w:numPr>
        <w:rPr>
          <w:rFonts w:ascii="Arial" w:cs="Arial" w:eastAsia="Arial" w:hAnsi="Arial"/>
          <w:sz w:val="16"/>
          <w:szCs w:val="16"/>
          <w:color w:val="auto"/>
        </w:rPr>
      </w:pPr>
      <w:r>
        <w:rPr>
          <w:rFonts w:ascii="Arial" w:cs="Arial" w:eastAsia="Arial" w:hAnsi="Arial"/>
          <w:sz w:val="16"/>
          <w:szCs w:val="16"/>
          <w:color w:val="auto"/>
        </w:rPr>
        <w:t>Elect to defer any portion of the Compensation payable for the performance of services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06" w:lineRule="exact"/>
        <w:rPr>
          <w:rFonts w:ascii="Arial" w:cs="Arial" w:eastAsia="Arial" w:hAnsi="Arial"/>
          <w:sz w:val="16"/>
          <w:szCs w:val="16"/>
          <w:color w:val="auto"/>
        </w:rPr>
      </w:pPr>
    </w:p>
    <w:p>
      <w:pPr>
        <w:ind w:left="1740" w:hanging="26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left="-20" w:firstLine="921"/>
        <w:spacing w:after="0" w:line="254" w:lineRule="auto"/>
        <w:tabs>
          <w:tab w:leader="none" w:pos="113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2013 Plan Year For Eligible NBCU Employees, and Plan Years Beginning After December 31, 2013</w:t>
      </w:r>
      <w:r>
        <w:rPr>
          <w:rFonts w:ascii="Arial" w:cs="Arial" w:eastAsia="Arial" w:hAnsi="Arial"/>
          <w:sz w:val="18"/>
          <w:szCs w:val="18"/>
          <w:color w:val="auto"/>
        </w:rPr>
        <w:t>. With respect to: (w) Eligible NBCU employees for Compensation earned after December 31, 2012; (x) Eligible Comcast Employees for Compensation earned after December 31, 2013, (y) Eligible Comcast Spectacor Employees (other than seconded Eligible Comcast Spectacor Employees) for base salary earned on and after January 1, 2015 and (z) all Eligible Comcast Spectacor Employees for Performance-Based Compensation earned in Comcast Spectacor’s fiscal years beginning on and after July 1, 2014, the term “Initial Election” means one or more written elections provided by the Administrator and filed with the Administrator in accordance with Article 3 pursuant to which an Eligible Employee may:</w:t>
      </w:r>
    </w:p>
    <w:p>
      <w:pPr>
        <w:spacing w:after="0" w:line="144" w:lineRule="exact"/>
        <w:rPr>
          <w:rFonts w:ascii="Arial" w:cs="Arial" w:eastAsia="Arial" w:hAnsi="Arial"/>
          <w:sz w:val="18"/>
          <w:szCs w:val="18"/>
          <w:color w:val="auto"/>
        </w:rPr>
      </w:pPr>
    </w:p>
    <w:p>
      <w:pPr>
        <w:ind w:left="-20" w:right="380" w:firstLine="1492"/>
        <w:spacing w:after="0" w:line="268" w:lineRule="auto"/>
        <w:tabs>
          <w:tab w:leader="none" w:pos="1673"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to the limitations described in Section 2.35(c)(iii), elect to defer Compensation payable for the performance of services as an Eligible Employee following the time that such election is filed; and</w:t>
      </w:r>
    </w:p>
    <w:p>
      <w:pPr>
        <w:spacing w:after="0" w:line="131" w:lineRule="exact"/>
        <w:rPr>
          <w:rFonts w:ascii="Arial" w:cs="Arial" w:eastAsia="Arial" w:hAnsi="Arial"/>
          <w:sz w:val="18"/>
          <w:szCs w:val="18"/>
          <w:color w:val="auto"/>
        </w:rPr>
      </w:pPr>
    </w:p>
    <w:p>
      <w:pPr>
        <w:ind w:left="1740" w:hanging="268"/>
        <w:spacing w:after="0"/>
        <w:tabs>
          <w:tab w:leader="none" w:pos="1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71" w:lineRule="exact"/>
        <w:rPr>
          <w:rFonts w:ascii="Arial" w:cs="Arial" w:eastAsia="Arial" w:hAnsi="Arial"/>
          <w:sz w:val="18"/>
          <w:szCs w:val="18"/>
          <w:color w:val="auto"/>
        </w:rPr>
      </w:pPr>
    </w:p>
    <w:p>
      <w:pPr>
        <w:ind w:left="-20" w:right="80" w:firstLine="1492"/>
        <w:spacing w:after="0" w:line="332" w:lineRule="auto"/>
        <w:tabs>
          <w:tab w:leader="none" w:pos="1771" w:val="left"/>
        </w:tabs>
        <w:numPr>
          <w:ilvl w:val="1"/>
          <w:numId w:val="79"/>
        </w:numPr>
        <w:rPr>
          <w:rFonts w:ascii="Arial" w:cs="Arial" w:eastAsia="Arial" w:hAnsi="Arial"/>
          <w:sz w:val="16"/>
          <w:szCs w:val="16"/>
          <w:color w:val="auto"/>
        </w:rPr>
      </w:pPr>
      <w:r>
        <w:rPr>
          <w:rFonts w:ascii="Arial" w:cs="Arial" w:eastAsia="Arial" w:hAnsi="Arial"/>
          <w:sz w:val="16"/>
          <w:szCs w:val="16"/>
          <w:color w:val="auto"/>
        </w:rPr>
        <w:t>Effective for Eligible NBCU Employees with respect to Compensation earned after December 31, 2012, and with respect to all Eligible Employees with respect to Compensation earned after December 31, 2013, the following rules shall apply to Initial Elections:</w:t>
      </w:r>
    </w:p>
    <w:p>
      <w:pPr>
        <w:spacing w:after="0" w:line="85" w:lineRule="exact"/>
        <w:rPr>
          <w:rFonts w:ascii="Arial" w:cs="Arial" w:eastAsia="Arial" w:hAnsi="Arial"/>
          <w:sz w:val="16"/>
          <w:szCs w:val="16"/>
          <w:color w:val="auto"/>
        </w:rPr>
      </w:pPr>
    </w:p>
    <w:p>
      <w:pPr>
        <w:ind w:left="-20" w:right="100" w:firstLine="1948"/>
        <w:spacing w:after="0" w:line="256" w:lineRule="auto"/>
        <w:tabs>
          <w:tab w:leader="none" w:pos="2208" w:val="left"/>
        </w:tabs>
        <w:numPr>
          <w:ilvl w:val="2"/>
          <w:numId w:val="79"/>
        </w:numPr>
        <w:rPr>
          <w:rFonts w:ascii="Arial" w:cs="Arial" w:eastAsia="Arial" w:hAnsi="Arial"/>
          <w:sz w:val="18"/>
          <w:szCs w:val="18"/>
          <w:color w:val="auto"/>
        </w:rPr>
      </w:pPr>
      <w:r>
        <w:rPr>
          <w:rFonts w:ascii="Arial" w:cs="Arial" w:eastAsia="Arial" w:hAnsi="Arial"/>
          <w:sz w:val="18"/>
          <w:szCs w:val="18"/>
          <w:color w:val="auto"/>
        </w:rPr>
        <w:t>Subject to the limits on deferrals of Compensation described in Section 2.35(c)(iii)(B) and Section 2.35(c)(iii)(C), (x) the maximum amount of base salary available for deferral shall be determined net of required withholdings and deductions as determined by the Administrator in its sole discretion, but shall in no event be less than 85% of the Participant’s base salary and (y) the maximum amount of a Signing Bonus available for deferral pursuant to an Initial Election shall not exceed 50%.</w:t>
      </w:r>
    </w:p>
    <w:p>
      <w:pPr>
        <w:spacing w:after="0" w:line="143" w:lineRule="exact"/>
        <w:rPr>
          <w:rFonts w:ascii="Arial" w:cs="Arial" w:eastAsia="Arial" w:hAnsi="Arial"/>
          <w:sz w:val="18"/>
          <w:szCs w:val="18"/>
          <w:color w:val="auto"/>
        </w:rPr>
      </w:pPr>
    </w:p>
    <w:p>
      <w:pPr>
        <w:ind w:left="2200" w:hanging="272"/>
        <w:spacing w:after="0"/>
        <w:tabs>
          <w:tab w:leader="none" w:pos="22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The maximum amount subject to Initial Elections for any Plan Year shall not exceed 35% of Total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191" w:name="page192"/>
    <w:bookmarkEnd w:id="191"/>
    <w:p>
      <w:pPr>
        <w:ind w:right="20" w:firstLine="1948"/>
        <w:spacing w:after="0" w:line="298" w:lineRule="auto"/>
        <w:tabs>
          <w:tab w:leader="none" w:pos="2218" w:val="left"/>
        </w:tabs>
        <w:numPr>
          <w:ilvl w:val="0"/>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10"/>
          <w:szCs w:val="10"/>
          <w:color w:val="auto"/>
        </w:rPr>
        <w:t>th</w:t>
      </w:r>
      <w:r>
        <w:rPr>
          <w:rFonts w:ascii="Arial" w:cs="Arial" w:eastAsia="Arial" w:hAnsi="Arial"/>
          <w:sz w:val="16"/>
          <w:szCs w:val="16"/>
          <w:color w:val="auto"/>
        </w:rPr>
        <w:t xml:space="preserve"> immediately preceding such Plan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and its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171" w:lineRule="exact"/>
        <w:rPr>
          <w:sz w:val="20"/>
          <w:szCs w:val="20"/>
          <w:color w:val="auto"/>
        </w:rPr>
      </w:pPr>
    </w:p>
    <w:p>
      <w:pPr>
        <w:ind w:firstLine="921"/>
        <w:spacing w:after="0" w:line="268"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Effective before January 1, 2014, and except as provided in Section 2.37(e), each employee of a Participating Company other than NBCUniversal and Comcast Spectacor:</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$200,000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81"/>
        </w:numPr>
        <w:rPr>
          <w:rFonts w:ascii="Arial" w:cs="Arial" w:eastAsia="Arial" w:hAnsi="Arial"/>
          <w:sz w:val="15"/>
          <w:szCs w:val="15"/>
          <w:color w:val="auto"/>
        </w:rPr>
      </w:pPr>
      <w:r>
        <w:rPr>
          <w:rFonts w:ascii="Arial" w:cs="Arial" w:eastAsia="Arial" w:hAnsi="Arial"/>
          <w:sz w:val="15"/>
          <w:szCs w:val="15"/>
          <w:color w:val="auto"/>
        </w:rPr>
        <w:t>who has an Annual Rate of Pay that is increased to $200,000 or more and who, immediately preceding such increase, was not an Eligible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Employee.</w:t>
      </w:r>
    </w:p>
    <w:p>
      <w:pPr>
        <w:spacing w:after="0" w:line="164" w:lineRule="exact"/>
        <w:rPr>
          <w:rFonts w:ascii="Arial" w:cs="Arial" w:eastAsia="Arial" w:hAnsi="Arial"/>
          <w:sz w:val="15"/>
          <w:szCs w:val="15"/>
          <w:color w:val="auto"/>
        </w:rPr>
      </w:pPr>
    </w:p>
    <w:p>
      <w:pPr>
        <w:ind w:right="940" w:firstLine="921"/>
        <w:spacing w:after="0" w:line="268" w:lineRule="auto"/>
        <w:tabs>
          <w:tab w:leader="none" w:pos="11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Effective after December 31, 2013, and except as provided in Section 2.37(e), each employee of a Participating Company other than NBCUniversal and Comcast Spectacor:</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who (x) becomes an employee of a Participating Company and (y) has an Annual Rate of Pay of $250,000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64" w:lineRule="exact"/>
        <w:rPr>
          <w:rFonts w:ascii="Arial" w:cs="Arial" w:eastAsia="Arial" w:hAnsi="Arial"/>
          <w:sz w:val="16"/>
          <w:szCs w:val="16"/>
          <w:color w:val="auto"/>
        </w:rPr>
      </w:pPr>
    </w:p>
    <w:p>
      <w:pPr>
        <w:ind w:left="1760" w:hanging="268"/>
        <w:spacing w:after="0"/>
        <w:tabs>
          <w:tab w:leader="none" w:pos="17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who (x) has an Annual Rate of Pay that is increased to $250,000 or more and (y) immediately preceding such increase, was not 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Eligible Employee.</w:t>
      </w:r>
    </w:p>
    <w:p>
      <w:pPr>
        <w:spacing w:after="0" w:line="164" w:lineRule="exact"/>
        <w:rPr>
          <w:rFonts w:ascii="Arial" w:cs="Arial" w:eastAsia="Arial" w:hAnsi="Arial"/>
          <w:sz w:val="16"/>
          <w:szCs w:val="16"/>
          <w:color w:val="auto"/>
        </w:rPr>
      </w:pPr>
    </w:p>
    <w:p>
      <w:pPr>
        <w:ind w:right="980" w:firstLine="921"/>
        <w:spacing w:after="0" w:line="332" w:lineRule="auto"/>
        <w:tabs>
          <w:tab w:leader="none" w:pos="11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employee of NBCUniversal who (x) first becomes a member of the NBCUniversal Operating Committee and approved by the Administrator during a Plan Year and (y) immediately preceding the effective date of such membership, was not an Eligible Employee.</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Effective on and after May 20, 2014, each employee of Comcast Spectacor:</w:t>
      </w:r>
    </w:p>
    <w:p>
      <w:pPr>
        <w:spacing w:after="0" w:line="171" w:lineRule="exact"/>
        <w:rPr>
          <w:rFonts w:ascii="Arial" w:cs="Arial" w:eastAsia="Arial" w:hAnsi="Arial"/>
          <w:sz w:val="18"/>
          <w:szCs w:val="18"/>
          <w:color w:val="auto"/>
        </w:rPr>
      </w:pPr>
    </w:p>
    <w:p>
      <w:pPr>
        <w:ind w:right="740" w:firstLine="1492"/>
        <w:spacing w:after="0" w:line="332" w:lineRule="auto"/>
        <w:tabs>
          <w:tab w:leader="none" w:pos="1693" w:val="left"/>
        </w:tabs>
        <w:numPr>
          <w:ilvl w:val="1"/>
          <w:numId w:val="81"/>
        </w:numPr>
        <w:rPr>
          <w:rFonts w:ascii="Arial" w:cs="Arial" w:eastAsia="Arial" w:hAnsi="Arial"/>
          <w:sz w:val="16"/>
          <w:szCs w:val="16"/>
          <w:color w:val="auto"/>
        </w:rPr>
      </w:pPr>
      <w:r>
        <w:rPr>
          <w:rFonts w:ascii="Arial" w:cs="Arial" w:eastAsia="Arial" w:hAnsi="Arial"/>
          <w:sz w:val="16"/>
          <w:szCs w:val="16"/>
          <w:color w:val="auto"/>
        </w:rPr>
        <w:t>who (x) becomes an employee of Comcast Spectacor, (y) has an Annual Rate of Pay of $350,000 or more as of his employment commencement date and (z) is designated as an Eligible Comcast Spectacor Employee by the Administrator or its delegate,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92" w:name="page193"/>
    <w:bookmarkEnd w:id="192"/>
    <w:p>
      <w:pPr>
        <w:ind w:right="240" w:firstLine="1492"/>
        <w:spacing w:after="0" w:line="268" w:lineRule="auto"/>
        <w:tabs>
          <w:tab w:leader="none" w:pos="1742"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(x) is designated as an Eligible Comcast Spectacor Employee by the Administrator or its delegate, (y) has an Annual Rate of Pay that is increased to $350,000 or more and (z) immediately preceding such increase, was not an Eligible Employee.</w:t>
      </w:r>
    </w:p>
    <w:p>
      <w:pPr>
        <w:spacing w:after="0" w:line="131" w:lineRule="exact"/>
        <w:rPr>
          <w:rFonts w:ascii="Arial" w:cs="Arial" w:eastAsia="Arial" w:hAnsi="Arial"/>
          <w:sz w:val="18"/>
          <w:szCs w:val="18"/>
          <w:color w:val="auto"/>
        </w:rPr>
      </w:pPr>
    </w:p>
    <w:p>
      <w:pPr>
        <w:ind w:right="260" w:firstLine="921"/>
        <w:spacing w:after="0" w:line="268" w:lineRule="auto"/>
        <w:tabs>
          <w:tab w:leader="none" w:pos="11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Section 2.37(a), (b), (c) or (d) to the contrary, no employee shall be treated as a New Key Employee with respect to any Plan Year under this Section 2.37 if:</w:t>
      </w:r>
    </w:p>
    <w:p>
      <w:pPr>
        <w:spacing w:after="0" w:line="131" w:lineRule="exact"/>
        <w:rPr>
          <w:rFonts w:ascii="Arial" w:cs="Arial" w:eastAsia="Arial" w:hAnsi="Arial"/>
          <w:sz w:val="18"/>
          <w:szCs w:val="18"/>
          <w:color w:val="auto"/>
        </w:rPr>
      </w:pPr>
    </w:p>
    <w:p>
      <w:pPr>
        <w:ind w:right="40" w:firstLine="1492"/>
        <w:spacing w:after="0" w:line="332" w:lineRule="auto"/>
        <w:tabs>
          <w:tab w:leader="none" w:pos="1693"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Such employee was eligible to participate in another plan sponsored by the Company or an Affiliate of the Company which is considered to be of a similar type as defined in Treasury Regulation Section 1.409A -1(c)(2)(i)(A) or (B) with respect to such Plan Year; or</w:t>
      </w:r>
    </w:p>
    <w:p>
      <w:pPr>
        <w:spacing w:after="0" w:line="85" w:lineRule="exact"/>
        <w:rPr>
          <w:sz w:val="20"/>
          <w:szCs w:val="20"/>
          <w:color w:val="auto"/>
        </w:rPr>
      </w:pPr>
    </w:p>
    <w:p>
      <w:pPr>
        <w:jc w:val="both"/>
        <w:ind w:right="180" w:firstLine="1492"/>
        <w:spacing w:after="0" w:line="259" w:lineRule="auto"/>
        <w:tabs>
          <w:tab w:leader="none" w:pos="17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employee has been eligible to participate in the Plan or any other plan referenced in Section 2.37(e)(i) (other than with respect to the accrual of earnings) at any time during the 24-month period ending on the date such employee would, but for this Section 2.37(e), otherwise become a New Key Employee.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171" w:lineRule="exact"/>
        <w:rPr>
          <w:sz w:val="20"/>
          <w:szCs w:val="20"/>
          <w:color w:val="auto"/>
        </w:rPr>
      </w:pPr>
    </w:p>
    <w:p>
      <w:pPr>
        <w:ind w:right="540" w:firstLine="921"/>
        <w:spacing w:after="0" w:line="332" w:lineRule="auto"/>
        <w:tabs>
          <w:tab w:leader="none" w:pos="1152"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85"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2.40.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Comcast Spectacor and each other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2.41 to an officer of the Company or committee of two or more officers of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93" w:name="page194"/>
    <w:bookmarkEnd w:id="19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2.43.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Protected Account Balance</w:t>
      </w:r>
      <w:r>
        <w:rPr>
          <w:rFonts w:ascii="Arial" w:cs="Arial" w:eastAsia="Arial" w:hAnsi="Arial"/>
          <w:sz w:val="18"/>
          <w:szCs w:val="18"/>
          <w:color w:val="auto"/>
        </w:rPr>
        <w:t>” means:</w:t>
      </w:r>
    </w:p>
    <w:p>
      <w:pPr>
        <w:spacing w:after="0" w:line="171" w:lineRule="exact"/>
        <w:rPr>
          <w:sz w:val="20"/>
          <w:szCs w:val="20"/>
          <w:color w:val="auto"/>
        </w:rPr>
      </w:pPr>
    </w:p>
    <w:p>
      <w:pPr>
        <w:ind w:right="60" w:firstLine="921"/>
        <w:spacing w:after="0" w:line="259"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credited to the Account of an Eligible Comcast Employee, an Outside Director or a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40" w:lineRule="exact"/>
        <w:rPr>
          <w:rFonts w:ascii="Arial" w:cs="Arial" w:eastAsia="Arial" w:hAnsi="Arial"/>
          <w:sz w:val="18"/>
          <w:szCs w:val="18"/>
          <w:color w:val="auto"/>
        </w:rPr>
      </w:pPr>
    </w:p>
    <w:p>
      <w:pPr>
        <w:ind w:right="160" w:firstLine="921"/>
        <w:spacing w:after="0" w:line="332" w:lineRule="auto"/>
        <w:tabs>
          <w:tab w:leader="none" w:pos="11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85" w:lineRule="exact"/>
        <w:rPr>
          <w:rFonts w:ascii="Arial" w:cs="Arial" w:eastAsia="Arial" w:hAnsi="Arial"/>
          <w:sz w:val="16"/>
          <w:szCs w:val="16"/>
          <w:color w:val="auto"/>
        </w:rPr>
      </w:pPr>
    </w:p>
    <w:p>
      <w:pPr>
        <w:ind w:right="60" w:firstLine="921"/>
        <w:spacing w:after="0" w:line="268" w:lineRule="auto"/>
        <w:tabs>
          <w:tab w:leader="none" w:pos="11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credited pursuant to Initial Elections with respect to Compensation earned on and after January 1, 2014, if, as of the September 30th immediately preceding the Plan Year to which the Initial Election applies, the sum of:</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 Eligible Comcast Employee’s Account; plus</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Eligible Comcast Employee’s Account in the Prior Plan; plus</w:t>
      </w:r>
    </w:p>
    <w:p>
      <w:pPr>
        <w:spacing w:after="0" w:line="171" w:lineRule="exact"/>
        <w:rPr>
          <w:rFonts w:ascii="Arial" w:cs="Arial" w:eastAsia="Arial" w:hAnsi="Arial"/>
          <w:sz w:val="18"/>
          <w:szCs w:val="18"/>
          <w:color w:val="auto"/>
        </w:rPr>
      </w:pPr>
    </w:p>
    <w:p>
      <w:pPr>
        <w:ind w:firstLine="1492"/>
        <w:spacing w:after="0" w:line="268" w:lineRule="auto"/>
        <w:tabs>
          <w:tab w:leader="none" w:pos="17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Eligible Comcast Employee’s Account in the Restricted Stock Plan to the extent such Account is credited to the “Income Fund;” is less than the High Water Mark.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94" w:name="page195"/>
    <w:bookmarkEnd w:id="194"/>
    <w:p>
      <w:pPr>
        <w:ind w:right="10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credited pursuant to Subsequent Elections filed after December 31, 2013 that are attributable to any portion of an Eligible Comcast Employee’s Account described in this Section 2.49.</w:t>
      </w:r>
    </w:p>
    <w:p>
      <w:pPr>
        <w:spacing w:after="0" w:line="13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Notwithstanding Sections 2.49(a), (b), (c) and (d),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any successor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Signing Bonus</w:t>
      </w:r>
      <w:r>
        <w:rPr>
          <w:rFonts w:ascii="Arial" w:cs="Arial" w:eastAsia="Arial" w:hAnsi="Arial"/>
          <w:sz w:val="18"/>
          <w:szCs w:val="18"/>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2.55.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2.57. “</w:t>
      </w:r>
      <w:r>
        <w:rPr>
          <w:rFonts w:ascii="Arial" w:cs="Arial" w:eastAsia="Arial" w:hAnsi="Arial"/>
          <w:sz w:val="18"/>
          <w:szCs w:val="18"/>
          <w:u w:val="single" w:color="auto"/>
          <w:color w:val="auto"/>
        </w:rPr>
        <w:t>Total Compensation</w:t>
      </w:r>
      <w:r>
        <w:rPr>
          <w:rFonts w:ascii="Arial" w:cs="Arial" w:eastAsia="Arial" w:hAnsi="Arial"/>
          <w:sz w:val="18"/>
          <w:szCs w:val="18"/>
          <w:color w:val="auto"/>
        </w:rPr>
        <w:t>” means:</w:t>
      </w:r>
    </w:p>
    <w:p>
      <w:pPr>
        <w:spacing w:after="0" w:line="171" w:lineRule="exact"/>
        <w:rPr>
          <w:sz w:val="20"/>
          <w:szCs w:val="20"/>
          <w:color w:val="auto"/>
        </w:rPr>
      </w:pPr>
    </w:p>
    <w:p>
      <w:pPr>
        <w:ind w:right="80" w:firstLine="921"/>
        <w:spacing w:after="0" w:line="298" w:lineRule="auto"/>
        <w:tabs>
          <w:tab w:leader="none" w:pos="11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Plan Years beginning before 2015, the sum of an Eligible Employee’s Annual Rate of Pay, plus Company Credits described in Section 3.8, plus any target bonus amount under a cash bonus award that is includible as “Compensation” under Section 2.16, plus the grant date value (for Eligible Comcast Employees) or the target value (for Eligible NBCU Employees) of any annual long-term incentive award granted in the immediately preceding Plan Year, all as determined by the Administrator in its sole discretion, as of the September 30th immediately preceding the Plan Year.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95" w:name="page196"/>
    <w:bookmarkEnd w:id="195"/>
    <w:p>
      <w:pPr>
        <w:ind w:left="-20" w:firstLine="921"/>
        <w:spacing w:after="0" w:line="256" w:lineRule="auto"/>
        <w:tabs>
          <w:tab w:leader="none" w:pos="1142"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Plan Years beginning after 2014, 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43" w:lineRule="exact"/>
        <w:rPr>
          <w:rFonts w:ascii="Arial" w:cs="Arial" w:eastAsia="Arial" w:hAnsi="Arial"/>
          <w:sz w:val="18"/>
          <w:szCs w:val="18"/>
          <w:color w:val="auto"/>
        </w:rPr>
      </w:pPr>
    </w:p>
    <w:p>
      <w:pPr>
        <w:ind w:left="-20" w:right="140" w:firstLine="921"/>
        <w:spacing w:after="0" w:line="259" w:lineRule="auto"/>
        <w:tabs>
          <w:tab w:leader="none" w:pos="11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171" w:lineRule="exact"/>
        <w:rPr>
          <w:sz w:val="20"/>
          <w:szCs w:val="20"/>
          <w:color w:val="auto"/>
        </w:rPr>
      </w:pPr>
    </w:p>
    <w:p>
      <w:pPr>
        <w:ind w:left="-20" w:right="80" w:firstLine="921"/>
        <w:spacing w:after="0" w:line="286" w:lineRule="auto"/>
        <w:tabs>
          <w:tab w:leader="none" w:pos="1132"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 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24" w:lineRule="exact"/>
        <w:rPr>
          <w:rFonts w:ascii="Arial" w:cs="Arial" w:eastAsia="Arial" w:hAnsi="Arial"/>
          <w:sz w:val="16"/>
          <w:szCs w:val="16"/>
          <w:color w:val="auto"/>
        </w:rPr>
      </w:pPr>
    </w:p>
    <w:p>
      <w:pPr>
        <w:ind w:left="-20" w:right="520" w:firstLine="921"/>
        <w:spacing w:after="0" w:line="259" w:lineRule="auto"/>
        <w:tabs>
          <w:tab w:leader="none" w:pos="114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196" w:name="page197"/>
    <w:bookmarkEnd w:id="19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3.3:</w:t>
      </w:r>
    </w:p>
    <w:p>
      <w:pPr>
        <w:spacing w:after="0" w:line="165" w:lineRule="exact"/>
        <w:rPr>
          <w:sz w:val="20"/>
          <w:szCs w:val="20"/>
          <w:color w:val="auto"/>
        </w:rPr>
      </w:pPr>
    </w:p>
    <w:p>
      <w:pPr>
        <w:ind w:right="60" w:firstLine="921"/>
        <w:spacing w:after="0" w:line="332" w:lineRule="auto"/>
        <w:tabs>
          <w:tab w:leader="none" w:pos="1152"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85" w:lineRule="exact"/>
        <w:rPr>
          <w:rFonts w:ascii="Arial" w:cs="Arial" w:eastAsia="Arial" w:hAnsi="Arial"/>
          <w:sz w:val="16"/>
          <w:szCs w:val="16"/>
          <w:color w:val="auto"/>
        </w:rPr>
      </w:pPr>
    </w:p>
    <w:p>
      <w:pPr>
        <w:ind w:right="180" w:firstLine="921"/>
        <w:spacing w:after="0" w:line="332" w:lineRule="auto"/>
        <w:tabs>
          <w:tab w:leader="none" w:pos="1162"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No such Initial Election shall be effective with respect to a Signing Bonus for an Eligible Employee other than a New Key Employee unless</w:t>
      </w:r>
    </w:p>
    <w:p>
      <w:pPr>
        <w:spacing w:after="0" w:line="38" w:lineRule="exact"/>
        <w:rPr>
          <w:rFonts w:ascii="Arial" w:cs="Arial" w:eastAsia="Arial" w:hAnsi="Arial"/>
          <w:sz w:val="16"/>
          <w:szCs w:val="16"/>
          <w:color w:val="auto"/>
        </w:rPr>
      </w:pPr>
    </w:p>
    <w:p>
      <w:pPr>
        <w:ind w:firstLine="8"/>
        <w:spacing w:after="0" w:line="302" w:lineRule="auto"/>
        <w:tabs>
          <w:tab w:leader="none" w:pos="2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of such Signing Bonus and at least one year before such specified date.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file an Initial Election:</w:t>
      </w:r>
    </w:p>
    <w:p>
      <w:pPr>
        <w:spacing w:after="0" w:line="171" w:lineRule="exact"/>
        <w:rPr>
          <w:rFonts w:ascii="Arial" w:cs="Arial" w:eastAsia="Arial" w:hAnsi="Arial"/>
          <w:sz w:val="18"/>
          <w:szCs w:val="18"/>
          <w:color w:val="auto"/>
        </w:rPr>
      </w:pPr>
    </w:p>
    <w:p>
      <w:pPr>
        <w:ind w:right="320" w:firstLine="1492"/>
        <w:spacing w:after="0" w:line="259" w:lineRule="auto"/>
        <w:tabs>
          <w:tab w:leader="none" w:pos="169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40" w:lineRule="exact"/>
        <w:rPr>
          <w:rFonts w:ascii="Arial" w:cs="Arial" w:eastAsia="Arial" w:hAnsi="Arial"/>
          <w:sz w:val="18"/>
          <w:szCs w:val="18"/>
          <w:color w:val="auto"/>
        </w:rPr>
      </w:pPr>
    </w:p>
    <w:p>
      <w:pPr>
        <w:ind w:right="40" w:firstLine="1492"/>
        <w:spacing w:after="0" w:line="268" w:lineRule="auto"/>
        <w:tabs>
          <w:tab w:leader="none" w:pos="174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 Initial Election by such New Key Employee for succeeding calendar years or applicable Performance Periods shall be made in accordance with Section 3.1 and Section 3.2.</w:t>
      </w:r>
    </w:p>
    <w:p>
      <w:pPr>
        <w:spacing w:after="0" w:line="132" w:lineRule="exact"/>
        <w:rPr>
          <w:sz w:val="20"/>
          <w:szCs w:val="20"/>
          <w:color w:val="auto"/>
        </w:rPr>
      </w:pPr>
    </w:p>
    <w:p>
      <w:pPr>
        <w:ind w:right="80" w:firstLine="921"/>
        <w:spacing w:after="0" w:line="298" w:lineRule="auto"/>
        <w:tabs>
          <w:tab w:leader="none" w:pos="116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7" w:name="page198"/>
    <w:bookmarkEnd w:id="197"/>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Years to which Initial Election May Apply</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5" w:lineRule="auto"/>
        <w:tabs>
          <w:tab w:leader="none" w:pos="115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Separate Initial Elections for Each Calendar Year or Applicable Performance Period</w:t>
      </w:r>
      <w:r>
        <w:rPr>
          <w:rFonts w:ascii="Arial" w:cs="Arial" w:eastAsia="Arial" w:hAnsi="Arial"/>
          <w:sz w:val="18"/>
          <w:szCs w:val="18"/>
          <w:color w:val="auto"/>
        </w:rPr>
        <w:t>. A separate Initial Election may be made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42" w:lineRule="exact"/>
        <w:rPr>
          <w:rFonts w:ascii="Arial" w:cs="Arial" w:eastAsia="Arial" w:hAnsi="Arial"/>
          <w:sz w:val="18"/>
          <w:szCs w:val="18"/>
          <w:color w:val="auto"/>
        </w:rPr>
      </w:pPr>
    </w:p>
    <w:p>
      <w:pPr>
        <w:ind w:firstLine="921"/>
        <w:spacing w:after="0" w:line="291" w:lineRule="auto"/>
        <w:tabs>
          <w:tab w:leader="none" w:pos="116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such Subsequent Election is made.</w:t>
      </w:r>
    </w:p>
    <w:p>
      <w:pPr>
        <w:spacing w:after="0" w:line="194" w:lineRule="exact"/>
        <w:rPr>
          <w:sz w:val="20"/>
          <w:szCs w:val="20"/>
          <w:color w:val="auto"/>
        </w:rPr>
      </w:pPr>
    </w:p>
    <w:p>
      <w:pPr>
        <w:ind w:right="260" w:firstLine="921"/>
        <w:spacing w:after="0" w:line="298" w:lineRule="auto"/>
        <w:tabs>
          <w:tab w:leader="none" w:pos="115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12" w:lineRule="exact"/>
        <w:rPr>
          <w:rFonts w:ascii="Arial" w:cs="Arial" w:eastAsia="Arial" w:hAnsi="Arial"/>
          <w:sz w:val="16"/>
          <w:szCs w:val="16"/>
          <w:color w:val="auto"/>
        </w:rPr>
      </w:pPr>
    </w:p>
    <w:p>
      <w:pPr>
        <w:ind w:right="40" w:firstLine="921"/>
        <w:spacing w:after="0" w:line="255" w:lineRule="auto"/>
        <w:tabs>
          <w:tab w:leader="none" w:pos="116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8" w:name="page199"/>
    <w:bookmarkEnd w:id="198"/>
    <w:p>
      <w:pPr>
        <w:ind w:firstLine="921"/>
        <w:spacing w:after="0" w:line="290"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Surviving Spouses – 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18" w:lineRule="exact"/>
        <w:rPr>
          <w:rFonts w:ascii="Arial" w:cs="Arial" w:eastAsia="Arial" w:hAnsi="Arial"/>
          <w:sz w:val="16"/>
          <w:szCs w:val="16"/>
          <w:color w:val="auto"/>
        </w:rPr>
      </w:pPr>
    </w:p>
    <w:p>
      <w:pPr>
        <w:ind w:firstLine="921"/>
        <w:spacing w:after="0" w:line="291" w:lineRule="auto"/>
        <w:tabs>
          <w:tab w:leader="none" w:pos="116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Beneficiary of a Deceased Participant Other Than a Surviving Spouse – 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20" w:lineRule="exact"/>
        <w:rPr>
          <w:rFonts w:ascii="Arial" w:cs="Arial" w:eastAsia="Arial" w:hAnsi="Arial"/>
          <w:sz w:val="16"/>
          <w:szCs w:val="16"/>
          <w:color w:val="auto"/>
        </w:rPr>
      </w:pPr>
    </w:p>
    <w:p>
      <w:pPr>
        <w:ind w:right="20" w:firstLine="921"/>
        <w:spacing w:after="0" w:line="291" w:lineRule="auto"/>
        <w:tabs>
          <w:tab w:leader="none" w:pos="115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20"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shall be made before the payment date designated by the Participant or Beneficiary on the most recently filed Initial Election or Subsequent Election with respect to each deferred amount.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99" w:name="page200"/>
    <w:bookmarkEnd w:id="19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71" w:lineRule="exact"/>
        <w:rPr>
          <w:sz w:val="20"/>
          <w:szCs w:val="20"/>
          <w:color w:val="auto"/>
        </w:rPr>
      </w:pPr>
    </w:p>
    <w:p>
      <w:pPr>
        <w:ind w:left="-40" w:right="220" w:firstLine="921"/>
        <w:spacing w:after="0" w:line="298" w:lineRule="auto"/>
        <w:tabs>
          <w:tab w:leader="none" w:pos="11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12" w:lineRule="exact"/>
        <w:rPr>
          <w:rFonts w:ascii="Arial" w:cs="Arial" w:eastAsia="Arial" w:hAnsi="Arial"/>
          <w:sz w:val="16"/>
          <w:szCs w:val="16"/>
          <w:color w:val="auto"/>
        </w:rPr>
      </w:pPr>
    </w:p>
    <w:p>
      <w:pPr>
        <w:ind w:left="-40" w:right="260" w:firstLine="921"/>
        <w:spacing w:after="0" w:line="268" w:lineRule="auto"/>
        <w:tabs>
          <w:tab w:leader="none" w:pos="1122"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31" w:lineRule="exact"/>
        <w:rPr>
          <w:rFonts w:ascii="Arial" w:cs="Arial" w:eastAsia="Arial" w:hAnsi="Arial"/>
          <w:sz w:val="18"/>
          <w:szCs w:val="18"/>
          <w:color w:val="auto"/>
        </w:rPr>
      </w:pPr>
    </w:p>
    <w:p>
      <w:pPr>
        <w:ind w:left="-40" w:right="40" w:firstLine="1492"/>
        <w:spacing w:after="0" w:line="268" w:lineRule="auto"/>
        <w:tabs>
          <w:tab w:leader="none" w:pos="1653"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31" w:lineRule="exact"/>
        <w:rPr>
          <w:rFonts w:ascii="Arial" w:cs="Arial" w:eastAsia="Arial" w:hAnsi="Arial"/>
          <w:sz w:val="18"/>
          <w:szCs w:val="18"/>
          <w:color w:val="auto"/>
        </w:rPr>
      </w:pPr>
    </w:p>
    <w:p>
      <w:pPr>
        <w:ind w:left="-40" w:right="160" w:firstLine="1492"/>
        <w:spacing w:after="0" w:line="268" w:lineRule="auto"/>
        <w:tabs>
          <w:tab w:leader="none" w:pos="1702"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31" w:lineRule="exact"/>
        <w:rPr>
          <w:rFonts w:ascii="Arial" w:cs="Arial" w:eastAsia="Arial" w:hAnsi="Arial"/>
          <w:sz w:val="18"/>
          <w:szCs w:val="18"/>
          <w:color w:val="auto"/>
        </w:rPr>
      </w:pPr>
    </w:p>
    <w:p>
      <w:pPr>
        <w:ind w:left="-40" w:right="320" w:firstLine="1492"/>
        <w:spacing w:after="0" w:line="298" w:lineRule="auto"/>
        <w:tabs>
          <w:tab w:leader="none" w:pos="1751"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12" w:lineRule="exact"/>
        <w:rPr>
          <w:rFonts w:ascii="Arial" w:cs="Arial" w:eastAsia="Arial" w:hAnsi="Arial"/>
          <w:sz w:val="16"/>
          <w:szCs w:val="16"/>
          <w:color w:val="auto"/>
        </w:rPr>
      </w:pPr>
    </w:p>
    <w:p>
      <w:pPr>
        <w:ind w:left="-40" w:right="180" w:firstLine="1492"/>
        <w:spacing w:after="0" w:line="291" w:lineRule="auto"/>
        <w:tabs>
          <w:tab w:leader="none" w:pos="1741"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20" w:lineRule="exact"/>
        <w:rPr>
          <w:rFonts w:ascii="Arial" w:cs="Arial" w:eastAsia="Arial" w:hAnsi="Arial"/>
          <w:sz w:val="16"/>
          <w:szCs w:val="16"/>
          <w:color w:val="auto"/>
        </w:rPr>
      </w:pPr>
    </w:p>
    <w:p>
      <w:pPr>
        <w:ind w:left="-40" w:firstLine="1492"/>
        <w:spacing w:after="0" w:line="332" w:lineRule="auto"/>
        <w:tabs>
          <w:tab w:leader="none" w:pos="1692" w:val="left"/>
        </w:tabs>
        <w:numPr>
          <w:ilvl w:val="1"/>
          <w:numId w:val="98"/>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80" w:right="259" w:bottom="1440" w:gutter="0" w:footer="0" w:header="0"/>
        </w:sectPr>
      </w:pPr>
    </w:p>
    <w:bookmarkStart w:id="200" w:name="page201"/>
    <w:bookmarkEnd w:id="200"/>
    <w:p>
      <w:pPr>
        <w:ind w:firstLine="1492"/>
        <w:spacing w:after="0" w:line="268" w:lineRule="auto"/>
        <w:tabs>
          <w:tab w:leader="none" w:pos="1781"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30 days after the Death Tax Clearance Date or upon the payment date designated in the Decedent’s Initial Election or Subsequent Election, if later, the Administrator shall pay the Decedent’s Account to the Beneficiary.</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Company Credits</w:t>
      </w:r>
      <w:r>
        <w:rPr>
          <w:rFonts w:ascii="Arial" w:cs="Arial" w:eastAsia="Arial" w:hAnsi="Arial"/>
          <w:sz w:val="16"/>
          <w:szCs w:val="16"/>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0"/>
          <w:szCs w:val="10"/>
          <w:color w:val="auto"/>
        </w:rPr>
        <w:t>nd</w:t>
      </w:r>
      <w:r>
        <w:rPr>
          <w:rFonts w:ascii="Arial" w:cs="Arial" w:eastAsia="Arial" w:hAnsi="Arial"/>
          <w:sz w:val="16"/>
          <w:szCs w:val="16"/>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171" w:lineRule="exact"/>
        <w:rPr>
          <w:sz w:val="20"/>
          <w:szCs w:val="20"/>
          <w:color w:val="auto"/>
        </w:rPr>
      </w:pPr>
    </w:p>
    <w:p>
      <w:pPr>
        <w:ind w:right="60" w:firstLine="921"/>
        <w:spacing w:after="0" w:line="298" w:lineRule="auto"/>
        <w:tabs>
          <w:tab w:leader="none" w:pos="115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12" w:lineRule="exact"/>
        <w:rPr>
          <w:rFonts w:ascii="Arial" w:cs="Arial" w:eastAsia="Arial" w:hAnsi="Arial"/>
          <w:sz w:val="16"/>
          <w:szCs w:val="16"/>
          <w:color w:val="auto"/>
        </w:rPr>
      </w:pPr>
    </w:p>
    <w:p>
      <w:pPr>
        <w:ind w:right="60" w:firstLine="921"/>
        <w:spacing w:after="0" w:line="255" w:lineRule="auto"/>
        <w:tabs>
          <w:tab w:leader="none" w:pos="116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the Company or an Affiliate,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 – MANNER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right="160" w:firstLine="8"/>
        <w:spacing w:after="0" w:line="261" w:lineRule="auto"/>
        <w:tabs>
          <w:tab w:leader="none" w:pos="2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164" w:lineRule="exact"/>
        <w:rPr>
          <w:rFonts w:ascii="Arial" w:cs="Arial" w:eastAsia="Arial" w:hAnsi="Arial"/>
          <w:sz w:val="16"/>
          <w:szCs w:val="16"/>
          <w:color w:val="auto"/>
        </w:rPr>
      </w:pPr>
    </w:p>
    <w:p>
      <w:pPr>
        <w:ind w:right="80" w:firstLine="1492"/>
        <w:spacing w:after="0" w:line="259" w:lineRule="auto"/>
        <w:tabs>
          <w:tab w:leader="none" w:pos="169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40" w:lineRule="exact"/>
        <w:rPr>
          <w:sz w:val="20"/>
          <w:szCs w:val="20"/>
          <w:color w:val="auto"/>
        </w:rPr>
      </w:pPr>
    </w:p>
    <w:p>
      <w:pPr>
        <w:ind w:firstLine="921"/>
        <w:spacing w:after="0" w:line="255" w:lineRule="auto"/>
        <w:tabs>
          <w:tab w:leader="none" w:pos="11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02" w:name="page203"/>
    <w:bookmarkEnd w:id="202"/>
    <w:p>
      <w:pPr>
        <w:ind w:right="80" w:firstLine="921"/>
        <w:spacing w:after="0" w:line="294" w:lineRule="auto"/>
        <w:tabs>
          <w:tab w:leader="none" w:pos="11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 – BOOK ACCOUNTS</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Deferred Compensation Account</w:t>
      </w:r>
      <w:r>
        <w:rPr>
          <w:rFonts w:ascii="Arial" w:cs="Arial" w:eastAsia="Arial" w:hAnsi="Arial"/>
          <w:sz w:val="16"/>
          <w:szCs w:val="16"/>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71" w:lineRule="exact"/>
        <w:rPr>
          <w:sz w:val="20"/>
          <w:szCs w:val="20"/>
          <w:color w:val="auto"/>
        </w:rPr>
      </w:pPr>
    </w:p>
    <w:p>
      <w:pPr>
        <w:ind w:right="600" w:firstLine="921"/>
        <w:spacing w:after="0" w:line="268"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31" w:lineRule="exact"/>
        <w:rPr>
          <w:rFonts w:ascii="Arial" w:cs="Arial" w:eastAsia="Arial" w:hAnsi="Arial"/>
          <w:sz w:val="18"/>
          <w:szCs w:val="18"/>
          <w:color w:val="auto"/>
        </w:rPr>
      </w:pPr>
    </w:p>
    <w:p>
      <w:pPr>
        <w:jc w:val="both"/>
        <w:ind w:firstLine="921"/>
        <w:spacing w:after="0" w:line="259" w:lineRule="auto"/>
        <w:tabs>
          <w:tab w:leader="none" w:pos="11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40" w:lineRule="exact"/>
        <w:rPr>
          <w:rFonts w:ascii="Arial" w:cs="Arial" w:eastAsia="Arial" w:hAnsi="Arial"/>
          <w:sz w:val="18"/>
          <w:szCs w:val="18"/>
          <w:color w:val="auto"/>
        </w:rPr>
      </w:pPr>
    </w:p>
    <w:p>
      <w:pPr>
        <w:ind w:right="180" w:firstLine="921"/>
        <w:spacing w:after="0" w:line="256"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43" w:lineRule="exact"/>
        <w:rPr>
          <w:rFonts w:ascii="Arial" w:cs="Arial" w:eastAsia="Arial" w:hAnsi="Arial"/>
          <w:sz w:val="18"/>
          <w:szCs w:val="18"/>
          <w:color w:val="auto"/>
        </w:rPr>
      </w:pPr>
    </w:p>
    <w:p>
      <w:pPr>
        <w:ind w:right="180" w:firstLine="921"/>
        <w:spacing w:after="0" w:line="255" w:lineRule="auto"/>
        <w:tabs>
          <w:tab w:leader="none" w:pos="116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0" w:right="299" w:bottom="1440" w:gutter="0" w:footer="0" w:header="0"/>
        </w:sectPr>
      </w:pPr>
    </w:p>
    <w:bookmarkStart w:id="203" w:name="page204"/>
    <w:bookmarkEnd w:id="20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Domestic Relations Orders</w:t>
      </w:r>
      <w:r>
        <w:rPr>
          <w:rFonts w:ascii="Arial" w:cs="Arial" w:eastAsia="Arial" w:hAnsi="Arial"/>
          <w:sz w:val="16"/>
          <w:szCs w:val="16"/>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 DEATH OF PARTICIPANT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32" w:lineRule="exact"/>
        <w:rPr>
          <w:sz w:val="20"/>
          <w:szCs w:val="20"/>
          <w:color w:val="auto"/>
        </w:rPr>
      </w:pPr>
    </w:p>
    <w:p>
      <w:pPr>
        <w:ind w:right="380" w:firstLine="921"/>
        <w:spacing w:after="0" w:line="268"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necessary to comply with laws relating to avoidance of conflicts of interest, as provided in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(or any successor provision of law).</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94" w:lineRule="exact"/>
        <w:rPr>
          <w:rFonts w:ascii="Arial" w:cs="Arial" w:eastAsia="Arial" w:hAnsi="Arial"/>
          <w:sz w:val="16"/>
          <w:szCs w:val="16"/>
          <w:color w:val="auto"/>
        </w:rPr>
      </w:pPr>
    </w:p>
    <w:p>
      <w:pPr>
        <w:ind w:right="680" w:firstLine="921"/>
        <w:spacing w:after="0" w:line="268" w:lineRule="auto"/>
        <w:tabs>
          <w:tab w:leader="none" w:pos="11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05" w:name="page206"/>
    <w:bookmarkEnd w:id="205"/>
    <w:p>
      <w:pPr>
        <w:ind w:left="1160" w:hanging="239"/>
        <w:spacing w:after="0"/>
        <w:tabs>
          <w:tab w:leader="none" w:pos="11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pay state, local or foreign taxes to the extent permitted by Treasury Regulation section 1.409A-3(j)(4)(xi) (or any successor provision of law).</w:t>
      </w:r>
    </w:p>
    <w:p>
      <w:pPr>
        <w:spacing w:after="0" w:line="194" w:lineRule="exact"/>
        <w:rPr>
          <w:rFonts w:ascii="Arial" w:cs="Arial" w:eastAsia="Arial" w:hAnsi="Arial"/>
          <w:sz w:val="16"/>
          <w:szCs w:val="16"/>
          <w:color w:val="auto"/>
        </w:rPr>
      </w:pPr>
    </w:p>
    <w:p>
      <w:pPr>
        <w:ind w:right="20" w:firstLine="921"/>
        <w:spacing w:after="0" w:line="259" w:lineRule="auto"/>
        <w:tabs>
          <w:tab w:leader="none" w:pos="11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connection with a bona fide dispute as to a Participant’s right to payment, to the extent permitted by Treasury Regulation section 1.409A-3(j)</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32" w:lineRule="exact"/>
        <w:rPr>
          <w:sz w:val="20"/>
          <w:szCs w:val="20"/>
          <w:color w:val="auto"/>
        </w:rPr>
      </w:pPr>
    </w:p>
    <w:p>
      <w:pPr>
        <w:ind w:left="1160" w:hanging="23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100" w:firstLine="921"/>
        <w:spacing w:after="0" w:line="268" w:lineRule="auto"/>
        <w:tabs>
          <w:tab w:leader="none" w:pos="11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06" w:name="page207"/>
    <w:bookmarkEnd w:id="20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of Rate of Credited Earnings</w:t>
      </w:r>
      <w:r>
        <w:rPr>
          <w:rFonts w:ascii="Arial" w:cs="Arial" w:eastAsia="Arial" w:hAnsi="Arial"/>
          <w:sz w:val="18"/>
          <w:szCs w:val="18"/>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07" w:name="page208"/>
    <w:bookmarkEnd w:id="20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 – MISCELLANEOUS PROVISIONS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6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ARTICLE 13 – EFFECTIVE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274" w:right="339" w:bottom="1440" w:gutter="0" w:footer="0" w:header="0"/>
        </w:sectPr>
      </w:pPr>
    </w:p>
    <w:bookmarkStart w:id="208" w:name="page209"/>
    <w:bookmarkEnd w:id="20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COMCAST CORPORATION has caused this Plan to be executed by its officers thereunto duly authorized, and its corporate seal to be affixed hereto, on the 21st day of October, 2014.</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280" w:right="49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21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90" w:lineRule="auto"/>
        <w:tabs>
          <w:tab w:leader="none" w:pos="705"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jc w:val="both"/>
        <w:ind w:right="120" w:firstLine="464"/>
        <w:spacing w:after="0" w:line="259" w:lineRule="auto"/>
        <w:tabs>
          <w:tab w:leader="none" w:pos="69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34" w:lineRule="exact"/>
        <w:rPr>
          <w:rFonts w:ascii="Arial" w:cs="Arial" w:eastAsia="Arial" w:hAnsi="Arial"/>
          <w:sz w:val="18"/>
          <w:szCs w:val="18"/>
          <w:color w:val="auto"/>
        </w:rPr>
      </w:pPr>
    </w:p>
    <w:p>
      <w:pPr>
        <w:ind w:right="60" w:firstLine="464"/>
        <w:spacing w:after="0" w:line="296" w:lineRule="auto"/>
        <w:tabs>
          <w:tab w:leader="none" w:pos="705"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b w:val="1"/>
          <w:bCs w:val="1"/>
          <w:color w:val="auto"/>
        </w:rPr>
        <w:t>.</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13" w:lineRule="exact"/>
        <w:rPr>
          <w:rFonts w:ascii="Arial" w:cs="Arial" w:eastAsia="Arial" w:hAnsi="Arial"/>
          <w:sz w:val="16"/>
          <w:szCs w:val="16"/>
          <w:color w:val="auto"/>
        </w:rPr>
      </w:pPr>
    </w:p>
    <w:p>
      <w:pPr>
        <w:ind w:right="380" w:firstLine="464"/>
        <w:spacing w:after="0" w:line="268" w:lineRule="auto"/>
        <w:tabs>
          <w:tab w:leader="none" w:pos="695"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ectPr>
          <w:pgSz w:w="11900" w:h="16838" w:orient="portrait"/>
          <w:cols w:equalWidth="0" w:num="1">
            <w:col w:w="11420"/>
          </w:cols>
          <w:pgMar w:left="240" w:top="125" w:right="239" w:bottom="1440" w:gutter="0" w:footer="0" w:header="0"/>
        </w:sectPr>
      </w:pPr>
    </w:p>
    <w:bookmarkStart w:id="210" w:name="page211"/>
    <w:bookmarkEnd w:id="210"/>
    <w:p>
      <w:pPr>
        <w:ind w:left="452" w:hanging="452"/>
        <w:spacing w:after="0"/>
        <w:tabs>
          <w:tab w:leader="none" w:pos="452"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8" w:right="40" w:firstLine="464"/>
        <w:spacing w:after="0" w:line="298" w:lineRule="auto"/>
        <w:tabs>
          <w:tab w:leader="none" w:pos="69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ind w:left="-8" w:firstLine="464"/>
        <w:spacing w:after="0" w:line="256" w:lineRule="auto"/>
        <w:tabs>
          <w:tab w:leader="none" w:pos="69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480" w:firstLine="464"/>
        <w:spacing w:after="0" w:line="268" w:lineRule="auto"/>
        <w:tabs>
          <w:tab w:leader="none" w:pos="68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72" w:hanging="567"/>
        <w:spacing w:after="0"/>
        <w:tabs>
          <w:tab w:leader="none" w:pos="1472" w:val="left"/>
        </w:tabs>
        <w:numPr>
          <w:ilvl w:val="2"/>
          <w:numId w:val="110"/>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211" w:lineRule="exact"/>
        <w:rPr>
          <w:rFonts w:ascii="Arial" w:cs="Arial" w:eastAsia="Arial" w:hAnsi="Arial"/>
          <w:sz w:val="18"/>
          <w:szCs w:val="18"/>
          <w:color w:val="auto"/>
        </w:rPr>
      </w:pPr>
    </w:p>
    <w:p>
      <w:pPr>
        <w:ind w:left="1912" w:right="20" w:hanging="440"/>
        <w:spacing w:after="0" w:line="294" w:lineRule="auto"/>
        <w:tabs>
          <w:tab w:leader="none" w:pos="1912" w:val="left"/>
        </w:tabs>
        <w:numPr>
          <w:ilvl w:val="3"/>
          <w:numId w:val="110"/>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(1) dividends and other distributions credited with respect to Deferred Stock Units that are deferred pursuant to Initial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10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92"/>
          </w:cols>
          <w:pgMar w:left="248" w:top="274" w:right="359" w:bottom="1440" w:gutter="0" w:footer="0" w:header="0"/>
        </w:sectPr>
      </w:pPr>
    </w:p>
    <w:bookmarkStart w:id="211" w:name="page212"/>
    <w:bookmarkEnd w:id="211"/>
    <w:p>
      <w:pPr>
        <w:ind w:left="1007" w:right="240" w:hanging="440"/>
        <w:spacing w:after="0" w:line="291" w:lineRule="auto"/>
        <w:tabs>
          <w:tab w:leader="none" w:pos="1007" w:val="left"/>
        </w:tabs>
        <w:numPr>
          <w:ilvl w:val="1"/>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Interest Rate with respect to amounts credited to the Income Fund that are attributable to (1) dividends and other distributions credited with respect to Deferred Stock Units that are deferred pursuant to Initial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160" w:lineRule="exact"/>
        <w:rPr>
          <w:rFonts w:ascii="Arial" w:cs="Arial" w:eastAsia="Arial" w:hAnsi="Arial"/>
          <w:sz w:val="16"/>
          <w:szCs w:val="16"/>
          <w:color w:val="auto"/>
        </w:rPr>
      </w:pPr>
    </w:p>
    <w:p>
      <w:pPr>
        <w:ind w:left="1007" w:right="320" w:hanging="440"/>
        <w:spacing w:after="0" w:line="286" w:lineRule="auto"/>
        <w:tabs>
          <w:tab w:leader="none" w:pos="100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Effective with respect to amounts credited to the Income Fund that are attributable to (1) dividends and other distributions credited with respect to Deferred Stock Units that are deferred pursuant to Initial Elections made on or after January 1, 2014, and</w:t>
      </w:r>
    </w:p>
    <w:p>
      <w:pPr>
        <w:ind w:left="1007" w:right="40"/>
        <w:spacing w:after="0" w:line="300" w:lineRule="auto"/>
        <w:rPr>
          <w:rFonts w:ascii="Arial" w:cs="Arial" w:eastAsia="Arial" w:hAnsi="Arial"/>
          <w:sz w:val="16"/>
          <w:szCs w:val="16"/>
          <w:color w:val="auto"/>
        </w:rPr>
      </w:pPr>
      <w:r>
        <w:rPr>
          <w:rFonts w:ascii="Arial" w:cs="Arial" w:eastAsia="Arial" w:hAnsi="Arial"/>
          <w:sz w:val="15"/>
          <w:szCs w:val="15"/>
          <w:color w:val="auto"/>
        </w:rPr>
        <w:t>(2) Diversification Elections and Special Diversification Elections made on or after January 1, 2014, the “Applicable Interest Rate” shall be the Applicable Interest Rate that applies to “Protected Benefits” under the Comcast Corporation 2005 Deferred Compensation Plan (the “2005 Deferred Compensation Plan”) if, as of the September 30</w:t>
      </w:r>
      <w:r>
        <w:rPr>
          <w:rFonts w:ascii="Arial" w:cs="Arial" w:eastAsia="Arial" w:hAnsi="Arial"/>
          <w:sz w:val="10"/>
          <w:szCs w:val="10"/>
          <w:color w:val="auto"/>
        </w:rPr>
        <w:t>th</w:t>
      </w:r>
      <w:r>
        <w:rPr>
          <w:rFonts w:ascii="Arial" w:cs="Arial" w:eastAsia="Arial" w:hAnsi="Arial"/>
          <w:sz w:val="15"/>
          <w:szCs w:val="15"/>
          <w:color w:val="auto"/>
        </w:rPr>
        <w:t xml:space="preserve"> immediately preceding the Plan Year to which the Initial Election or Diversification Election applies, the sum of (x) the Grantee’s Account under the 2005 Deferred Compensation Plan, plus</w:t>
      </w:r>
    </w:p>
    <w:p>
      <w:pPr>
        <w:spacing w:after="0" w:line="1" w:lineRule="exact"/>
        <w:rPr>
          <w:rFonts w:ascii="Arial" w:cs="Arial" w:eastAsia="Arial" w:hAnsi="Arial"/>
          <w:sz w:val="16"/>
          <w:szCs w:val="16"/>
          <w:color w:val="auto"/>
        </w:rPr>
      </w:pPr>
    </w:p>
    <w:p>
      <w:pPr>
        <w:ind w:left="1007" w:right="100"/>
        <w:spacing w:after="0" w:line="292" w:lineRule="auto"/>
        <w:rPr>
          <w:rFonts w:ascii="Arial" w:cs="Arial" w:eastAsia="Arial" w:hAnsi="Arial"/>
          <w:sz w:val="16"/>
          <w:szCs w:val="16"/>
          <w:color w:val="auto"/>
        </w:rPr>
      </w:pPr>
      <w:r>
        <w:rPr>
          <w:rFonts w:ascii="Arial" w:cs="Arial" w:eastAsia="Arial" w:hAnsi="Arial"/>
          <w:sz w:val="16"/>
          <w:szCs w:val="16"/>
          <w:color w:val="auto"/>
        </w:rPr>
        <w:t>(y) the Grantee’s Account under the Comcast Corporation 2002 Deferred Compensation Plan (the “2002 Deferred Compensation Plan”), plus (z) the portion of the Grantee’s Account under this Plan credited to the Income Fund, is less than the High Water Mark. If the conditions described in the preceding sentence do not apply, the “Applicable Interest Rate” shall be the Applicable Interest Rate that applies under the 2005 Deferred Compensation Plan to amounts credited pursuant to Initial Elections with respect to compensation earned after December 31, 2013, that are not Protected Benefits.</w:t>
      </w:r>
    </w:p>
    <w:p>
      <w:pPr>
        <w:spacing w:after="0" w:line="157" w:lineRule="exact"/>
        <w:rPr>
          <w:rFonts w:ascii="Arial" w:cs="Arial" w:eastAsia="Arial" w:hAnsi="Arial"/>
          <w:sz w:val="16"/>
          <w:szCs w:val="16"/>
          <w:color w:val="auto"/>
        </w:rPr>
      </w:pPr>
    </w:p>
    <w:p>
      <w:pPr>
        <w:ind w:left="567" w:hanging="567"/>
        <w:spacing w:after="0" w:line="256" w:lineRule="auto"/>
        <w:tabs>
          <w:tab w:leader="none" w:pos="56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w:t>
      </w:r>
    </w:p>
    <w:p>
      <w:pPr>
        <w:spacing w:after="0" w:line="130"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7"/>
          </w:cols>
          <w:pgMar w:left="1153" w:top="280" w:right="239" w:bottom="1440" w:gutter="0" w:footer="0" w:header="0"/>
        </w:sectPr>
      </w:pPr>
    </w:p>
    <w:bookmarkStart w:id="212" w:name="page213"/>
    <w:bookmarkEnd w:id="212"/>
    <w:p>
      <w:pPr>
        <w:ind w:left="86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144" w:lineRule="exact"/>
        <w:rPr>
          <w:sz w:val="20"/>
          <w:szCs w:val="20"/>
          <w:color w:val="auto"/>
        </w:rPr>
      </w:pPr>
    </w:p>
    <w:p>
      <w:pPr>
        <w:ind w:left="-60" w:right="420" w:firstLine="464"/>
        <w:spacing w:after="0" w:line="268" w:lineRule="auto"/>
        <w:tabs>
          <w:tab w:leader="none" w:pos="64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620" w:hanging="216"/>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20" w:hanging="567"/>
        <w:spacing w:after="0" w:line="255" w:lineRule="auto"/>
        <w:tabs>
          <w:tab w:leader="none" w:pos="1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3" w:lineRule="exact"/>
        <w:rPr>
          <w:rFonts w:ascii="Arial" w:cs="Arial" w:eastAsia="Arial" w:hAnsi="Arial"/>
          <w:sz w:val="18"/>
          <w:szCs w:val="18"/>
          <w:color w:val="auto"/>
        </w:rPr>
      </w:pPr>
    </w:p>
    <w:p>
      <w:pPr>
        <w:ind w:left="1420" w:right="360" w:hanging="567"/>
        <w:spacing w:after="0" w:line="332" w:lineRule="auto"/>
        <w:tabs>
          <w:tab w:leader="none" w:pos="142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85" w:lineRule="exact"/>
        <w:rPr>
          <w:rFonts w:ascii="Arial" w:cs="Arial" w:eastAsia="Arial" w:hAnsi="Arial"/>
          <w:sz w:val="16"/>
          <w:szCs w:val="16"/>
          <w:color w:val="auto"/>
        </w:rPr>
      </w:pPr>
    </w:p>
    <w:p>
      <w:pPr>
        <w:ind w:left="660" w:hanging="25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60" w:right="120" w:firstLine="464"/>
        <w:spacing w:after="0" w:line="256" w:lineRule="auto"/>
        <w:tabs>
          <w:tab w:leader="none" w:pos="6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80" w:right="299" w:bottom="1440" w:gutter="0" w:footer="0" w:header="0"/>
        </w:sectPr>
      </w:pPr>
    </w:p>
    <w:bookmarkStart w:id="213" w:name="page214"/>
    <w:bookmarkEnd w:id="213"/>
    <w:p>
      <w:pPr>
        <w:ind w:left="-20" w:right="400" w:firstLine="464"/>
        <w:spacing w:after="0" w:line="332" w:lineRule="auto"/>
        <w:tabs>
          <w:tab w:leader="none" w:pos="734"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left="-20" w:right="280" w:firstLine="464"/>
        <w:spacing w:after="0" w:line="268" w:lineRule="auto"/>
        <w:tabs>
          <w:tab w:leader="none" w:pos="6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20" w:firstLine="464"/>
        <w:spacing w:after="0" w:line="288" w:lineRule="auto"/>
        <w:tabs>
          <w:tab w:leader="none" w:pos="68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or Special Common Stock after December 31, 2011 shall be credited with interest at the Applicable Interest Rate commencing as of the date on which dividends or other distributions are paid.</w:t>
      </w:r>
    </w:p>
    <w:p>
      <w:pPr>
        <w:spacing w:after="0" w:line="119" w:lineRule="exact"/>
        <w:rPr>
          <w:rFonts w:ascii="Arial" w:cs="Arial" w:eastAsia="Arial" w:hAnsi="Arial"/>
          <w:sz w:val="16"/>
          <w:szCs w:val="16"/>
          <w:color w:val="auto"/>
        </w:rPr>
      </w:pPr>
    </w:p>
    <w:p>
      <w:pPr>
        <w:ind w:left="700" w:hanging="256"/>
        <w:spacing w:after="0"/>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60" w:hanging="567"/>
        <w:spacing w:after="0"/>
        <w:tabs>
          <w:tab w:leader="none" w:pos="14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211" w:lineRule="exact"/>
        <w:rPr>
          <w:rFonts w:ascii="Arial" w:cs="Arial" w:eastAsia="Arial" w:hAnsi="Arial"/>
          <w:sz w:val="18"/>
          <w:szCs w:val="18"/>
          <w:color w:val="auto"/>
        </w:rPr>
      </w:pPr>
    </w:p>
    <w:p>
      <w:pPr>
        <w:ind w:left="1460" w:hanging="567"/>
        <w:spacing w:after="0"/>
        <w:tabs>
          <w:tab w:leader="none" w:pos="14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60" w:hanging="567"/>
        <w:spacing w:after="0"/>
        <w:tabs>
          <w:tab w:leader="none" w:pos="14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212" w:lineRule="exact"/>
        <w:rPr>
          <w:sz w:val="20"/>
          <w:szCs w:val="20"/>
          <w:color w:val="auto"/>
        </w:rPr>
      </w:pPr>
    </w:p>
    <w:p>
      <w:pPr>
        <w:ind w:left="1900" w:right="40" w:hanging="440"/>
        <w:spacing w:after="0" w:line="268" w:lineRule="auto"/>
        <w:tabs>
          <w:tab w:leader="none" w:pos="1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(x) the date on which an Initial Election is filed with the Committee; and (y) the first day of the calendar year in which such Initial Election filed.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214" w:name="page215"/>
    <w:bookmarkEnd w:id="214"/>
    <w:p>
      <w:pPr>
        <w:ind w:left="1920" w:hanging="440"/>
        <w:spacing w:after="0" w:line="332" w:lineRule="auto"/>
        <w:tabs>
          <w:tab w:leader="none" w:pos="1920" w:val="left"/>
        </w:tabs>
        <w:numPr>
          <w:ilvl w:val="1"/>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Eligible Employee whose Annual Rate of Pay is $125,000 as of each of: (x) June 30, 2002; (y) the date on which an Initial Election is filed with the Committee; and (z) the first day of each calendar year beginning after December 31, 2002.</w:t>
      </w:r>
    </w:p>
    <w:p>
      <w:pPr>
        <w:spacing w:after="0" w:line="125" w:lineRule="exact"/>
        <w:rPr>
          <w:rFonts w:ascii="Arial" w:cs="Arial" w:eastAsia="Arial" w:hAnsi="Arial"/>
          <w:sz w:val="16"/>
          <w:szCs w:val="16"/>
          <w:color w:val="auto"/>
        </w:rPr>
      </w:pPr>
    </w:p>
    <w:p>
      <w:pPr>
        <w:ind w:left="1920" w:hanging="440"/>
        <w:spacing w:after="0"/>
        <w:tabs>
          <w:tab w:leader="none" w:pos="19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11"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Effective on and after January 1, 2014:</w:t>
      </w:r>
    </w:p>
    <w:p>
      <w:pPr>
        <w:spacing w:after="0" w:line="211"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$250,000 or more as of both: (x) the date on which an Initial Election is filed with the Committee; and (y) the first day of the calendar year in which such Initial Election filed.</w:t>
      </w:r>
    </w:p>
    <w:p>
      <w:pPr>
        <w:spacing w:after="0" w:line="172" w:lineRule="exact"/>
        <w:rPr>
          <w:rFonts w:ascii="Arial" w:cs="Arial" w:eastAsia="Arial" w:hAnsi="Arial"/>
          <w:sz w:val="18"/>
          <w:szCs w:val="18"/>
          <w:color w:val="auto"/>
        </w:rPr>
      </w:pPr>
    </w:p>
    <w:p>
      <w:pPr>
        <w:ind w:left="1920" w:hanging="440"/>
        <w:spacing w:after="0"/>
        <w:tabs>
          <w:tab w:leader="none" w:pos="19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11" w:lineRule="exact"/>
        <w:rPr>
          <w:rFonts w:ascii="Arial" w:cs="Arial" w:eastAsia="Arial" w:hAnsi="Arial"/>
          <w:sz w:val="18"/>
          <w:szCs w:val="18"/>
          <w:color w:val="auto"/>
        </w:rPr>
      </w:pPr>
    </w:p>
    <w:p>
      <w:pPr>
        <w:ind w:left="1920" w:right="20" w:hanging="440"/>
        <w:spacing w:after="0" w:line="268" w:lineRule="auto"/>
        <w:tabs>
          <w:tab w:leader="none" w:pos="19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40" w:lineRule="exact"/>
        <w:rPr>
          <w:sz w:val="20"/>
          <w:szCs w:val="20"/>
          <w:color w:val="auto"/>
        </w:rPr>
      </w:pPr>
    </w:p>
    <w:p>
      <w:pPr>
        <w:ind w:left="680" w:hanging="216"/>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right="120" w:hanging="567"/>
        <w:spacing w:after="0" w:line="259"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180"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15" w:name="page216"/>
    <w:bookmarkEnd w:id="215"/>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firstLine="464"/>
        <w:spacing w:after="0" w:line="259" w:lineRule="auto"/>
        <w:tabs>
          <w:tab w:leader="none" w:pos="7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right="540" w:hanging="567"/>
        <w:spacing w:after="0" w:line="370" w:lineRule="auto"/>
        <w:tabs>
          <w:tab w:leader="none" w:pos="148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02" w:lineRule="exact"/>
        <w:rPr>
          <w:rFonts w:ascii="Arial" w:cs="Arial" w:eastAsia="Arial" w:hAnsi="Arial"/>
          <w:sz w:val="15"/>
          <w:szCs w:val="15"/>
          <w:color w:val="auto"/>
        </w:rPr>
      </w:pPr>
    </w:p>
    <w:p>
      <w:pPr>
        <w:jc w:val="both"/>
        <w:ind w:left="148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sz w:val="20"/>
          <w:szCs w:val="20"/>
          <w:color w:val="auto"/>
        </w:rPr>
      </w:pPr>
    </w:p>
    <w:p>
      <w:pPr>
        <w:ind w:right="240" w:firstLine="464"/>
        <w:spacing w:after="0" w:line="332" w:lineRule="auto"/>
        <w:tabs>
          <w:tab w:leader="none" w:pos="77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right="480" w:firstLine="464"/>
        <w:spacing w:after="0" w:line="268" w:lineRule="auto"/>
        <w:tabs>
          <w:tab w:leader="none" w:pos="7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Grantee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16" w:name="page217"/>
    <w:bookmarkEnd w:id="21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43" w:lineRule="exact"/>
        <w:rPr>
          <w:sz w:val="20"/>
          <w:szCs w:val="20"/>
          <w:color w:val="auto"/>
        </w:rPr>
      </w:pPr>
    </w:p>
    <w:p>
      <w:pPr>
        <w:ind w:left="780" w:hanging="316"/>
        <w:spacing w:after="0"/>
        <w:tabs>
          <w:tab w:leader="none" w:pos="7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 Water Mark</w:t>
      </w:r>
      <w:r>
        <w:rPr>
          <w:rFonts w:ascii="Arial" w:cs="Arial" w:eastAsia="Arial" w:hAnsi="Arial"/>
          <w:sz w:val="16"/>
          <w:szCs w:val="16"/>
          <w:color w:val="auto"/>
        </w:rPr>
        <w:t>” means:</w:t>
      </w:r>
    </w:p>
    <w:p>
      <w:pPr>
        <w:spacing w:after="0" w:line="234" w:lineRule="exact"/>
        <w:rPr>
          <w:rFonts w:ascii="Arial" w:cs="Arial" w:eastAsia="Arial" w:hAnsi="Arial"/>
          <w:sz w:val="16"/>
          <w:szCs w:val="16"/>
          <w:color w:val="auto"/>
        </w:rPr>
      </w:pPr>
    </w:p>
    <w:p>
      <w:pPr>
        <w:ind w:left="1480" w:right="320" w:hanging="567"/>
        <w:spacing w:after="0" w:line="259"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180" w:lineRule="exact"/>
        <w:rPr>
          <w:rFonts w:ascii="Arial" w:cs="Arial" w:eastAsia="Arial" w:hAnsi="Arial"/>
          <w:sz w:val="18"/>
          <w:szCs w:val="18"/>
          <w:color w:val="auto"/>
        </w:rPr>
      </w:pPr>
    </w:p>
    <w:p>
      <w:pPr>
        <w:ind w:left="1920" w:hanging="440"/>
        <w:spacing w:after="0"/>
        <w:tabs>
          <w:tab w:leader="none" w:pos="19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Grantee’s Account under the 2005 Deferred Compensation Plan; plus</w:t>
      </w:r>
    </w:p>
    <w:p>
      <w:pPr>
        <w:spacing w:after="0" w:line="211" w:lineRule="exact"/>
        <w:rPr>
          <w:rFonts w:ascii="Arial" w:cs="Arial" w:eastAsia="Arial" w:hAnsi="Arial"/>
          <w:sz w:val="18"/>
          <w:szCs w:val="18"/>
          <w:color w:val="auto"/>
        </w:rPr>
      </w:pPr>
    </w:p>
    <w:p>
      <w:pPr>
        <w:ind w:left="1920" w:hanging="440"/>
        <w:spacing w:after="0"/>
        <w:tabs>
          <w:tab w:leader="none" w:pos="19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Grantee’s Account under the 2002 Deferred Compensation Plan; plus</w:t>
      </w:r>
    </w:p>
    <w:p>
      <w:pPr>
        <w:spacing w:after="0" w:line="211" w:lineRule="exact"/>
        <w:rPr>
          <w:rFonts w:ascii="Arial" w:cs="Arial" w:eastAsia="Arial" w:hAnsi="Arial"/>
          <w:sz w:val="18"/>
          <w:szCs w:val="18"/>
          <w:color w:val="auto"/>
        </w:rPr>
      </w:pPr>
    </w:p>
    <w:p>
      <w:pPr>
        <w:ind w:left="1920" w:hanging="440"/>
        <w:spacing w:after="0"/>
        <w:tabs>
          <w:tab w:leader="none" w:pos="19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portion of the Grantee’s Account under this Plan credited to the Income Fund.</w:t>
      </w:r>
    </w:p>
    <w:p>
      <w:pPr>
        <w:spacing w:after="0" w:line="211" w:lineRule="exact"/>
        <w:rPr>
          <w:rFonts w:ascii="Arial" w:cs="Arial" w:eastAsia="Arial" w:hAnsi="Arial"/>
          <w:sz w:val="18"/>
          <w:szCs w:val="18"/>
          <w:color w:val="auto"/>
        </w:rPr>
      </w:pPr>
    </w:p>
    <w:p>
      <w:pPr>
        <w:ind w:left="1480" w:right="80" w:hanging="567"/>
        <w:spacing w:after="0" w:line="306" w:lineRule="auto"/>
        <w:tabs>
          <w:tab w:leader="none" w:pos="148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With respect to amounts credited to the Income Fund on account of Diversification Elections and Special Diversification Elections made after 2014, the sum of (x) plus (y) where (x) equals the highest of the sum of the amounts described in Section 2(ee)(i)(A), (B) and (C) as of the last day of any calendar quarter beginning after December 31, 2008 and before January 1, 2014, and (y) equals the sum of:</w:t>
      </w:r>
    </w:p>
    <w:p>
      <w:pPr>
        <w:spacing w:after="0" w:line="147" w:lineRule="exact"/>
        <w:rPr>
          <w:rFonts w:ascii="Arial" w:cs="Arial" w:eastAsia="Arial" w:hAnsi="Arial"/>
          <w:sz w:val="16"/>
          <w:szCs w:val="16"/>
          <w:color w:val="auto"/>
        </w:rPr>
      </w:pPr>
    </w:p>
    <w:p>
      <w:pPr>
        <w:ind w:left="1920" w:right="80" w:hanging="440"/>
        <w:spacing w:after="0" w:line="259" w:lineRule="auto"/>
        <w:tabs>
          <w:tab w:leader="none" w:pos="192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amount credited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80" w:lineRule="exact"/>
        <w:rPr>
          <w:rFonts w:ascii="Arial" w:cs="Arial" w:eastAsia="Arial" w:hAnsi="Arial"/>
          <w:sz w:val="18"/>
          <w:szCs w:val="18"/>
          <w:color w:val="auto"/>
        </w:rPr>
      </w:pPr>
    </w:p>
    <w:p>
      <w:pPr>
        <w:ind w:left="1920" w:right="240" w:hanging="440"/>
        <w:spacing w:after="0" w:line="332" w:lineRule="auto"/>
        <w:tabs>
          <w:tab w:leader="none" w:pos="1920" w:val="left"/>
        </w:tabs>
        <w:numPr>
          <w:ilvl w:val="2"/>
          <w:numId w:val="121"/>
        </w:numPr>
        <w:rPr>
          <w:rFonts w:ascii="Arial" w:cs="Arial" w:eastAsia="Arial" w:hAnsi="Arial"/>
          <w:sz w:val="16"/>
          <w:szCs w:val="16"/>
          <w:color w:val="auto"/>
        </w:rPr>
      </w:pPr>
      <w:r>
        <w:rPr>
          <w:rFonts w:ascii="Arial" w:cs="Arial" w:eastAsia="Arial" w:hAnsi="Arial"/>
          <w:sz w:val="16"/>
          <w:szCs w:val="16"/>
          <w:color w:val="auto"/>
        </w:rPr>
        <w:t>The deferred portion of a Grantee’s cash bonus award earned for 2013 and payable, but for the Grantee’s deferral election under the 2005 Deferred Compensation Plan after December 31, 2013 and on or before September 30, 2014; plus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7" w:name="page218"/>
    <w:bookmarkEnd w:id="217"/>
    <w:p>
      <w:pPr>
        <w:jc w:val="both"/>
        <w:ind w:left="1860" w:hanging="440"/>
        <w:spacing w:after="0" w:line="370" w:lineRule="auto"/>
        <w:tabs>
          <w:tab w:leader="none" w:pos="1860" w:val="left"/>
        </w:tabs>
        <w:numPr>
          <w:ilvl w:val="2"/>
          <w:numId w:val="1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62" w:lineRule="exact"/>
        <w:rPr>
          <w:rFonts w:ascii="Arial" w:cs="Arial" w:eastAsia="Arial" w:hAnsi="Arial"/>
          <w:sz w:val="15"/>
          <w:szCs w:val="15"/>
          <w:color w:val="auto"/>
        </w:rPr>
      </w:pPr>
    </w:p>
    <w:p>
      <w:pPr>
        <w:ind w:left="-60" w:firstLine="464"/>
        <w:spacing w:after="0" w:line="291" w:lineRule="auto"/>
        <w:tabs>
          <w:tab w:leader="none" w:pos="67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participant’s account under such 2005 Deferred Compensation Plan.</w:t>
      </w:r>
    </w:p>
    <w:p>
      <w:pPr>
        <w:spacing w:after="0" w:line="120" w:lineRule="exact"/>
        <w:rPr>
          <w:rFonts w:ascii="Arial" w:cs="Arial" w:eastAsia="Arial" w:hAnsi="Arial"/>
          <w:sz w:val="16"/>
          <w:szCs w:val="16"/>
          <w:color w:val="auto"/>
        </w:rPr>
      </w:pPr>
    </w:p>
    <w:p>
      <w:pPr>
        <w:ind w:left="-60" w:right="360" w:firstLine="464"/>
        <w:spacing w:after="0" w:line="306" w:lineRule="auto"/>
        <w:tabs>
          <w:tab w:leader="none" w:pos="73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Election</w:t>
      </w:r>
      <w:r>
        <w:rPr>
          <w:rFonts w:ascii="Arial" w:cs="Arial" w:eastAsia="Arial" w:hAnsi="Arial"/>
          <w:sz w:val="16"/>
          <w:szCs w:val="16"/>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(ii) designates the distribution date of such Shares; or (iii) makes a tax withholding election as described in Paragraph 9(c)(iii).</w:t>
      </w:r>
    </w:p>
    <w:p>
      <w:pPr>
        <w:spacing w:after="0" w:line="106" w:lineRule="exact"/>
        <w:rPr>
          <w:rFonts w:ascii="Arial" w:cs="Arial" w:eastAsia="Arial" w:hAnsi="Arial"/>
          <w:sz w:val="16"/>
          <w:szCs w:val="16"/>
          <w:color w:val="auto"/>
        </w:rPr>
      </w:pPr>
    </w:p>
    <w:p>
      <w:pPr>
        <w:ind w:left="740" w:hanging="336"/>
        <w:spacing w:after="0"/>
        <w:tabs>
          <w:tab w:leader="none" w:pos="7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20" w:hanging="567"/>
        <w:spacing w:after="0"/>
        <w:tabs>
          <w:tab w:leader="none" w:pos="14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Effective before January 1, 2014, each employee of a Participating Company who:</w:t>
      </w:r>
    </w:p>
    <w:p>
      <w:pPr>
        <w:spacing w:after="0" w:line="211" w:lineRule="exact"/>
        <w:rPr>
          <w:rFonts w:ascii="Arial" w:cs="Arial" w:eastAsia="Arial" w:hAnsi="Arial"/>
          <w:sz w:val="18"/>
          <w:szCs w:val="18"/>
          <w:color w:val="auto"/>
        </w:rPr>
      </w:pPr>
    </w:p>
    <w:p>
      <w:pPr>
        <w:ind w:left="1860" w:right="660" w:hanging="440"/>
        <w:spacing w:after="0" w:line="268" w:lineRule="auto"/>
        <w:tabs>
          <w:tab w:leader="none" w:pos="18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$200,000 or more as of his employment commencement date; or</w:t>
      </w:r>
    </w:p>
    <w:p>
      <w:pPr>
        <w:spacing w:after="0" w:line="172" w:lineRule="exact"/>
        <w:rPr>
          <w:rFonts w:ascii="Arial" w:cs="Arial" w:eastAsia="Arial" w:hAnsi="Arial"/>
          <w:sz w:val="18"/>
          <w:szCs w:val="18"/>
          <w:color w:val="auto"/>
        </w:rPr>
      </w:pPr>
    </w:p>
    <w:p>
      <w:pPr>
        <w:ind w:left="1860" w:right="200" w:hanging="440"/>
        <w:spacing w:after="0" w:line="268" w:lineRule="auto"/>
        <w:tabs>
          <w:tab w:leader="none" w:pos="18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has an Annual Rate of Pay that is increased to $200,000 or more and who, immediately preceding such increase, was not a Deferral Eligible Employee.</w:t>
      </w:r>
    </w:p>
    <w:p>
      <w:pPr>
        <w:spacing w:after="0" w:line="172" w:lineRule="exact"/>
        <w:rPr>
          <w:rFonts w:ascii="Arial" w:cs="Arial" w:eastAsia="Arial" w:hAnsi="Arial"/>
          <w:sz w:val="18"/>
          <w:szCs w:val="18"/>
          <w:color w:val="auto"/>
        </w:rPr>
      </w:pPr>
    </w:p>
    <w:p>
      <w:pPr>
        <w:ind w:left="1420" w:hanging="567"/>
        <w:spacing w:after="0"/>
        <w:tabs>
          <w:tab w:leader="none" w:pos="14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Effective on and after January 1, 2014, each employee of a Participating Company who:</w:t>
      </w:r>
    </w:p>
    <w:p>
      <w:pPr>
        <w:spacing w:after="0" w:line="211" w:lineRule="exact"/>
        <w:rPr>
          <w:rFonts w:ascii="Arial" w:cs="Arial" w:eastAsia="Arial" w:hAnsi="Arial"/>
          <w:sz w:val="18"/>
          <w:szCs w:val="18"/>
          <w:color w:val="auto"/>
        </w:rPr>
      </w:pPr>
    </w:p>
    <w:p>
      <w:pPr>
        <w:ind w:left="1860" w:right="660" w:hanging="440"/>
        <w:spacing w:after="0" w:line="268" w:lineRule="auto"/>
        <w:tabs>
          <w:tab w:leader="none" w:pos="18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$250,000 or more as of his employment commencement date; or</w:t>
      </w:r>
    </w:p>
    <w:p>
      <w:pPr>
        <w:spacing w:after="0" w:line="172" w:lineRule="exact"/>
        <w:rPr>
          <w:rFonts w:ascii="Arial" w:cs="Arial" w:eastAsia="Arial" w:hAnsi="Arial"/>
          <w:sz w:val="18"/>
          <w:szCs w:val="18"/>
          <w:color w:val="auto"/>
        </w:rPr>
      </w:pPr>
    </w:p>
    <w:p>
      <w:pPr>
        <w:ind w:left="1860" w:right="200" w:hanging="440"/>
        <w:spacing w:after="0" w:line="268" w:lineRule="auto"/>
        <w:tabs>
          <w:tab w:leader="none" w:pos="18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has an Annual Rate of Pay that is increased to $250,000 or more and who, immediately preceding such increase, was not a Deferral Eligible Employee.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300" w:top="280" w:right="299" w:bottom="1440" w:gutter="0" w:footer="0" w:header="0"/>
        </w:sectPr>
      </w:pPr>
    </w:p>
    <w:bookmarkStart w:id="218" w:name="page219"/>
    <w:bookmarkEnd w:id="218"/>
    <w:p>
      <w:pPr>
        <w:ind w:right="280" w:firstLine="464"/>
        <w:spacing w:after="0" w:line="268" w:lineRule="auto"/>
        <w:tabs>
          <w:tab w:leader="none" w:pos="7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right="100" w:firstLine="464"/>
        <w:spacing w:after="0" w:line="268" w:lineRule="auto"/>
        <w:tabs>
          <w:tab w:leader="none" w:pos="7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211"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11" w:lineRule="exact"/>
        <w:rPr>
          <w:rFonts w:ascii="Arial" w:cs="Arial" w:eastAsia="Arial" w:hAnsi="Arial"/>
          <w:sz w:val="18"/>
          <w:szCs w:val="18"/>
          <w:color w:val="auto"/>
        </w:rPr>
      </w:pPr>
    </w:p>
    <w:p>
      <w:pPr>
        <w:ind w:left="1920" w:right="80" w:hanging="440"/>
        <w:spacing w:after="0" w:line="268" w:lineRule="auto"/>
        <w:tabs>
          <w:tab w:leader="none" w:pos="19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2(kk) (i); over</w:t>
      </w:r>
    </w:p>
    <w:p>
      <w:pPr>
        <w:spacing w:after="0" w:line="172" w:lineRule="exact"/>
        <w:rPr>
          <w:rFonts w:ascii="Arial" w:cs="Arial" w:eastAsia="Arial" w:hAnsi="Arial"/>
          <w:sz w:val="18"/>
          <w:szCs w:val="18"/>
          <w:color w:val="auto"/>
        </w:rPr>
      </w:pPr>
    </w:p>
    <w:p>
      <w:pPr>
        <w:ind w:left="1920" w:hanging="440"/>
        <w:spacing w:after="0"/>
        <w:tabs>
          <w:tab w:leader="none" w:pos="19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2140" w:hanging="251"/>
        <w:spacing w:after="0"/>
        <w:tabs>
          <w:tab w:leader="none" w:pos="2140" w:val="left"/>
        </w:tabs>
        <w:numPr>
          <w:ilvl w:val="3"/>
          <w:numId w:val="124"/>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94" w:lineRule="exact"/>
        <w:rPr>
          <w:rFonts w:ascii="Arial" w:cs="Arial" w:eastAsia="Arial" w:hAnsi="Arial"/>
          <w:sz w:val="16"/>
          <w:szCs w:val="16"/>
          <w:color w:val="auto"/>
        </w:rPr>
      </w:pPr>
    </w:p>
    <w:p>
      <w:pPr>
        <w:ind w:left="1500" w:right="240" w:firstLine="389"/>
        <w:spacing w:after="0" w:line="259" w:lineRule="auto"/>
        <w:tabs>
          <w:tab w:leader="none" w:pos="2146" w:val="left"/>
        </w:tabs>
        <w:numPr>
          <w:ilvl w:val="3"/>
          <w:numId w:val="124"/>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140" w:lineRule="exact"/>
        <w:rPr>
          <w:rFonts w:ascii="Arial" w:cs="Arial" w:eastAsia="Arial" w:hAnsi="Arial"/>
          <w:sz w:val="18"/>
          <w:szCs w:val="18"/>
          <w:color w:val="auto"/>
        </w:rPr>
      </w:pPr>
    </w:p>
    <w:p>
      <w:pPr>
        <w:ind w:left="1500" w:right="120" w:firstLine="389"/>
        <w:spacing w:after="0" w:line="298" w:lineRule="auto"/>
        <w:tabs>
          <w:tab w:leader="none" w:pos="2146" w:val="left"/>
        </w:tabs>
        <w:numPr>
          <w:ilvl w:val="3"/>
          <w:numId w:val="124"/>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12" w:lineRule="exact"/>
        <w:rPr>
          <w:rFonts w:ascii="Arial" w:cs="Arial" w:eastAsia="Arial" w:hAnsi="Arial"/>
          <w:sz w:val="16"/>
          <w:szCs w:val="16"/>
          <w:color w:val="auto"/>
        </w:rPr>
      </w:pPr>
    </w:p>
    <w:p>
      <w:pPr>
        <w:ind w:left="1500" w:firstLine="389"/>
        <w:spacing w:after="0" w:line="306" w:lineRule="auto"/>
        <w:tabs>
          <w:tab w:leader="none" w:pos="2146" w:val="left"/>
        </w:tabs>
        <w:numPr>
          <w:ilvl w:val="3"/>
          <w:numId w:val="124"/>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9" w:name="page220"/>
    <w:bookmarkEnd w:id="219"/>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Paragraph 2(kk),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2(kk),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900" w:hanging="43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71" w:lineRule="exact"/>
        <w:rPr>
          <w:rFonts w:ascii="Arial" w:cs="Arial" w:eastAsia="Arial" w:hAnsi="Arial"/>
          <w:sz w:val="18"/>
          <w:szCs w:val="18"/>
          <w:color w:val="auto"/>
        </w:rPr>
      </w:pPr>
    </w:p>
    <w:p>
      <w:pPr>
        <w:ind w:firstLine="464"/>
        <w:spacing w:after="0" w:line="256" w:lineRule="auto"/>
        <w:tabs>
          <w:tab w:leader="none" w:pos="7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740" w:hanging="276"/>
        <w:spacing w:after="0"/>
        <w:tabs>
          <w:tab w:leader="none" w:pos="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 Unit</w:t>
      </w:r>
      <w:r>
        <w:rPr>
          <w:rFonts w:ascii="Arial" w:cs="Arial" w:eastAsia="Arial" w:hAnsi="Arial"/>
          <w:sz w:val="16"/>
          <w:szCs w:val="16"/>
          <w:color w:val="auto"/>
        </w:rPr>
        <w:t>” means a unit that entitles the Grantee, upon the Vesting Date set forth in an Award, to receive one Share.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20" w:name="page221"/>
    <w:bookmarkEnd w:id="220"/>
    <w:p>
      <w:pPr>
        <w:ind w:left="760" w:hanging="336"/>
        <w:spacing w:after="0"/>
        <w:tabs>
          <w:tab w:leader="none" w:pos="7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840" w:hanging="416"/>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40" w:hanging="567"/>
        <w:spacing w:after="0"/>
        <w:tabs>
          <w:tab w:leader="none" w:pos="14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except as provided in Paragraph 2(ww)(ii), a share or shares of Common Stock.</w:t>
      </w:r>
    </w:p>
    <w:p>
      <w:pPr>
        <w:spacing w:after="0" w:line="211" w:lineRule="exact"/>
        <w:rPr>
          <w:rFonts w:ascii="Arial" w:cs="Arial" w:eastAsia="Arial" w:hAnsi="Arial"/>
          <w:sz w:val="18"/>
          <w:szCs w:val="18"/>
          <w:color w:val="auto"/>
        </w:rPr>
      </w:pPr>
    </w:p>
    <w:p>
      <w:pPr>
        <w:ind w:left="1440" w:right="120" w:hanging="567"/>
        <w:spacing w:after="0" w:line="370" w:lineRule="auto"/>
        <w:tabs>
          <w:tab w:leader="none" w:pos="144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2(kk) and 9(c), the term “Share” or “Shares” also means a share or shares of Special Common Stock.</w:t>
      </w:r>
    </w:p>
    <w:p>
      <w:pPr>
        <w:spacing w:after="0" w:line="62" w:lineRule="exact"/>
        <w:rPr>
          <w:rFonts w:ascii="Arial" w:cs="Arial" w:eastAsia="Arial" w:hAnsi="Arial"/>
          <w:sz w:val="15"/>
          <w:szCs w:val="15"/>
          <w:color w:val="auto"/>
        </w:rPr>
      </w:pPr>
    </w:p>
    <w:p>
      <w:pPr>
        <w:ind w:left="760" w:hanging="336"/>
        <w:spacing w:after="0"/>
        <w:tabs>
          <w:tab w:leader="none" w:pos="7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left="-40" w:right="180" w:firstLine="464"/>
        <w:spacing w:after="0" w:line="256" w:lineRule="auto"/>
        <w:tabs>
          <w:tab w:leader="none" w:pos="7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43" w:lineRule="exact"/>
        <w:rPr>
          <w:rFonts w:ascii="Arial" w:cs="Arial" w:eastAsia="Arial" w:hAnsi="Arial"/>
          <w:sz w:val="18"/>
          <w:szCs w:val="18"/>
          <w:color w:val="auto"/>
        </w:rPr>
      </w:pPr>
    </w:p>
    <w:p>
      <w:pPr>
        <w:ind w:left="-40" w:firstLine="464"/>
        <w:spacing w:after="0" w:line="259" w:lineRule="auto"/>
        <w:tabs>
          <w:tab w:leader="none" w:pos="7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40" w:lineRule="exact"/>
        <w:rPr>
          <w:sz w:val="20"/>
          <w:szCs w:val="20"/>
          <w:color w:val="auto"/>
        </w:rPr>
      </w:pPr>
    </w:p>
    <w:p>
      <w:pPr>
        <w:ind w:left="-40" w:right="420" w:firstLine="464"/>
        <w:spacing w:after="0" w:line="332" w:lineRule="auto"/>
        <w:tabs>
          <w:tab w:leader="none" w:pos="81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Companies</w:t>
      </w:r>
      <w:r>
        <w:rPr>
          <w:rFonts w:ascii="Arial" w:cs="Arial" w:eastAsia="Arial" w:hAnsi="Arial"/>
          <w:sz w:val="16"/>
          <w:szCs w:val="16"/>
          <w:color w:val="auto"/>
        </w:rPr>
        <w:t>” means all business entities that, at the time in question, are subsidiaries of the Company, within the meaning of section 424(f) of the Code.</w:t>
      </w:r>
    </w:p>
    <w:p>
      <w:pPr>
        <w:spacing w:after="0" w:line="85" w:lineRule="exact"/>
        <w:rPr>
          <w:rFonts w:ascii="Arial" w:cs="Arial" w:eastAsia="Arial" w:hAnsi="Arial"/>
          <w:sz w:val="16"/>
          <w:szCs w:val="16"/>
          <w:color w:val="auto"/>
        </w:rPr>
      </w:pPr>
    </w:p>
    <w:p>
      <w:pPr>
        <w:ind w:left="-40" w:right="100" w:firstLine="464"/>
        <w:spacing w:after="0" w:line="332" w:lineRule="auto"/>
        <w:tabs>
          <w:tab w:leader="none" w:pos="84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20" w:hanging="396"/>
        <w:spacing w:after="0"/>
        <w:tabs>
          <w:tab w:leader="none" w:pos="8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11" w:lineRule="exact"/>
        <w:rPr>
          <w:rFonts w:ascii="Arial" w:cs="Arial" w:eastAsia="Arial" w:hAnsi="Arial"/>
          <w:sz w:val="18"/>
          <w:szCs w:val="18"/>
          <w:color w:val="auto"/>
        </w:rPr>
      </w:pPr>
    </w:p>
    <w:p>
      <w:pPr>
        <w:ind w:left="1440" w:hanging="567"/>
        <w:spacing w:after="0"/>
        <w:tabs>
          <w:tab w:leader="none" w:pos="14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11" w:lineRule="exact"/>
        <w:rPr>
          <w:rFonts w:ascii="Arial" w:cs="Arial" w:eastAsia="Arial" w:hAnsi="Arial"/>
          <w:sz w:val="18"/>
          <w:szCs w:val="18"/>
          <w:color w:val="auto"/>
        </w:rPr>
      </w:pPr>
    </w:p>
    <w:p>
      <w:pPr>
        <w:ind w:left="1440" w:hanging="567"/>
        <w:spacing w:after="0"/>
        <w:tabs>
          <w:tab w:leader="none" w:pos="14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40" w:right="280" w:firstLine="464"/>
        <w:spacing w:after="0" w:line="332" w:lineRule="auto"/>
        <w:tabs>
          <w:tab w:leader="none" w:pos="84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80" w:right="259" w:bottom="1440" w:gutter="0" w:footer="0" w:header="0"/>
        </w:sectPr>
      </w:pPr>
    </w:p>
    <w:bookmarkStart w:id="221" w:name="page222"/>
    <w:bookmarkEnd w:id="221"/>
    <w:p>
      <w:pPr>
        <w:ind w:left="-8" w:right="180" w:firstLine="464"/>
        <w:spacing w:after="0" w:line="332" w:lineRule="auto"/>
        <w:tabs>
          <w:tab w:leader="none" w:pos="843" w:val="left"/>
        </w:tabs>
        <w:numPr>
          <w:ilvl w:val="1"/>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792" w:hanging="336"/>
        <w:spacing w:after="0"/>
        <w:tabs>
          <w:tab w:leader="none" w:pos="79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872" w:hanging="416"/>
        <w:spacing w:after="0"/>
        <w:tabs>
          <w:tab w:leader="none" w:pos="87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171" w:lineRule="exact"/>
        <w:rPr>
          <w:rFonts w:ascii="Arial" w:cs="Arial" w:eastAsia="Arial" w:hAnsi="Arial"/>
          <w:sz w:val="18"/>
          <w:szCs w:val="18"/>
          <w:b w:val="1"/>
          <w:bCs w:val="1"/>
          <w:color w:val="auto"/>
        </w:rPr>
      </w:pPr>
    </w:p>
    <w:p>
      <w:pPr>
        <w:ind w:left="-8" w:right="120" w:firstLine="464"/>
        <w:spacing w:after="0" w:line="268" w:lineRule="auto"/>
        <w:tabs>
          <w:tab w:leader="none" w:pos="68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left="-8" w:right="360" w:firstLine="464"/>
        <w:spacing w:after="0" w:line="259" w:lineRule="auto"/>
        <w:tabs>
          <w:tab w:leader="none" w:pos="69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rFonts w:ascii="Arial" w:cs="Arial" w:eastAsia="Arial" w:hAnsi="Arial"/>
          <w:sz w:val="18"/>
          <w:szCs w:val="18"/>
          <w:b w:val="1"/>
          <w:bCs w:val="1"/>
          <w:color w:val="auto"/>
        </w:rPr>
      </w:pPr>
    </w:p>
    <w:p>
      <w:pPr>
        <w:ind w:left="-8" w:right="220" w:firstLine="464"/>
        <w:spacing w:after="0" w:line="370" w:lineRule="auto"/>
        <w:tabs>
          <w:tab w:leader="none" w:pos="687" w:val="left"/>
        </w:tabs>
        <w:numPr>
          <w:ilvl w:val="1"/>
          <w:numId w:val="129"/>
        </w:numPr>
        <w:rPr>
          <w:rFonts w:ascii="Arial" w:cs="Arial" w:eastAsia="Arial" w:hAnsi="Arial"/>
          <w:sz w:val="15"/>
          <w:szCs w:val="15"/>
          <w:color w:val="auto"/>
        </w:rPr>
      </w:pPr>
      <w:r>
        <w:rPr>
          <w:rFonts w:ascii="Arial" w:cs="Arial" w:eastAsia="Arial" w:hAnsi="Arial"/>
          <w:sz w:val="15"/>
          <w:szCs w:val="15"/>
          <w:color w:val="auto"/>
        </w:rPr>
        <w:t>Subject to adjustment as provided in Paragraph 10, not more than 96.5 million Shares in the aggregate may be issued under the Plan pursuant to the grant of Awards. The Shares issued under the Plan may, at the Company’s option, be either Shares held in treasury or Shares originally issued for such purpose.</w:t>
      </w:r>
    </w:p>
    <w:p>
      <w:pPr>
        <w:spacing w:after="0" w:line="62" w:lineRule="exact"/>
        <w:rPr>
          <w:rFonts w:ascii="Arial" w:cs="Arial" w:eastAsia="Arial" w:hAnsi="Arial"/>
          <w:sz w:val="15"/>
          <w:szCs w:val="15"/>
          <w:color w:val="auto"/>
        </w:rPr>
      </w:pPr>
    </w:p>
    <w:p>
      <w:pPr>
        <w:ind w:left="-8" w:right="60" w:firstLine="464"/>
        <w:spacing w:after="0" w:line="306" w:lineRule="auto"/>
        <w:tabs>
          <w:tab w:leader="none" w:pos="69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222" w:lineRule="exact"/>
        <w:rPr>
          <w:rFonts w:ascii="Arial" w:cs="Arial" w:eastAsia="Arial" w:hAnsi="Arial"/>
          <w:sz w:val="16"/>
          <w:szCs w:val="16"/>
          <w:color w:val="auto"/>
        </w:rPr>
      </w:pPr>
    </w:p>
    <w:p>
      <w:pPr>
        <w:ind w:left="452" w:hanging="452"/>
        <w:spacing w:after="0"/>
        <w:tabs>
          <w:tab w:leader="none" w:pos="45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8" w:firstLine="464"/>
        <w:spacing w:after="0" w:line="370" w:lineRule="auto"/>
        <w:tabs>
          <w:tab w:leader="none" w:pos="687" w:val="left"/>
        </w:tabs>
        <w:numPr>
          <w:ilvl w:val="1"/>
          <w:numId w:val="129"/>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2" w:lineRule="exact"/>
        <w:rPr>
          <w:rFonts w:ascii="Arial" w:cs="Arial" w:eastAsia="Arial" w:hAnsi="Arial"/>
          <w:sz w:val="15"/>
          <w:szCs w:val="15"/>
          <w:color w:val="auto"/>
        </w:rPr>
      </w:pPr>
    </w:p>
    <w:p>
      <w:pPr>
        <w:ind w:left="712" w:hanging="256"/>
        <w:spacing w:after="0"/>
        <w:tabs>
          <w:tab w:leader="none" w:pos="712"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212" w:lineRule="exact"/>
        <w:rPr>
          <w:sz w:val="20"/>
          <w:szCs w:val="20"/>
          <w:color w:val="auto"/>
        </w:rPr>
      </w:pPr>
    </w:p>
    <w:p>
      <w:pPr>
        <w:ind w:left="5552" w:right="940" w:hanging="4647"/>
        <w:spacing w:after="0" w:line="440" w:lineRule="auto"/>
        <w:tabs>
          <w:tab w:leader="none" w:pos="14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-13-</w:t>
      </w:r>
    </w:p>
    <w:p>
      <w:pPr>
        <w:sectPr>
          <w:pgSz w:w="11900" w:h="16838" w:orient="portrait"/>
          <w:cols w:equalWidth="0" w:num="1">
            <w:col w:w="11412"/>
          </w:cols>
          <w:pgMar w:left="248" w:top="280" w:right="239" w:bottom="1440" w:gutter="0" w:footer="0" w:header="0"/>
        </w:sectPr>
      </w:pPr>
    </w:p>
    <w:bookmarkStart w:id="222" w:name="page223"/>
    <w:bookmarkEnd w:id="222"/>
    <w:p>
      <w:pPr>
        <w:ind w:left="148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181" w:lineRule="exact"/>
        <w:rPr>
          <w:sz w:val="20"/>
          <w:szCs w:val="20"/>
          <w:color w:val="auto"/>
        </w:rPr>
      </w:pPr>
    </w:p>
    <w:p>
      <w:pPr>
        <w:ind w:left="1480" w:right="120" w:hanging="567"/>
        <w:spacing w:after="0" w:line="268" w:lineRule="auto"/>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180" w:firstLine="464"/>
        <w:spacing w:after="0" w:line="332"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jc w:val="both"/>
        <w:ind w:right="80" w:firstLine="464"/>
        <w:spacing w:after="0" w:line="255"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2" w:lineRule="exact"/>
        <w:rPr>
          <w:rFonts w:ascii="Arial" w:cs="Arial" w:eastAsia="Arial" w:hAnsi="Arial"/>
          <w:sz w:val="18"/>
          <w:szCs w:val="18"/>
          <w:color w:val="auto"/>
        </w:rPr>
      </w:pPr>
    </w:p>
    <w:p>
      <w:pPr>
        <w:ind w:firstLine="464"/>
        <w:spacing w:after="0" w:line="256" w:lineRule="auto"/>
        <w:tabs>
          <w:tab w:leader="none" w:pos="67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183" w:lineRule="exact"/>
        <w:rPr>
          <w:rFonts w:ascii="Arial" w:cs="Arial" w:eastAsia="Arial" w:hAnsi="Arial"/>
          <w:sz w:val="18"/>
          <w:szCs w:val="18"/>
          <w:color w:val="auto"/>
        </w:rPr>
      </w:pPr>
    </w:p>
    <w:p>
      <w:pPr>
        <w:ind w:left="1480" w:hanging="567"/>
        <w:spacing w:after="0"/>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11"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23" w:name="page224"/>
    <w:bookmarkEnd w:id="223"/>
    <w:p>
      <w:pPr>
        <w:ind w:left="1480" w:hanging="567"/>
        <w:spacing w:after="0"/>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delegate shall notify the Committee that he or she declines to continue to exercise such authority.</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Committee may grant Awards in accordance with the Plan, provided that the Board or the Committee may grant Awards to Non-Employee Directors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11, 2021.</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right="140" w:firstLine="464"/>
        <w:spacing w:after="0" w:line="298"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12" w:lineRule="exact"/>
        <w:rPr>
          <w:rFonts w:ascii="Arial" w:cs="Arial" w:eastAsia="Arial" w:hAnsi="Arial"/>
          <w:sz w:val="16"/>
          <w:szCs w:val="16"/>
          <w:color w:val="auto"/>
        </w:rPr>
      </w:pPr>
    </w:p>
    <w:p>
      <w:pPr>
        <w:ind w:right="340" w:firstLine="464"/>
        <w:spacing w:after="0" w:line="332" w:lineRule="auto"/>
        <w:tabs>
          <w:tab w:leader="none" w:pos="70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85" w:lineRule="exact"/>
        <w:rPr>
          <w:rFonts w:ascii="Arial" w:cs="Arial" w:eastAsia="Arial" w:hAnsi="Arial"/>
          <w:sz w:val="16"/>
          <w:szCs w:val="16"/>
          <w:color w:val="auto"/>
        </w:rPr>
      </w:pPr>
    </w:p>
    <w:p>
      <w:pPr>
        <w:ind w:right="20" w:firstLine="464"/>
        <w:spacing w:after="0" w:line="298"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24" w:name="page225"/>
    <w:bookmarkEnd w:id="22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16" w:lineRule="exact"/>
        <w:rPr>
          <w:sz w:val="20"/>
          <w:szCs w:val="20"/>
          <w:color w:val="auto"/>
        </w:rPr>
      </w:pPr>
    </w:p>
    <w:p>
      <w:pPr>
        <w:ind w:right="40" w:firstLine="464"/>
        <w:spacing w:after="0" w:line="298" w:lineRule="auto"/>
        <w:tabs>
          <w:tab w:leader="none" w:pos="676"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112" w:lineRule="exact"/>
        <w:rPr>
          <w:rFonts w:ascii="Arial" w:cs="Arial" w:eastAsia="Arial" w:hAnsi="Arial"/>
          <w:sz w:val="16"/>
          <w:szCs w:val="16"/>
          <w:color w:val="auto"/>
        </w:rPr>
      </w:pPr>
    </w:p>
    <w:p>
      <w:pPr>
        <w:ind w:right="320" w:firstLine="464"/>
        <w:spacing w:after="0" w:line="298"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112" w:lineRule="exact"/>
        <w:rPr>
          <w:rFonts w:ascii="Arial" w:cs="Arial" w:eastAsia="Arial" w:hAnsi="Arial"/>
          <w:sz w:val="16"/>
          <w:szCs w:val="16"/>
          <w:color w:val="auto"/>
        </w:rPr>
      </w:pPr>
    </w:p>
    <w:p>
      <w:pPr>
        <w:ind w:firstLine="464"/>
        <w:spacing w:after="0" w:line="306"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right="40" w:firstLine="464"/>
        <w:spacing w:after="0" w:line="289" w:lineRule="auto"/>
        <w:tabs>
          <w:tab w:leader="none" w:pos="666"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225" w:name="page226"/>
    <w:bookmarkEnd w:id="225"/>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ELECTIONS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480" w:right="80" w:hanging="567"/>
        <w:spacing w:after="0" w:line="306" w:lineRule="auto"/>
        <w:tabs>
          <w:tab w:leader="none" w:pos="148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147" w:lineRule="exact"/>
        <w:rPr>
          <w:rFonts w:ascii="Arial" w:cs="Arial" w:eastAsia="Arial" w:hAnsi="Arial"/>
          <w:sz w:val="16"/>
          <w:szCs w:val="16"/>
          <w:color w:val="auto"/>
        </w:rPr>
      </w:pPr>
    </w:p>
    <w:p>
      <w:pPr>
        <w:ind w:left="1480" w:hanging="567"/>
        <w:spacing w:after="0" w:line="294" w:lineRule="auto"/>
        <w:tabs>
          <w:tab w:leader="none" w:pos="1480"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15" w:lineRule="exact"/>
        <w:rPr>
          <w:rFonts w:ascii="Arial" w:cs="Arial" w:eastAsia="Arial" w:hAnsi="Arial"/>
          <w:sz w:val="16"/>
          <w:szCs w:val="16"/>
          <w:color w:val="auto"/>
        </w:rPr>
      </w:pPr>
    </w:p>
    <w:p>
      <w:pPr>
        <w:ind w:firstLine="464"/>
        <w:spacing w:after="0" w:line="268"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31" w:lineRule="exact"/>
        <w:rPr>
          <w:rFonts w:ascii="Arial" w:cs="Arial" w:eastAsia="Arial" w:hAnsi="Arial"/>
          <w:sz w:val="18"/>
          <w:szCs w:val="18"/>
          <w:color w:val="auto"/>
        </w:rPr>
      </w:pPr>
    </w:p>
    <w:p>
      <w:pPr>
        <w:ind w:right="60" w:firstLine="464"/>
        <w:spacing w:after="0" w:line="318" w:lineRule="auto"/>
        <w:tabs>
          <w:tab w:leader="none" w:pos="695" w:val="left"/>
        </w:tabs>
        <w:numPr>
          <w:ilvl w:val="0"/>
          <w:numId w:val="138"/>
        </w:numPr>
        <w:rPr>
          <w:rFonts w:ascii="Arial" w:cs="Arial" w:eastAsia="Arial" w:hAnsi="Arial"/>
          <w:sz w:val="15"/>
          <w:szCs w:val="15"/>
          <w:color w:val="auto"/>
        </w:rPr>
      </w:pPr>
      <w:r>
        <w:rPr>
          <w:rFonts w:ascii="Arial" w:cs="Arial" w:eastAsia="Arial" w:hAnsi="Arial"/>
          <w:sz w:val="15"/>
          <w:szCs w:val="15"/>
          <w:u w:val="single" w:color="auto"/>
          <w:color w:val="auto"/>
        </w:rPr>
        <w:t>Deferral Period</w:t>
      </w:r>
      <w:r>
        <w:rPr>
          <w:rFonts w:ascii="Arial" w:cs="Arial" w:eastAsia="Arial" w:hAnsi="Arial"/>
          <w:sz w:val="15"/>
          <w:szCs w:val="15"/>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26" w:name="page227"/>
    <w:bookmarkEnd w:id="226"/>
    <w:p>
      <w:pPr>
        <w:ind w:left="-60" w:right="160" w:firstLine="464"/>
        <w:spacing w:after="0" w:line="268" w:lineRule="auto"/>
        <w:tabs>
          <w:tab w:leader="none" w:pos="64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172" w:lineRule="exact"/>
        <w:rPr>
          <w:rFonts w:ascii="Arial" w:cs="Arial" w:eastAsia="Arial" w:hAnsi="Arial"/>
          <w:sz w:val="18"/>
          <w:szCs w:val="18"/>
          <w:color w:val="auto"/>
        </w:rPr>
      </w:pPr>
    </w:p>
    <w:p>
      <w:pPr>
        <w:ind w:left="1420" w:hanging="567"/>
        <w:spacing w:after="0" w:line="289" w:lineRule="auto"/>
        <w:tabs>
          <w:tab w:leader="none" w:pos="14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 Notwithstanding the foregoing, except as otherwise provided by the Committee, an Active Grantee who is re-employed by a Participating Company following an employment termination date may not make a Subsequent Election with respect to amounts subject to an Initial Election or a Subsequent Election that was filed with the Committee before such employment termination date.</w:t>
      </w:r>
    </w:p>
    <w:p>
      <w:pPr>
        <w:spacing w:after="0" w:line="158" w:lineRule="exact"/>
        <w:rPr>
          <w:rFonts w:ascii="Arial" w:cs="Arial" w:eastAsia="Arial" w:hAnsi="Arial"/>
          <w:sz w:val="16"/>
          <w:szCs w:val="16"/>
          <w:color w:val="auto"/>
        </w:rPr>
      </w:pPr>
    </w:p>
    <w:p>
      <w:pPr>
        <w:ind w:left="1420" w:right="40" w:hanging="567"/>
        <w:spacing w:after="0" w:line="256" w:lineRule="auto"/>
        <w:tabs>
          <w:tab w:leader="none" w:pos="14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183" w:lineRule="exact"/>
        <w:rPr>
          <w:rFonts w:ascii="Arial" w:cs="Arial" w:eastAsia="Arial" w:hAnsi="Arial"/>
          <w:sz w:val="18"/>
          <w:szCs w:val="18"/>
          <w:color w:val="auto"/>
        </w:rPr>
      </w:pPr>
    </w:p>
    <w:p>
      <w:pPr>
        <w:jc w:val="both"/>
        <w:ind w:left="1420" w:right="40" w:hanging="567"/>
        <w:spacing w:after="0" w:line="306" w:lineRule="auto"/>
        <w:tabs>
          <w:tab w:leader="none" w:pos="14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06" w:lineRule="exact"/>
        <w:rPr>
          <w:rFonts w:ascii="Arial" w:cs="Arial" w:eastAsia="Arial" w:hAnsi="Arial"/>
          <w:sz w:val="16"/>
          <w:szCs w:val="16"/>
          <w:color w:val="auto"/>
        </w:rPr>
      </w:pPr>
    </w:p>
    <w:p>
      <w:pPr>
        <w:ind w:left="-60" w:right="40" w:firstLine="464"/>
        <w:spacing w:after="0" w:line="298" w:lineRule="auto"/>
        <w:tabs>
          <w:tab w:leader="none" w:pos="635"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00" w:top="280" w:right="299" w:bottom="1440" w:gutter="0" w:footer="0" w:header="0"/>
        </w:sectPr>
      </w:pPr>
    </w:p>
    <w:bookmarkStart w:id="227" w:name="page228"/>
    <w:bookmarkEnd w:id="227"/>
    <w:p>
      <w:pPr>
        <w:jc w:val="both"/>
        <w:ind w:left="-60" w:right="500" w:firstLine="464"/>
        <w:spacing w:after="0" w:line="370" w:lineRule="auto"/>
        <w:tabs>
          <w:tab w:leader="none" w:pos="616"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62" w:lineRule="exact"/>
        <w:rPr>
          <w:rFonts w:ascii="Arial" w:cs="Arial" w:eastAsia="Arial" w:hAnsi="Arial"/>
          <w:sz w:val="15"/>
          <w:szCs w:val="15"/>
          <w:color w:val="auto"/>
        </w:rPr>
      </w:pPr>
    </w:p>
    <w:p>
      <w:pPr>
        <w:ind w:left="-60" w:right="740" w:firstLine="464"/>
        <w:spacing w:after="0" w:line="268" w:lineRule="auto"/>
        <w:tabs>
          <w:tab w:leader="none" w:pos="64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172" w:lineRule="exact"/>
        <w:rPr>
          <w:rFonts w:ascii="Arial" w:cs="Arial" w:eastAsia="Arial" w:hAnsi="Arial"/>
          <w:sz w:val="18"/>
          <w:szCs w:val="18"/>
          <w:color w:val="auto"/>
        </w:rPr>
      </w:pPr>
    </w:p>
    <w:p>
      <w:pPr>
        <w:ind w:left="1420" w:right="60" w:hanging="567"/>
        <w:spacing w:after="0" w:line="268"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72" w:lineRule="exact"/>
        <w:rPr>
          <w:rFonts w:ascii="Arial" w:cs="Arial" w:eastAsia="Arial" w:hAnsi="Arial"/>
          <w:sz w:val="18"/>
          <w:szCs w:val="18"/>
          <w:color w:val="auto"/>
        </w:rPr>
      </w:pPr>
    </w:p>
    <w:p>
      <w:pPr>
        <w:ind w:left="1420" w:right="580" w:hanging="567"/>
        <w:spacing w:after="0" w:line="268"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172" w:lineRule="exact"/>
        <w:rPr>
          <w:rFonts w:ascii="Arial" w:cs="Arial" w:eastAsia="Arial" w:hAnsi="Arial"/>
          <w:sz w:val="18"/>
          <w:szCs w:val="18"/>
          <w:color w:val="auto"/>
        </w:rPr>
      </w:pPr>
    </w:p>
    <w:p>
      <w:pPr>
        <w:ind w:left="1420" w:hanging="567"/>
        <w:spacing w:after="0"/>
        <w:tabs>
          <w:tab w:leader="none" w:pos="14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234" w:lineRule="exact"/>
        <w:rPr>
          <w:rFonts w:ascii="Arial" w:cs="Arial" w:eastAsia="Arial" w:hAnsi="Arial"/>
          <w:sz w:val="16"/>
          <w:szCs w:val="16"/>
          <w:color w:val="auto"/>
        </w:rPr>
      </w:pPr>
    </w:p>
    <w:p>
      <w:pPr>
        <w:ind w:left="1420" w:right="360" w:hanging="567"/>
        <w:spacing w:after="0" w:line="268"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72" w:lineRule="exact"/>
        <w:rPr>
          <w:rFonts w:ascii="Arial" w:cs="Arial" w:eastAsia="Arial" w:hAnsi="Arial"/>
          <w:sz w:val="18"/>
          <w:szCs w:val="18"/>
          <w:color w:val="auto"/>
        </w:rPr>
      </w:pPr>
    </w:p>
    <w:p>
      <w:pPr>
        <w:ind w:left="1420" w:right="120" w:hanging="567"/>
        <w:spacing w:after="0" w:line="268"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172" w:lineRule="exact"/>
        <w:rPr>
          <w:rFonts w:ascii="Arial" w:cs="Arial" w:eastAsia="Arial" w:hAnsi="Arial"/>
          <w:sz w:val="18"/>
          <w:szCs w:val="18"/>
          <w:color w:val="auto"/>
        </w:rPr>
      </w:pPr>
    </w:p>
    <w:p>
      <w:pPr>
        <w:ind w:left="1420" w:right="20" w:hanging="567"/>
        <w:spacing w:after="0" w:line="259" w:lineRule="auto"/>
        <w:tabs>
          <w:tab w:leader="none" w:pos="14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80" w:lineRule="exact"/>
        <w:rPr>
          <w:rFonts w:ascii="Arial" w:cs="Arial" w:eastAsia="Arial" w:hAnsi="Arial"/>
          <w:sz w:val="18"/>
          <w:szCs w:val="18"/>
          <w:color w:val="auto"/>
        </w:rPr>
      </w:pPr>
    </w:p>
    <w:p>
      <w:pPr>
        <w:ind w:left="1420" w:hanging="567"/>
        <w:spacing w:after="0"/>
        <w:tabs>
          <w:tab w:leader="none" w:pos="14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connection with a bona fide dispute as to a Grantee’s right to payment, to the extent permitted by Treasury Regulation section 1.409A-3(j)</w:t>
      </w:r>
    </w:p>
    <w:p>
      <w:pPr>
        <w:spacing w:after="0" w:line="38"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164" w:lineRule="exact"/>
        <w:rPr>
          <w:rFonts w:ascii="Arial" w:cs="Arial" w:eastAsia="Arial" w:hAnsi="Arial"/>
          <w:sz w:val="16"/>
          <w:szCs w:val="16"/>
          <w:color w:val="auto"/>
        </w:rPr>
      </w:pPr>
    </w:p>
    <w:p>
      <w:pPr>
        <w:ind w:left="-60" w:right="100" w:firstLine="464"/>
        <w:spacing w:after="0" w:line="255" w:lineRule="auto"/>
        <w:tabs>
          <w:tab w:leader="none" w:pos="64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300" w:top="280" w:right="279" w:bottom="1440" w:gutter="0" w:footer="0" w:header="0"/>
        </w:sectPr>
      </w:pPr>
    </w:p>
    <w:bookmarkStart w:id="228" w:name="page229"/>
    <w:bookmarkEnd w:id="228"/>
    <w:p>
      <w:pPr>
        <w:ind w:left="-40" w:firstLine="464"/>
        <w:spacing w:after="0" w:line="268" w:lineRule="auto"/>
        <w:tabs>
          <w:tab w:leader="none" w:pos="62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172" w:lineRule="exact"/>
        <w:rPr>
          <w:rFonts w:ascii="Arial" w:cs="Arial" w:eastAsia="Arial" w:hAnsi="Arial"/>
          <w:sz w:val="18"/>
          <w:szCs w:val="18"/>
          <w:color w:val="auto"/>
        </w:rPr>
      </w:pPr>
    </w:p>
    <w:p>
      <w:pPr>
        <w:ind w:left="1440" w:right="80" w:hanging="567"/>
        <w:spacing w:after="0" w:line="294" w:lineRule="auto"/>
        <w:tabs>
          <w:tab w:leader="none" w:pos="14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56" w:lineRule="exact"/>
        <w:rPr>
          <w:rFonts w:ascii="Arial" w:cs="Arial" w:eastAsia="Arial" w:hAnsi="Arial"/>
          <w:sz w:val="16"/>
          <w:szCs w:val="16"/>
          <w:color w:val="auto"/>
        </w:rPr>
      </w:pPr>
    </w:p>
    <w:p>
      <w:pPr>
        <w:ind w:left="1440" w:right="200" w:hanging="567"/>
        <w:spacing w:after="0" w:line="291" w:lineRule="auto"/>
        <w:tabs>
          <w:tab w:leader="none" w:pos="14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20" w:lineRule="exact"/>
        <w:rPr>
          <w:sz w:val="20"/>
          <w:szCs w:val="20"/>
          <w:color w:val="auto"/>
        </w:rPr>
      </w:pPr>
    </w:p>
    <w:p>
      <w:pPr>
        <w:ind w:left="-40" w:right="220" w:firstLine="464"/>
        <w:spacing w:after="0" w:line="268" w:lineRule="auto"/>
        <w:tabs>
          <w:tab w:leader="none" w:pos="62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680" w:hanging="256"/>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40" w:hanging="567"/>
        <w:spacing w:after="0"/>
        <w:tabs>
          <w:tab w:leader="none" w:pos="144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Paragraph 8(k)(v):</w:t>
      </w:r>
    </w:p>
    <w:p>
      <w:pPr>
        <w:spacing w:after="0" w:line="212" w:lineRule="exact"/>
        <w:rPr>
          <w:sz w:val="20"/>
          <w:szCs w:val="20"/>
          <w:color w:val="auto"/>
        </w:rPr>
      </w:pPr>
    </w:p>
    <w:p>
      <w:pPr>
        <w:ind w:left="1880" w:right="80" w:hanging="440"/>
        <w:spacing w:after="0" w:line="306" w:lineRule="auto"/>
        <w:tabs>
          <w:tab w:leader="none" w:pos="18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80" w:right="259" w:bottom="1440" w:gutter="0" w:footer="0" w:header="0"/>
        </w:sectPr>
      </w:pPr>
    </w:p>
    <w:bookmarkStart w:id="229" w:name="page230"/>
    <w:bookmarkEnd w:id="229"/>
    <w:p>
      <w:pPr>
        <w:ind w:left="1007" w:hanging="440"/>
        <w:spacing w:after="0"/>
        <w:tabs>
          <w:tab w:leader="none" w:pos="1007"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approval is required for a Diversification Election other than a Special Diversification Election.</w:t>
      </w:r>
    </w:p>
    <w:p>
      <w:pPr>
        <w:spacing w:after="0" w:line="211" w:lineRule="exact"/>
        <w:rPr>
          <w:rFonts w:ascii="Arial" w:cs="Arial" w:eastAsia="Arial" w:hAnsi="Arial"/>
          <w:sz w:val="18"/>
          <w:szCs w:val="18"/>
          <w:color w:val="auto"/>
        </w:rPr>
      </w:pPr>
    </w:p>
    <w:p>
      <w:pPr>
        <w:ind w:left="567" w:right="160" w:hanging="567"/>
        <w:spacing w:after="0" w:line="256" w:lineRule="auto"/>
        <w:tabs>
          <w:tab w:leader="none" w:pos="56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183" w:lineRule="exact"/>
        <w:rPr>
          <w:rFonts w:ascii="Arial" w:cs="Arial" w:eastAsia="Arial" w:hAnsi="Arial"/>
          <w:sz w:val="18"/>
          <w:szCs w:val="18"/>
          <w:color w:val="auto"/>
        </w:rPr>
      </w:pPr>
    </w:p>
    <w:p>
      <w:pPr>
        <w:ind w:left="567" w:right="60" w:hanging="567"/>
        <w:spacing w:after="0" w:line="283" w:lineRule="auto"/>
        <w:tabs>
          <w:tab w:leader="none" w:pos="567"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spacing w:after="0" w:line="2" w:lineRule="exact"/>
        <w:rPr>
          <w:rFonts w:ascii="Arial" w:cs="Arial" w:eastAsia="Arial" w:hAnsi="Arial"/>
          <w:sz w:val="16"/>
          <w:szCs w:val="16"/>
          <w:color w:val="auto"/>
        </w:rPr>
      </w:pPr>
    </w:p>
    <w:p>
      <w:pPr>
        <w:jc w:val="both"/>
        <w:ind w:left="567" w:right="160"/>
        <w:spacing w:after="0" w:line="254" w:lineRule="auto"/>
        <w:tabs>
          <w:tab w:leader="none" w:pos="84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84" w:lineRule="exact"/>
        <w:rPr>
          <w:rFonts w:ascii="Arial" w:cs="Arial" w:eastAsia="Arial" w:hAnsi="Arial"/>
          <w:sz w:val="18"/>
          <w:szCs w:val="18"/>
          <w:color w:val="auto"/>
        </w:rPr>
      </w:pPr>
    </w:p>
    <w:p>
      <w:pPr>
        <w:ind w:left="567" w:right="100" w:hanging="567"/>
        <w:spacing w:after="0" w:line="294" w:lineRule="auto"/>
        <w:tabs>
          <w:tab w:leader="none" w:pos="567"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56" w:lineRule="exact"/>
        <w:rPr>
          <w:rFonts w:ascii="Arial" w:cs="Arial" w:eastAsia="Arial" w:hAnsi="Arial"/>
          <w:sz w:val="16"/>
          <w:szCs w:val="16"/>
          <w:color w:val="auto"/>
        </w:rPr>
      </w:pPr>
    </w:p>
    <w:p>
      <w:pPr>
        <w:ind w:left="567" w:hanging="567"/>
        <w:spacing w:after="0" w:line="259" w:lineRule="auto"/>
        <w:tabs>
          <w:tab w:leader="none" w:pos="56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Diversification Limit</w:t>
      </w:r>
      <w:r>
        <w:rPr>
          <w:rFonts w:ascii="Arial" w:cs="Arial" w:eastAsia="Arial" w:hAnsi="Arial"/>
          <w:sz w:val="18"/>
          <w:szCs w:val="18"/>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w:t>
      </w:r>
    </w:p>
    <w:p>
      <w:pPr>
        <w:spacing w:after="0" w:line="127"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487"/>
          </w:cols>
          <w:pgMar w:left="1153" w:top="280" w:right="259" w:bottom="1440" w:gutter="0" w:footer="0" w:header="0"/>
        </w:sectPr>
      </w:pPr>
    </w:p>
    <w:bookmarkStart w:id="230" w:name="page231"/>
    <w:bookmarkEnd w:id="230"/>
    <w:p>
      <w:pPr>
        <w:jc w:val="both"/>
        <w:ind w:left="1472"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40" w:lineRule="exact"/>
        <w:rPr>
          <w:sz w:val="20"/>
          <w:szCs w:val="20"/>
          <w:color w:val="auto"/>
        </w:rPr>
      </w:pPr>
    </w:p>
    <w:p>
      <w:pPr>
        <w:ind w:left="-8" w:right="300" w:firstLine="464"/>
        <w:spacing w:after="0" w:line="318" w:lineRule="auto"/>
        <w:tabs>
          <w:tab w:leader="none" w:pos="658" w:val="left"/>
        </w:tabs>
        <w:numPr>
          <w:ilvl w:val="1"/>
          <w:numId w:val="146"/>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left="-8" w:right="80" w:firstLine="464"/>
        <w:spacing w:after="0" w:line="306" w:lineRule="auto"/>
        <w:tabs>
          <w:tab w:leader="none" w:pos="746"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8" w:firstLine="464"/>
        <w:spacing w:after="0" w:line="294" w:lineRule="auto"/>
        <w:tabs>
          <w:tab w:leader="none" w:pos="697"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31" w:lineRule="exact"/>
        <w:rPr>
          <w:rFonts w:ascii="Arial" w:cs="Arial" w:eastAsia="Arial" w:hAnsi="Arial"/>
          <w:sz w:val="16"/>
          <w:szCs w:val="16"/>
          <w:color w:val="auto"/>
        </w:rPr>
      </w:pPr>
    </w:p>
    <w:p>
      <w:pPr>
        <w:ind w:left="452" w:hanging="452"/>
        <w:spacing w:after="0"/>
        <w:tabs>
          <w:tab w:leader="none" w:pos="452"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jc w:val="both"/>
        <w:ind w:left="-8" w:right="80" w:firstLine="464"/>
        <w:spacing w:after="0" w:line="255" w:lineRule="auto"/>
        <w:tabs>
          <w:tab w:leader="none" w:pos="687"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80" w:right="279" w:bottom="1440" w:gutter="0" w:footer="0" w:header="0"/>
        </w:sectPr>
      </w:pPr>
    </w:p>
    <w:bookmarkStart w:id="231" w:name="page232"/>
    <w:bookmarkEnd w:id="231"/>
    <w:p>
      <w:pPr>
        <w:ind w:left="-60" w:right="160" w:firstLine="464"/>
        <w:spacing w:after="0" w:line="256" w:lineRule="auto"/>
        <w:tabs>
          <w:tab w:leader="none" w:pos="64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43" w:lineRule="exact"/>
        <w:rPr>
          <w:rFonts w:ascii="Arial" w:cs="Arial" w:eastAsia="Arial" w:hAnsi="Arial"/>
          <w:sz w:val="18"/>
          <w:szCs w:val="18"/>
          <w:color w:val="auto"/>
        </w:rPr>
      </w:pPr>
    </w:p>
    <w:p>
      <w:pPr>
        <w:ind w:left="640" w:hanging="236"/>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20" w:hanging="567"/>
        <w:spacing w:after="0" w:line="290" w:lineRule="auto"/>
        <w:tabs>
          <w:tab w:leader="none" w:pos="14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58" w:lineRule="exact"/>
        <w:rPr>
          <w:rFonts w:ascii="Arial" w:cs="Arial" w:eastAsia="Arial" w:hAnsi="Arial"/>
          <w:sz w:val="16"/>
          <w:szCs w:val="16"/>
          <w:color w:val="auto"/>
        </w:rPr>
      </w:pPr>
    </w:p>
    <w:p>
      <w:pPr>
        <w:ind w:left="1420" w:hanging="567"/>
        <w:spacing w:after="0" w:line="287" w:lineRule="auto"/>
        <w:tabs>
          <w:tab w:leader="none" w:pos="14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withholding obligations incurred in connection with the grant of any Award, the occurrence of a Vesting Date under any Award under the Plan that is not subject to an Initial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to satisfy tax withholding obligations with respect to any Award under the Plan that is not subject to an Initial Election: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300" w:top="280" w:right="299" w:bottom="1440" w:gutter="0" w:footer="0" w:header="0"/>
        </w:sectPr>
      </w:pPr>
    </w:p>
    <w:bookmarkStart w:id="232" w:name="page233"/>
    <w:bookmarkEnd w:id="232"/>
    <w:p>
      <w:pPr>
        <w:ind w:left="567"/>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59" w:lineRule="exact"/>
        <w:rPr>
          <w:sz w:val="20"/>
          <w:szCs w:val="20"/>
          <w:color w:val="auto"/>
        </w:rPr>
      </w:pPr>
    </w:p>
    <w:p>
      <w:pPr>
        <w:ind w:left="567" w:right="20" w:hanging="567"/>
        <w:spacing w:after="0" w:line="286" w:lineRule="auto"/>
        <w:tabs>
          <w:tab w:leader="none" w:pos="56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part of a Grantee’s Award is subject to an Initial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Election, the Grantee shall be required to remit to the Company an amount sufficient to satisfy any federal, state and/or local withholding tax requirements. As part of the Grantee’s Initial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07"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07"/>
          </w:cols>
          <w:pgMar w:left="1153" w:top="280" w:right="239" w:bottom="1440" w:gutter="0" w:footer="0" w:header="0"/>
        </w:sectPr>
      </w:pPr>
    </w:p>
    <w:bookmarkStart w:id="233" w:name="page234"/>
    <w:bookmarkEnd w:id="233"/>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CAPITALIZATION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34"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34"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32" w:lineRule="exact"/>
        <w:rPr>
          <w:sz w:val="20"/>
          <w:szCs w:val="20"/>
          <w:color w:val="auto"/>
        </w:rPr>
      </w:pPr>
    </w:p>
    <w:p>
      <w:pPr>
        <w:ind w:left="700" w:hanging="236"/>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5560" w:right="5340" w:hanging="5096"/>
        <w:spacing w:after="0" w:line="408" w:lineRule="auto"/>
        <w:tabs>
          <w:tab w:leader="none" w:pos="705" w:val="left"/>
        </w:tabs>
        <w:numPr>
          <w:ilvl w:val="0"/>
          <w:numId w:val="153"/>
        </w:numPr>
        <w:rPr>
          <w:rFonts w:ascii="Arial" w:cs="Arial" w:eastAsia="Arial" w:hAnsi="Arial"/>
          <w:sz w:val="15"/>
          <w:szCs w:val="15"/>
          <w:color w:val="auto"/>
        </w:rPr>
      </w:pPr>
      <w:r>
        <w:rPr>
          <w:rFonts w:ascii="Arial" w:cs="Arial" w:eastAsia="Arial" w:hAnsi="Arial"/>
          <w:sz w:val="15"/>
          <w:szCs w:val="15"/>
          <w:color w:val="auto"/>
        </w:rPr>
        <w:t>Specific reference to pertinent Plan provisions on which the denial is based; -25-</w:t>
      </w:r>
    </w:p>
    <w:p>
      <w:pPr>
        <w:sectPr>
          <w:pgSz w:w="11900" w:h="16838" w:orient="portrait"/>
          <w:cols w:equalWidth="0" w:num="1">
            <w:col w:w="11380"/>
          </w:cols>
          <w:pgMar w:left="240" w:top="274" w:right="279" w:bottom="1440" w:gutter="0" w:footer="0" w:header="0"/>
        </w:sectPr>
      </w:pPr>
    </w:p>
    <w:bookmarkStart w:id="234" w:name="page235"/>
    <w:bookmarkEnd w:id="234"/>
    <w:p>
      <w:pPr>
        <w:ind w:right="640" w:firstLine="464"/>
        <w:spacing w:after="0" w:line="268"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8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35" w:name="page236"/>
    <w:bookmarkEnd w:id="23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25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48"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expire on May 11, 2021, unless sooner terminated by the Board.</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60" w:right="148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on the 21</w:t>
      </w:r>
      <w:r>
        <w:rPr>
          <w:rFonts w:ascii="Arial" w:cs="Arial" w:eastAsia="Arial" w:hAnsi="Arial"/>
          <w:sz w:val="11"/>
          <w:szCs w:val="11"/>
          <w:color w:val="auto"/>
        </w:rPr>
        <w:t>st</w:t>
      </w:r>
      <w:r>
        <w:rPr>
          <w:rFonts w:ascii="Arial" w:cs="Arial" w:eastAsia="Arial" w:hAnsi="Arial"/>
          <w:sz w:val="18"/>
          <w:szCs w:val="18"/>
          <w:color w:val="auto"/>
        </w:rPr>
        <w:t xml:space="preserve"> day of October, 2014.</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10795</wp:posOffset>
            </wp:positionV>
            <wp:extent cx="23755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280" w:right="39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1249680</wp:posOffset>
            </wp:positionV>
            <wp:extent cx="15176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COMCAST CORPORATION RETIREMENT-INVESTMENT PLAN</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 Effective October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7" w:name="page238"/>
    <w:bookmarkEnd w:id="23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2"/>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II TRANSITION AND ELIGIBILITY TO PARTICIPATE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6"/>
        </w:trPr>
        <w:tc>
          <w:tcPr>
            <w:tcW w:w="158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37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89"/>
              </w:rPr>
              <w:t>Rights Affected and Preservation of Accrued Benefit</w:t>
            </w:r>
          </w:p>
        </w:tc>
        <w:tc>
          <w:tcPr>
            <w:tcW w:w="57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2.2.</w:t>
            </w:r>
          </w:p>
        </w:tc>
        <w:tc>
          <w:tcPr>
            <w:tcW w:w="170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3"/>
              </w:rPr>
              <w:t>Eligibility to Participate</w:t>
            </w:r>
          </w:p>
        </w:tc>
        <w:tc>
          <w:tcPr>
            <w:tcW w:w="77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2.3.</w:t>
            </w:r>
          </w:p>
        </w:tc>
        <w:tc>
          <w:tcPr>
            <w:tcW w:w="282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9"/>
              </w:rPr>
              <w:t>Election to Make Pre-Tax Contributions</w:t>
            </w:r>
          </w:p>
        </w:tc>
        <w:tc>
          <w:tcPr>
            <w:tcW w:w="6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2.4.</w:t>
            </w:r>
          </w:p>
        </w:tc>
        <w:tc>
          <w:tcPr>
            <w:tcW w:w="356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1"/>
              </w:rPr>
              <w:t>Eligibility to Participate – After-Tax Contributions</w:t>
            </w:r>
          </w:p>
        </w:tc>
        <w:tc>
          <w:tcPr>
            <w:tcW w:w="59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2.5.</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Data</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2.6.</w:t>
            </w:r>
          </w:p>
        </w:tc>
        <w:tc>
          <w:tcPr>
            <w:tcW w:w="260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3"/>
              </w:rPr>
              <w:t>Credit for Qualified Military Service</w:t>
            </w:r>
          </w:p>
        </w:tc>
        <w:tc>
          <w:tcPr>
            <w:tcW w:w="68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43"/>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III CONTRIBUTIONS TO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6"/>
        </w:trPr>
        <w:tc>
          <w:tcPr>
            <w:tcW w:w="158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460" w:type="dxa"/>
            <w:vAlign w:val="bottom"/>
            <w:gridSpan w:val="26"/>
          </w:tcPr>
          <w:p>
            <w:pPr>
              <w:spacing w:after="0"/>
              <w:rPr>
                <w:sz w:val="20"/>
                <w:szCs w:val="20"/>
                <w:color w:val="auto"/>
              </w:rPr>
            </w:pPr>
            <w:r>
              <w:rPr>
                <w:rFonts w:ascii="Arial" w:cs="Arial" w:eastAsia="Arial" w:hAnsi="Arial"/>
                <w:sz w:val="18"/>
                <w:szCs w:val="18"/>
                <w:color w:val="auto"/>
              </w:rPr>
              <w:t>Pre-Tax Contributions, Catch-Up Contributions and Roth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3.2.</w:t>
            </w:r>
          </w:p>
        </w:tc>
        <w:tc>
          <w:tcPr>
            <w:tcW w:w="170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0"/>
              </w:rPr>
              <w:t>After-Tax Contributions</w:t>
            </w:r>
          </w:p>
        </w:tc>
        <w:tc>
          <w:tcPr>
            <w:tcW w:w="3320" w:type="dxa"/>
            <w:vAlign w:val="bottom"/>
            <w:tcBorders>
              <w:top w:val="single" w:sz="8" w:color="auto"/>
            </w:tcBorders>
            <w:gridSpan w:val="13"/>
          </w:tcPr>
          <w:p>
            <w:pPr>
              <w:spacing w:after="0"/>
              <w:rPr>
                <w:sz w:val="17"/>
                <w:szCs w:val="17"/>
                <w:color w:val="auto"/>
              </w:rPr>
            </w:pPr>
          </w:p>
        </w:tc>
        <w:tc>
          <w:tcPr>
            <w:tcW w:w="44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3.3.</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Change of Percentage Rate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5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3.4.</w:t>
            </w:r>
          </w:p>
        </w:tc>
        <w:tc>
          <w:tcPr>
            <w:tcW w:w="636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89"/>
              </w:rPr>
              <w:t>Discontinuance of Pre-Tax Contributions, Roth Contributions and After-Tax Contributions</w:t>
            </w:r>
          </w:p>
        </w:tc>
        <w:tc>
          <w:tcPr>
            <w:tcW w:w="31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3.5.</w:t>
            </w:r>
          </w:p>
        </w:tc>
        <w:tc>
          <w:tcPr>
            <w:tcW w:w="168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Matching Contributions</w:t>
            </w:r>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3.6.</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Comcast Retirement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5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3.7.</w:t>
            </w:r>
          </w:p>
        </w:tc>
        <w:tc>
          <w:tcPr>
            <w:tcW w:w="29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Timing and Deductibility of Contributions</w:t>
            </w:r>
          </w:p>
        </w:tc>
        <w:tc>
          <w:tcPr>
            <w:tcW w:w="64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3.8.</w:t>
            </w:r>
          </w:p>
        </w:tc>
        <w:tc>
          <w:tcPr>
            <w:tcW w:w="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2"/>
              </w:rPr>
              <w:t>Fund</w:t>
            </w:r>
          </w:p>
        </w:tc>
        <w:tc>
          <w:tcPr>
            <w:tcW w:w="91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3.9.</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Limitation on Pre-Tax Contributions and Matching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5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0" w:type="dxa"/>
            <w:vAlign w:val="bottom"/>
            <w:gridSpan w:val="6"/>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3.10.</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Prevention of Violation of Limitation on Pre-Tax Contributions and Matching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3.11.</w:t>
            </w:r>
          </w:p>
        </w:tc>
        <w:tc>
          <w:tcPr>
            <w:tcW w:w="158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5"/>
              </w:rPr>
              <w:t>Maximum Allocation</w:t>
            </w:r>
          </w:p>
        </w:tc>
        <w:tc>
          <w:tcPr>
            <w:tcW w:w="4880" w:type="dxa"/>
            <w:vAlign w:val="bottom"/>
            <w:tcBorders>
              <w:top w:val="single" w:sz="8" w:color="auto"/>
            </w:tcBorders>
            <w:gridSpan w:val="17"/>
          </w:tcPr>
          <w:p>
            <w:pPr>
              <w:spacing w:after="0"/>
              <w:rPr>
                <w:sz w:val="17"/>
                <w:szCs w:val="17"/>
                <w:color w:val="auto"/>
              </w:rPr>
            </w:pPr>
          </w:p>
        </w:tc>
        <w:tc>
          <w:tcPr>
            <w:tcW w:w="30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3.12.</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Safe Harbor Status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5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3.13.</w:t>
            </w:r>
          </w:p>
        </w:tc>
        <w:tc>
          <w:tcPr>
            <w:tcW w:w="25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Distribution of Excess Contributions</w:t>
            </w:r>
          </w:p>
        </w:tc>
        <w:tc>
          <w:tcPr>
            <w:tcW w:w="6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343"/>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IV PARTICIPANTS’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6"/>
        </w:trPr>
        <w:tc>
          <w:tcPr>
            <w:tcW w:w="158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Accounts</w:t>
            </w:r>
          </w:p>
        </w:tc>
        <w:tc>
          <w:tcPr>
            <w:tcW w:w="88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4.2.</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Valuation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5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4.3.</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Apportionment of Gain or Loss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4.4.</w:t>
            </w:r>
          </w:p>
        </w:tc>
        <w:tc>
          <w:tcPr>
            <w:tcW w:w="192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Accounting for Allocations</w:t>
            </w:r>
          </w:p>
        </w:tc>
        <w:tc>
          <w:tcPr>
            <w:tcW w:w="280" w:type="dxa"/>
            <w:vAlign w:val="bottom"/>
            <w:tcBorders>
              <w:top w:val="single" w:sz="8" w:color="auto"/>
            </w:tcBorders>
          </w:tcPr>
          <w:p>
            <w:pPr>
              <w:spacing w:after="0"/>
              <w:rPr>
                <w:sz w:val="17"/>
                <w:szCs w:val="17"/>
                <w:color w:val="auto"/>
              </w:rPr>
            </w:pPr>
          </w:p>
        </w:tc>
        <w:tc>
          <w:tcPr>
            <w:tcW w:w="72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43"/>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V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6"/>
        </w:trPr>
        <w:tc>
          <w:tcPr>
            <w:tcW w:w="158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General</w:t>
            </w:r>
          </w:p>
        </w:tc>
        <w:tc>
          <w:tcPr>
            <w:tcW w:w="890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5.2.</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Separation from Service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5.3.</w:t>
            </w:r>
          </w:p>
        </w:tc>
        <w:tc>
          <w:tcPr>
            <w:tcW w:w="4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3"/>
              </w:rPr>
              <w:t>Death</w:t>
            </w:r>
          </w:p>
        </w:tc>
        <w:tc>
          <w:tcPr>
            <w:tcW w:w="1280" w:type="dxa"/>
            <w:vAlign w:val="bottom"/>
            <w:tcBorders>
              <w:top w:val="single" w:sz="8" w:color="auto"/>
            </w:tcBorders>
            <w:gridSpan w:val="7"/>
          </w:tcPr>
          <w:p>
            <w:pPr>
              <w:spacing w:after="0"/>
              <w:rPr>
                <w:sz w:val="17"/>
                <w:szCs w:val="17"/>
                <w:color w:val="auto"/>
              </w:rPr>
            </w:pPr>
          </w:p>
        </w:tc>
        <w:tc>
          <w:tcPr>
            <w:tcW w:w="77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5.4.</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Total Disability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580" w:type="dxa"/>
            <w:vAlign w:val="bottom"/>
          </w:tcPr>
          <w:p>
            <w:pPr>
              <w:spacing w:after="0" w:line="20" w:lineRule="exact"/>
              <w:rPr>
                <w:sz w:val="1"/>
                <w:szCs w:val="1"/>
                <w:color w:val="auto"/>
              </w:rPr>
            </w:pPr>
          </w:p>
        </w:tc>
        <w:tc>
          <w:tcPr>
            <w:tcW w:w="1080" w:type="dxa"/>
            <w:vAlign w:val="bottom"/>
            <w:gridSpan w:val="6"/>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5.5.</w:t>
            </w:r>
          </w:p>
        </w:tc>
        <w:tc>
          <w:tcPr>
            <w:tcW w:w="9460" w:type="dxa"/>
            <w:vAlign w:val="bottom"/>
            <w:gridSpan w:val="26"/>
          </w:tcPr>
          <w:p>
            <w:pPr>
              <w:spacing w:after="0" w:line="196" w:lineRule="exact"/>
              <w:rPr>
                <w:sz w:val="20"/>
                <w:szCs w:val="20"/>
                <w:color w:val="auto"/>
              </w:rPr>
            </w:pPr>
            <w:r>
              <w:rPr>
                <w:rFonts w:ascii="Arial" w:cs="Arial" w:eastAsia="Arial" w:hAnsi="Arial"/>
                <w:sz w:val="18"/>
                <w:szCs w:val="18"/>
                <w:color w:val="auto"/>
              </w:rPr>
              <w:t>Valuation for Distribution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Section 5.6.</w:t>
            </w:r>
          </w:p>
        </w:tc>
        <w:tc>
          <w:tcPr>
            <w:tcW w:w="180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Timing of Distribution</w:t>
            </w:r>
          </w:p>
        </w:tc>
        <w:tc>
          <w:tcPr>
            <w:tcW w:w="76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64"/>
        </w:trPr>
        <w:tc>
          <w:tcPr>
            <w:tcW w:w="168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360" w:type="dxa"/>
            <w:vAlign w:val="bottom"/>
            <w:gridSpan w:val="32"/>
          </w:tcPr>
          <w:p>
            <w:pPr>
              <w:spacing w:after="0"/>
              <w:rPr>
                <w:sz w:val="20"/>
                <w:szCs w:val="20"/>
                <w:color w:val="auto"/>
              </w:rPr>
            </w:pPr>
            <w:r>
              <w:rPr>
                <w:rFonts w:ascii="Arial" w:cs="Arial" w:eastAsia="Arial" w:hAnsi="Arial"/>
                <w:sz w:val="18"/>
                <w:szCs w:val="18"/>
                <w:color w:val="auto"/>
              </w:rPr>
              <w:t>Mode of Distribution of Retirement or Disability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5.8.</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Rules for Election of Optional Mode of Retirement or Disability Benefit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5.9.</w:t>
            </w:r>
          </w:p>
        </w:tc>
        <w:tc>
          <w:tcPr>
            <w:tcW w:w="10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Death Benefits</w:t>
            </w:r>
          </w:p>
        </w:tc>
        <w:tc>
          <w:tcPr>
            <w:tcW w:w="4020" w:type="dxa"/>
            <w:vAlign w:val="bottom"/>
            <w:tcBorders>
              <w:top w:val="single" w:sz="8" w:color="auto"/>
            </w:tcBorders>
            <w:gridSpan w:val="27"/>
          </w:tcPr>
          <w:p>
            <w:pPr>
              <w:spacing w:after="0"/>
              <w:rPr>
                <w:sz w:val="17"/>
                <w:szCs w:val="17"/>
                <w:color w:val="auto"/>
              </w:rPr>
            </w:pPr>
          </w:p>
        </w:tc>
        <w:tc>
          <w:tcPr>
            <w:tcW w:w="42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5.10.</w:t>
            </w:r>
          </w:p>
        </w:tc>
        <w:tc>
          <w:tcPr>
            <w:tcW w:w="19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8"/>
              </w:rPr>
              <w:t>Explanations to Participants</w:t>
            </w:r>
          </w:p>
        </w:tc>
        <w:tc>
          <w:tcPr>
            <w:tcW w:w="73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5.11.</w:t>
            </w:r>
          </w:p>
        </w:tc>
        <w:tc>
          <w:tcPr>
            <w:tcW w:w="17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Beneficiary Designation</w:t>
            </w:r>
          </w:p>
        </w:tc>
        <w:tc>
          <w:tcPr>
            <w:tcW w:w="76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5.12.</w:t>
            </w:r>
          </w:p>
        </w:tc>
        <w:tc>
          <w:tcPr>
            <w:tcW w:w="23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9"/>
              </w:rPr>
              <w:t>Recalculation of Life Expectancy</w:t>
            </w:r>
          </w:p>
        </w:tc>
        <w:tc>
          <w:tcPr>
            <w:tcW w:w="70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5.13.</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Transfer of Account to Other Plan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5.14.</w:t>
            </w:r>
          </w:p>
        </w:tc>
        <w:tc>
          <w:tcPr>
            <w:tcW w:w="1240" w:type="dxa"/>
            <w:vAlign w:val="bottom"/>
            <w:tcBorders>
              <w:top w:val="single" w:sz="8" w:color="auto"/>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7"/>
              </w:rPr>
              <w:t>Section 401(a)(9)</w:t>
            </w:r>
          </w:p>
        </w:tc>
        <w:tc>
          <w:tcPr>
            <w:tcW w:w="1160" w:type="dxa"/>
            <w:vAlign w:val="bottom"/>
            <w:tcBorders>
              <w:top w:val="single" w:sz="8" w:color="auto"/>
            </w:tcBorders>
            <w:gridSpan w:val="10"/>
          </w:tcPr>
          <w:p>
            <w:pPr>
              <w:spacing w:after="0"/>
              <w:rPr>
                <w:sz w:val="17"/>
                <w:szCs w:val="17"/>
                <w:color w:val="auto"/>
              </w:rPr>
            </w:pPr>
          </w:p>
        </w:tc>
        <w:tc>
          <w:tcPr>
            <w:tcW w:w="69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43"/>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VI VESTING</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9360" w:type="dxa"/>
            <w:vAlign w:val="bottom"/>
            <w:gridSpan w:val="32"/>
          </w:tcPr>
          <w:p>
            <w:pPr>
              <w:spacing w:after="0"/>
              <w:rPr>
                <w:sz w:val="20"/>
                <w:szCs w:val="20"/>
                <w:color w:val="auto"/>
              </w:rPr>
            </w:pPr>
            <w:r>
              <w:rPr>
                <w:rFonts w:ascii="Arial" w:cs="Arial" w:eastAsia="Arial" w:hAnsi="Arial"/>
                <w:sz w:val="18"/>
                <w:szCs w:val="18"/>
                <w:color w:val="auto"/>
              </w:rPr>
              <w:t>Nonforfeitable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6.2.</w:t>
            </w:r>
          </w:p>
        </w:tc>
        <w:tc>
          <w:tcPr>
            <w:tcW w:w="322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8"/>
              </w:rPr>
              <w:t>Vesting of Comcast Retirement Contributions</w:t>
            </w:r>
          </w:p>
        </w:tc>
        <w:tc>
          <w:tcPr>
            <w:tcW w:w="61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6.3.</w:t>
            </w:r>
          </w:p>
        </w:tc>
        <w:tc>
          <w:tcPr>
            <w:tcW w:w="19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7"/>
              </w:rPr>
              <w:t>Years of Service for Vesting</w:t>
            </w:r>
          </w:p>
        </w:tc>
        <w:tc>
          <w:tcPr>
            <w:tcW w:w="73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6.4.</w:t>
            </w:r>
          </w:p>
        </w:tc>
        <w:tc>
          <w:tcPr>
            <w:tcW w:w="268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7"/>
              </w:rPr>
              <w:t>Breaks in Service and Loss of Service</w:t>
            </w:r>
          </w:p>
        </w:tc>
        <w:tc>
          <w:tcPr>
            <w:tcW w:w="66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6.5.</w:t>
            </w:r>
          </w:p>
        </w:tc>
        <w:tc>
          <w:tcPr>
            <w:tcW w:w="1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8"/>
              </w:rPr>
              <w:t>Restoration of Service</w:t>
            </w:r>
          </w:p>
        </w:tc>
        <w:tc>
          <w:tcPr>
            <w:tcW w:w="77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6.6.</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Forfeitures and Restoration of Forfeited Amounts upon Reemployment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VII ROLLOVER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9360" w:type="dxa"/>
            <w:vAlign w:val="bottom"/>
            <w:gridSpan w:val="32"/>
          </w:tcPr>
          <w:p>
            <w:pPr>
              <w:spacing w:after="0"/>
              <w:rPr>
                <w:sz w:val="20"/>
                <w:szCs w:val="20"/>
                <w:color w:val="auto"/>
              </w:rPr>
            </w:pPr>
            <w:r>
              <w:rPr>
                <w:rFonts w:ascii="Arial" w:cs="Arial" w:eastAsia="Arial" w:hAnsi="Arial"/>
                <w:sz w:val="18"/>
                <w:szCs w:val="18"/>
                <w:color w:val="auto"/>
              </w:rPr>
              <w:t>Rollover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7.2.</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Vesting and Distribution of Rollover Account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7.3.</w:t>
            </w:r>
          </w:p>
        </w:tc>
        <w:tc>
          <w:tcPr>
            <w:tcW w:w="210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1"/>
              </w:rPr>
              <w:t>Additional Rollover Amounts</w:t>
            </w:r>
          </w:p>
        </w:tc>
        <w:tc>
          <w:tcPr>
            <w:tcW w:w="1100" w:type="dxa"/>
            <w:vAlign w:val="bottom"/>
            <w:tcBorders>
              <w:top w:val="single" w:sz="8" w:color="auto"/>
            </w:tcBorders>
            <w:gridSpan w:val="7"/>
          </w:tcPr>
          <w:p>
            <w:pPr>
              <w:spacing w:after="0"/>
              <w:rPr>
                <w:sz w:val="17"/>
                <w:szCs w:val="17"/>
                <w:color w:val="auto"/>
              </w:rPr>
            </w:pPr>
          </w:p>
        </w:tc>
        <w:tc>
          <w:tcPr>
            <w:tcW w:w="61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3"/>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VIII WITHDRAWALS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392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w w:val="89"/>
              </w:rPr>
              <w:t>Withdrawals Not Subject to Section 401(k) Restrictions</w:t>
            </w:r>
          </w:p>
        </w:tc>
        <w:tc>
          <w:tcPr>
            <w:tcW w:w="54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8.2.</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Withdrawals Subject to Section 401(k) Restrictions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80" w:type="dxa"/>
            <w:vAlign w:val="bottom"/>
            <w:vMerge w:val="restart"/>
          </w:tcPr>
          <w:p>
            <w:pPr>
              <w:ind w:left="440"/>
              <w:spacing w:after="0" w:line="196" w:lineRule="exact"/>
              <w:rPr>
                <w:sz w:val="20"/>
                <w:szCs w:val="20"/>
                <w:color w:val="auto"/>
              </w:rPr>
            </w:pPr>
            <w:r>
              <w:rPr>
                <w:rFonts w:ascii="Arial" w:cs="Arial" w:eastAsia="Arial" w:hAnsi="Arial"/>
                <w:sz w:val="18"/>
                <w:szCs w:val="18"/>
                <w:color w:val="auto"/>
              </w:rPr>
              <w:t>Section 8.3.</w:t>
            </w:r>
          </w:p>
        </w:tc>
        <w:tc>
          <w:tcPr>
            <w:tcW w:w="3440" w:type="dxa"/>
            <w:vAlign w:val="bottom"/>
            <w:gridSpan w:val="24"/>
            <w:vMerge w:val="restart"/>
          </w:tcPr>
          <w:p>
            <w:pPr>
              <w:spacing w:after="0" w:line="196" w:lineRule="exact"/>
              <w:rPr>
                <w:sz w:val="20"/>
                <w:szCs w:val="20"/>
                <w:color w:val="auto"/>
              </w:rPr>
            </w:pPr>
            <w:r>
              <w:rPr>
                <w:rFonts w:ascii="Arial" w:cs="Arial" w:eastAsia="Arial" w:hAnsi="Arial"/>
                <w:sz w:val="18"/>
                <w:szCs w:val="18"/>
                <w:color w:val="auto"/>
                <w:w w:val="90"/>
              </w:rPr>
              <w:t>Withdrawals On and After Attainment of Age 59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w:t>
            </w:r>
          </w:p>
        </w:tc>
        <w:tc>
          <w:tcPr>
            <w:tcW w:w="5840" w:type="dxa"/>
            <w:vAlign w:val="bottom"/>
            <w:gridSpan w:val="7"/>
            <w:vMerge w:val="restart"/>
          </w:tcPr>
          <w:p>
            <w:pPr>
              <w:jc w:val="right"/>
              <w:ind w:right="5720"/>
              <w:spacing w:after="0" w:line="196"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1"/>
                <w:szCs w:val="11"/>
                <w:u w:val="single" w:color="auto"/>
                <w:color w:val="auto"/>
                <w:w w:val="89"/>
              </w:rPr>
              <w:t>2</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6"/>
        </w:trPr>
        <w:tc>
          <w:tcPr>
            <w:tcW w:w="1680" w:type="dxa"/>
            <w:vAlign w:val="bottom"/>
            <w:vMerge w:val="continue"/>
          </w:tcPr>
          <w:p>
            <w:pPr>
              <w:spacing w:after="0" w:line="20" w:lineRule="exact"/>
              <w:rPr>
                <w:sz w:val="1"/>
                <w:szCs w:val="1"/>
                <w:color w:val="auto"/>
              </w:rPr>
            </w:pPr>
          </w:p>
        </w:tc>
        <w:tc>
          <w:tcPr>
            <w:tcW w:w="3440" w:type="dxa"/>
            <w:vAlign w:val="bottom"/>
            <w:tcBorders>
              <w:bottom w:val="single" w:sz="8" w:color="auto"/>
            </w:tcBorders>
            <w:gridSpan w:val="2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40" w:type="dxa"/>
            <w:vAlign w:val="bottom"/>
            <w:gridSpan w:val="7"/>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8.4.</w:t>
            </w:r>
          </w:p>
        </w:tc>
        <w:tc>
          <w:tcPr>
            <w:tcW w:w="184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2"/>
              </w:rPr>
              <w:t>HEART Act Distributions</w:t>
            </w:r>
          </w:p>
        </w:tc>
        <w:tc>
          <w:tcPr>
            <w:tcW w:w="75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8.5.</w:t>
            </w:r>
          </w:p>
        </w:tc>
        <w:tc>
          <w:tcPr>
            <w:tcW w:w="26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9"/>
              </w:rPr>
              <w:t>Amount and Payment of Withdrawals</w:t>
            </w:r>
          </w:p>
        </w:tc>
        <w:tc>
          <w:tcPr>
            <w:tcW w:w="67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8.6.</w:t>
            </w:r>
          </w:p>
        </w:tc>
        <w:tc>
          <w:tcPr>
            <w:tcW w:w="29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8"/>
              </w:rPr>
              <w:t>Withdrawals Not Subject to Replacement</w:t>
            </w:r>
          </w:p>
        </w:tc>
        <w:tc>
          <w:tcPr>
            <w:tcW w:w="64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8.7.</w:t>
            </w:r>
          </w:p>
        </w:tc>
        <w:tc>
          <w:tcPr>
            <w:tcW w:w="12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7"/>
              </w:rPr>
              <w:t>Pledged Amounts</w:t>
            </w:r>
          </w:p>
        </w:tc>
        <w:tc>
          <w:tcPr>
            <w:tcW w:w="81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8.8.</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Investment Medium to be Charged with Withdrawal</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40" w:type="dxa"/>
            <w:vAlign w:val="bottom"/>
            <w:gridSpan w:val="9"/>
            <w:shd w:val="clear" w:color="auto" w:fill="000000"/>
          </w:tcPr>
          <w:p>
            <w:pPr>
              <w:spacing w:after="0" w:line="20" w:lineRule="exact"/>
              <w:rPr>
                <w:sz w:val="1"/>
                <w:szCs w:val="1"/>
                <w:color w:val="auto"/>
              </w:rPr>
            </w:pPr>
          </w:p>
        </w:tc>
        <w:tc>
          <w:tcPr>
            <w:tcW w:w="1180" w:type="dxa"/>
            <w:vAlign w:val="bottom"/>
            <w:gridSpan w:val="9"/>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IX LOANS TO PARTICIPANTS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1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1"/>
              </w:rPr>
              <w:t>Loan Application</w:t>
            </w:r>
          </w:p>
        </w:tc>
        <w:tc>
          <w:tcPr>
            <w:tcW w:w="812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9.2.</w:t>
            </w:r>
          </w:p>
        </w:tc>
        <w:tc>
          <w:tcPr>
            <w:tcW w:w="10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Loan Approval</w:t>
            </w:r>
          </w:p>
        </w:tc>
        <w:tc>
          <w:tcPr>
            <w:tcW w:w="828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9.3.</w:t>
            </w:r>
          </w:p>
        </w:tc>
        <w:tc>
          <w:tcPr>
            <w:tcW w:w="11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Amount of Loan</w:t>
            </w:r>
          </w:p>
        </w:tc>
        <w:tc>
          <w:tcPr>
            <w:tcW w:w="81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9.4.</w:t>
            </w:r>
          </w:p>
        </w:tc>
        <w:tc>
          <w:tcPr>
            <w:tcW w:w="10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Terms of Loan</w:t>
            </w:r>
          </w:p>
        </w:tc>
        <w:tc>
          <w:tcPr>
            <w:tcW w:w="832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9.5.</w:t>
            </w:r>
          </w:p>
        </w:tc>
        <w:tc>
          <w:tcPr>
            <w:tcW w:w="9360" w:type="dxa"/>
            <w:vAlign w:val="bottom"/>
            <w:gridSpan w:val="32"/>
          </w:tcPr>
          <w:p>
            <w:pPr>
              <w:spacing w:after="0" w:line="196" w:lineRule="exact"/>
              <w:rPr>
                <w:sz w:val="20"/>
                <w:szCs w:val="20"/>
                <w:color w:val="auto"/>
              </w:rPr>
            </w:pPr>
            <w:r>
              <w:rPr>
                <w:rFonts w:ascii="Arial" w:cs="Arial" w:eastAsia="Arial" w:hAnsi="Arial"/>
                <w:sz w:val="18"/>
                <w:szCs w:val="18"/>
                <w:color w:val="auto"/>
              </w:rPr>
              <w:t>Enforcement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9.6.</w:t>
            </w:r>
          </w:p>
        </w:tc>
        <w:tc>
          <w:tcPr>
            <w:tcW w:w="12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Additional Rules</w:t>
            </w:r>
          </w:p>
        </w:tc>
        <w:tc>
          <w:tcPr>
            <w:tcW w:w="81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43"/>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X ADMINISTRATION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9360" w:type="dxa"/>
            <w:vAlign w:val="bottom"/>
            <w:gridSpan w:val="32"/>
          </w:tcPr>
          <w:p>
            <w:pPr>
              <w:spacing w:after="0"/>
              <w:rPr>
                <w:sz w:val="20"/>
                <w:szCs w:val="20"/>
                <w:color w:val="auto"/>
              </w:rPr>
            </w:pPr>
            <w:r>
              <w:rPr>
                <w:rFonts w:ascii="Arial" w:cs="Arial" w:eastAsia="Arial" w:hAnsi="Arial"/>
                <w:sz w:val="18"/>
                <w:szCs w:val="18"/>
                <w:color w:val="auto"/>
              </w:rPr>
              <w:t>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60" w:type="dxa"/>
            <w:vAlign w:val="bottom"/>
            <w:gridSpan w:val="15"/>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10.2.</w:t>
            </w:r>
          </w:p>
        </w:tc>
        <w:tc>
          <w:tcPr>
            <w:tcW w:w="234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8"/>
              </w:rPr>
              <w:t>Duties and Powers of Committee</w:t>
            </w:r>
          </w:p>
        </w:tc>
        <w:tc>
          <w:tcPr>
            <w:tcW w:w="70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6" w:right="3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68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9360" w:type="dxa"/>
            <w:vAlign w:val="bottom"/>
            <w:gridSpan w:val="28"/>
          </w:tcPr>
          <w:p>
            <w:pPr>
              <w:spacing w:after="0"/>
              <w:rPr>
                <w:sz w:val="20"/>
                <w:szCs w:val="20"/>
                <w:color w:val="auto"/>
              </w:rPr>
            </w:pPr>
            <w:r>
              <w:rPr>
                <w:rFonts w:ascii="Arial" w:cs="Arial" w:eastAsia="Arial" w:hAnsi="Arial"/>
                <w:sz w:val="18"/>
                <w:szCs w:val="18"/>
                <w:color w:val="auto"/>
              </w:rPr>
              <w:t>Functioning of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10.4.</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Allocation and Delegation of Duties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10.5.</w:t>
            </w:r>
          </w:p>
        </w:tc>
        <w:tc>
          <w:tcPr>
            <w:tcW w:w="254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Plan Expenses</w:t>
            </w:r>
          </w:p>
        </w:tc>
        <w:tc>
          <w:tcPr>
            <w:tcW w:w="68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10.6.</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Information to be Supplied by a Participating Company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10.7.</w:t>
            </w:r>
          </w:p>
        </w:tc>
        <w:tc>
          <w:tcPr>
            <w:tcW w:w="62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5"/>
              </w:rPr>
              <w:t>Disputes</w:t>
            </w:r>
          </w:p>
        </w:tc>
        <w:tc>
          <w:tcPr>
            <w:tcW w:w="3280" w:type="dxa"/>
            <w:vAlign w:val="bottom"/>
            <w:tcBorders>
              <w:top w:val="single" w:sz="8" w:color="auto"/>
            </w:tcBorders>
            <w:gridSpan w:val="22"/>
          </w:tcPr>
          <w:p>
            <w:pPr>
              <w:spacing w:after="0"/>
              <w:rPr>
                <w:sz w:val="17"/>
                <w:szCs w:val="17"/>
                <w:color w:val="auto"/>
              </w:rPr>
            </w:pPr>
          </w:p>
        </w:tc>
        <w:tc>
          <w:tcPr>
            <w:tcW w:w="5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10.8.</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3"/>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 THE FUND</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9360" w:type="dxa"/>
            <w:vAlign w:val="bottom"/>
            <w:gridSpan w:val="28"/>
          </w:tcPr>
          <w:p>
            <w:pPr>
              <w:spacing w:after="0"/>
              <w:rPr>
                <w:sz w:val="20"/>
                <w:szCs w:val="20"/>
                <w:color w:val="auto"/>
              </w:rPr>
            </w:pPr>
            <w:r>
              <w:rPr>
                <w:rFonts w:ascii="Arial" w:cs="Arial" w:eastAsia="Arial" w:hAnsi="Arial"/>
                <w:sz w:val="18"/>
                <w:szCs w:val="18"/>
                <w:color w:val="auto"/>
              </w:rPr>
              <w:t>Designation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11.2.</w:t>
            </w:r>
          </w:p>
        </w:tc>
        <w:tc>
          <w:tcPr>
            <w:tcW w:w="126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Exclusive Benefit</w:t>
            </w:r>
          </w:p>
        </w:tc>
        <w:tc>
          <w:tcPr>
            <w:tcW w:w="340" w:type="dxa"/>
            <w:vAlign w:val="bottom"/>
            <w:tcBorders>
              <w:top w:val="single" w:sz="8" w:color="auto"/>
            </w:tcBorders>
            <w:gridSpan w:val="3"/>
          </w:tcPr>
          <w:p>
            <w:pPr>
              <w:spacing w:after="0"/>
              <w:rPr>
                <w:sz w:val="17"/>
                <w:szCs w:val="17"/>
                <w:color w:val="auto"/>
              </w:rPr>
            </w:pPr>
          </w:p>
        </w:tc>
        <w:tc>
          <w:tcPr>
            <w:tcW w:w="7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11.3.</w:t>
            </w:r>
          </w:p>
        </w:tc>
        <w:tc>
          <w:tcPr>
            <w:tcW w:w="138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8"/>
              </w:rPr>
              <w:t>No Interest in Fund</w:t>
            </w:r>
          </w:p>
        </w:tc>
        <w:tc>
          <w:tcPr>
            <w:tcW w:w="79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11.4.</w:t>
            </w:r>
          </w:p>
        </w:tc>
        <w:tc>
          <w:tcPr>
            <w:tcW w:w="54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5"/>
              </w:rPr>
              <w:t>Trustee</w:t>
            </w:r>
          </w:p>
        </w:tc>
        <w:tc>
          <w:tcPr>
            <w:tcW w:w="88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11.5.</w:t>
            </w:r>
          </w:p>
        </w:tc>
        <w:tc>
          <w:tcPr>
            <w:tcW w:w="8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6"/>
              </w:rPr>
              <w:t>Investments</w:t>
            </w:r>
          </w:p>
        </w:tc>
        <w:tc>
          <w:tcPr>
            <w:tcW w:w="85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43"/>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XII AMENDMENT OR TERMINATION OF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12.1.</w:t>
            </w:r>
          </w:p>
        </w:tc>
        <w:tc>
          <w:tcPr>
            <w:tcW w:w="9360" w:type="dxa"/>
            <w:vAlign w:val="bottom"/>
            <w:gridSpan w:val="28"/>
          </w:tcPr>
          <w:p>
            <w:pPr>
              <w:spacing w:after="0"/>
              <w:rPr>
                <w:sz w:val="20"/>
                <w:szCs w:val="20"/>
                <w:color w:val="auto"/>
              </w:rPr>
            </w:pPr>
            <w:r>
              <w:rPr>
                <w:rFonts w:ascii="Arial" w:cs="Arial" w:eastAsia="Arial" w:hAnsi="Arial"/>
                <w:sz w:val="18"/>
                <w:szCs w:val="18"/>
                <w:color w:val="auto"/>
              </w:rPr>
              <w:t>Power of Amendment and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12.2.</w:t>
            </w:r>
          </w:p>
        </w:tc>
        <w:tc>
          <w:tcPr>
            <w:tcW w:w="5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7"/>
              </w:rPr>
              <w:t>Merger</w:t>
            </w:r>
          </w:p>
        </w:tc>
        <w:tc>
          <w:tcPr>
            <w:tcW w:w="2220" w:type="dxa"/>
            <w:vAlign w:val="bottom"/>
            <w:tcBorders>
              <w:top w:val="single" w:sz="8" w:color="auto"/>
            </w:tcBorders>
            <w:gridSpan w:val="23"/>
          </w:tcPr>
          <w:p>
            <w:pPr>
              <w:spacing w:after="0"/>
              <w:rPr>
                <w:sz w:val="17"/>
                <w:szCs w:val="17"/>
                <w:color w:val="auto"/>
              </w:rPr>
            </w:pPr>
          </w:p>
        </w:tc>
        <w:tc>
          <w:tcPr>
            <w:tcW w:w="66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343"/>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XIII TOP-HEAVY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13.1.</w:t>
            </w: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General</w:t>
            </w:r>
          </w:p>
        </w:tc>
        <w:tc>
          <w:tcPr>
            <w:tcW w:w="880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13.2.</w:t>
            </w:r>
          </w:p>
        </w:tc>
        <w:tc>
          <w:tcPr>
            <w:tcW w:w="8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Definitions</w:t>
            </w:r>
          </w:p>
        </w:tc>
        <w:tc>
          <w:tcPr>
            <w:tcW w:w="856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13.3.</w:t>
            </w:r>
          </w:p>
        </w:tc>
        <w:tc>
          <w:tcPr>
            <w:tcW w:w="342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1"/>
              </w:rPr>
              <w:t>Minimum Contribution for Non-Key Employees</w:t>
            </w:r>
          </w:p>
        </w:tc>
        <w:tc>
          <w:tcPr>
            <w:tcW w:w="59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13.4.</w:t>
            </w:r>
          </w:p>
        </w:tc>
        <w:tc>
          <w:tcPr>
            <w:tcW w:w="108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Social Security</w:t>
            </w:r>
          </w:p>
        </w:tc>
        <w:tc>
          <w:tcPr>
            <w:tcW w:w="82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343"/>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XIV 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14.1.</w:t>
            </w:r>
          </w:p>
        </w:tc>
        <w:tc>
          <w:tcPr>
            <w:tcW w:w="168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0"/>
              </w:rPr>
              <w:t>No Employment Rights</w:t>
            </w:r>
          </w:p>
        </w:tc>
        <w:tc>
          <w:tcPr>
            <w:tcW w:w="76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14.2.</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14.3.</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Severability of Provisions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14.4.</w:t>
            </w:r>
          </w:p>
        </w:tc>
        <w:tc>
          <w:tcPr>
            <w:tcW w:w="138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8"/>
              </w:rPr>
              <w:t>No Interest in Fund</w:t>
            </w:r>
          </w:p>
        </w:tc>
        <w:tc>
          <w:tcPr>
            <w:tcW w:w="480" w:type="dxa"/>
            <w:vAlign w:val="bottom"/>
            <w:tcBorders>
              <w:top w:val="single" w:sz="8" w:color="auto"/>
            </w:tcBorders>
            <w:gridSpan w:val="4"/>
          </w:tcPr>
          <w:p>
            <w:pPr>
              <w:spacing w:after="0"/>
              <w:rPr>
                <w:sz w:val="17"/>
                <w:szCs w:val="17"/>
                <w:color w:val="auto"/>
              </w:rPr>
            </w:pPr>
          </w:p>
        </w:tc>
        <w:tc>
          <w:tcPr>
            <w:tcW w:w="75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14.5.</w:t>
            </w:r>
          </w:p>
        </w:tc>
        <w:tc>
          <w:tcPr>
            <w:tcW w:w="132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7"/>
              </w:rPr>
              <w:t>Spendthrift Clause</w:t>
            </w:r>
          </w:p>
        </w:tc>
        <w:tc>
          <w:tcPr>
            <w:tcW w:w="80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14.6.</w:t>
            </w:r>
          </w:p>
        </w:tc>
        <w:tc>
          <w:tcPr>
            <w:tcW w:w="74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Incapacity</w:t>
            </w:r>
          </w:p>
        </w:tc>
        <w:tc>
          <w:tcPr>
            <w:tcW w:w="862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14.7.</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Withholding</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14.8.</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Missing Persons/Uncashed Checks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14.9.</w:t>
            </w:r>
          </w:p>
        </w:tc>
        <w:tc>
          <w:tcPr>
            <w:tcW w:w="4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0"/>
              </w:rPr>
              <w:t>Notice</w:t>
            </w:r>
          </w:p>
        </w:tc>
        <w:tc>
          <w:tcPr>
            <w:tcW w:w="1980" w:type="dxa"/>
            <w:vAlign w:val="bottom"/>
            <w:tcBorders>
              <w:top w:val="single" w:sz="8" w:color="auto"/>
            </w:tcBorders>
            <w:gridSpan w:val="22"/>
          </w:tcPr>
          <w:p>
            <w:pPr>
              <w:spacing w:after="0"/>
              <w:rPr>
                <w:sz w:val="17"/>
                <w:szCs w:val="17"/>
                <w:color w:val="auto"/>
              </w:rPr>
            </w:pPr>
          </w:p>
        </w:tc>
        <w:tc>
          <w:tcPr>
            <w:tcW w:w="69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43"/>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XV ADDITIONAL SERVICE CREDIT FOR FORMER EMPLOYEES OF CERTAIN ACQUIRED BUSINESSES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15.1.</w:t>
            </w:r>
          </w:p>
        </w:tc>
        <w:tc>
          <w:tcPr>
            <w:tcW w:w="9360" w:type="dxa"/>
            <w:vAlign w:val="bottom"/>
            <w:gridSpan w:val="28"/>
          </w:tcPr>
          <w:p>
            <w:pPr>
              <w:spacing w:after="0"/>
              <w:rPr>
                <w:sz w:val="20"/>
                <w:szCs w:val="20"/>
                <w:color w:val="auto"/>
              </w:rPr>
            </w:pPr>
            <w:r>
              <w:rPr>
                <w:rFonts w:ascii="Arial" w:cs="Arial" w:eastAsia="Arial" w:hAnsi="Arial"/>
                <w:sz w:val="18"/>
                <w:szCs w:val="18"/>
                <w:color w:val="auto"/>
              </w:rPr>
              <w:t>Additional Service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15.2.</w:t>
            </w:r>
          </w:p>
        </w:tc>
        <w:tc>
          <w:tcPr>
            <w:tcW w:w="118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9"/>
              </w:rPr>
              <w:t>Listed Employer</w:t>
            </w:r>
          </w:p>
        </w:tc>
        <w:tc>
          <w:tcPr>
            <w:tcW w:w="620" w:type="dxa"/>
            <w:vAlign w:val="bottom"/>
            <w:tcBorders>
              <w:top w:val="single" w:sz="8" w:color="auto"/>
            </w:tcBorders>
            <w:gridSpan w:val="6"/>
          </w:tcPr>
          <w:p>
            <w:pPr>
              <w:spacing w:after="0"/>
              <w:rPr>
                <w:sz w:val="17"/>
                <w:szCs w:val="17"/>
                <w:color w:val="auto"/>
              </w:rPr>
            </w:pPr>
          </w:p>
        </w:tc>
        <w:tc>
          <w:tcPr>
            <w:tcW w:w="7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15.3.</w:t>
            </w:r>
          </w:p>
        </w:tc>
        <w:tc>
          <w:tcPr>
            <w:tcW w:w="9360" w:type="dxa"/>
            <w:vAlign w:val="bottom"/>
            <w:gridSpan w:val="28"/>
          </w:tcPr>
          <w:p>
            <w:pPr>
              <w:spacing w:after="0" w:line="196" w:lineRule="exact"/>
              <w:rPr>
                <w:sz w:val="20"/>
                <w:szCs w:val="20"/>
                <w:color w:val="auto"/>
              </w:rPr>
            </w:pPr>
            <w:r>
              <w:rPr>
                <w:rFonts w:ascii="Arial" w:cs="Arial" w:eastAsia="Arial" w:hAnsi="Arial"/>
                <w:sz w:val="18"/>
                <w:szCs w:val="18"/>
                <w:color w:val="auto"/>
              </w:rPr>
              <w:t>Applicability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15.4.</w:t>
            </w:r>
          </w:p>
        </w:tc>
        <w:tc>
          <w:tcPr>
            <w:tcW w:w="92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rPr>
              <w:t>Limitation</w:t>
            </w:r>
          </w:p>
        </w:tc>
        <w:tc>
          <w:tcPr>
            <w:tcW w:w="84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680" w:type="dxa"/>
            <w:vAlign w:val="bottom"/>
          </w:tcPr>
          <w:p>
            <w:pPr>
              <w:spacing w:after="0" w:line="20" w:lineRule="exact"/>
              <w:rPr>
                <w:sz w:val="1"/>
                <w:szCs w:val="1"/>
                <w:color w:val="auto"/>
              </w:rPr>
            </w:pPr>
          </w:p>
        </w:tc>
        <w:tc>
          <w:tcPr>
            <w:tcW w:w="740" w:type="dxa"/>
            <w:vAlign w:val="bottom"/>
            <w:gridSpan w:val="6"/>
            <w:shd w:val="clear" w:color="auto" w:fill="000000"/>
          </w:tcPr>
          <w:p>
            <w:pPr>
              <w:spacing w:after="0" w:line="20" w:lineRule="exact"/>
              <w:rPr>
                <w:sz w:val="1"/>
                <w:szCs w:val="1"/>
                <w:color w:val="auto"/>
              </w:rPr>
            </w:pPr>
          </w:p>
        </w:tc>
        <w:tc>
          <w:tcPr>
            <w:tcW w:w="1420" w:type="dxa"/>
            <w:vAlign w:val="bottom"/>
            <w:gridSpan w:val="16"/>
          </w:tcPr>
          <w:p>
            <w:pPr>
              <w:spacing w:after="0" w:line="20" w:lineRule="exact"/>
              <w:rPr>
                <w:sz w:val="1"/>
                <w:szCs w:val="1"/>
                <w:color w:val="auto"/>
              </w:rPr>
            </w:pPr>
          </w:p>
        </w:tc>
        <w:tc>
          <w:tcPr>
            <w:tcW w:w="72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3"/>
        </w:trPr>
        <w:tc>
          <w:tcPr>
            <w:tcW w:w="11040" w:type="dxa"/>
            <w:vAlign w:val="bottom"/>
            <w:gridSpan w:val="29"/>
          </w:tcPr>
          <w:p>
            <w:pPr>
              <w:spacing w:after="0"/>
              <w:rPr>
                <w:sz w:val="20"/>
                <w:szCs w:val="20"/>
                <w:color w:val="auto"/>
              </w:rPr>
            </w:pPr>
            <w:r>
              <w:rPr>
                <w:rFonts w:ascii="Arial" w:cs="Arial" w:eastAsia="Arial" w:hAnsi="Arial"/>
                <w:sz w:val="18"/>
                <w:szCs w:val="18"/>
                <w:color w:val="auto"/>
              </w:rPr>
              <w:t>ARTICLE XVI COMCAST SPORTS NETWORK (PHILADELPHIA) L.P.</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86"/>
        </w:trPr>
        <w:tc>
          <w:tcPr>
            <w:tcW w:w="1680" w:type="dxa"/>
            <w:vAlign w:val="bottom"/>
          </w:tcPr>
          <w:p>
            <w:pPr>
              <w:ind w:left="440"/>
              <w:spacing w:after="0"/>
              <w:rPr>
                <w:sz w:val="20"/>
                <w:szCs w:val="20"/>
                <w:color w:val="auto"/>
              </w:rPr>
            </w:pPr>
            <w:r>
              <w:rPr>
                <w:rFonts w:ascii="Arial" w:cs="Arial" w:eastAsia="Arial" w:hAnsi="Arial"/>
                <w:sz w:val="18"/>
                <w:szCs w:val="18"/>
                <w:color w:val="auto"/>
              </w:rPr>
              <w:t>Section 16.1.</w:t>
            </w:r>
          </w:p>
        </w:tc>
        <w:tc>
          <w:tcPr>
            <w:tcW w:w="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4"/>
              </w:rPr>
              <w:t>General</w:t>
            </w:r>
          </w:p>
        </w:tc>
        <w:tc>
          <w:tcPr>
            <w:tcW w:w="880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Section 16.2.</w:t>
            </w:r>
          </w:p>
        </w:tc>
        <w:tc>
          <w:tcPr>
            <w:tcW w:w="216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1"/>
              </w:rPr>
              <w:t>Eligibility and Vesting Service</w:t>
            </w:r>
          </w:p>
        </w:tc>
        <w:tc>
          <w:tcPr>
            <w:tcW w:w="72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5" w:right="3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5280" w:type="dxa"/>
            <w:vAlign w:val="bottom"/>
            <w:gridSpan w:val="4"/>
          </w:tcPr>
          <w:p>
            <w:pPr>
              <w:ind w:left="440"/>
              <w:spacing w:after="0"/>
              <w:rPr>
                <w:sz w:val="20"/>
                <w:szCs w:val="20"/>
                <w:color w:val="auto"/>
              </w:rPr>
            </w:pPr>
            <w:r>
              <w:rPr>
                <w:rFonts w:ascii="Arial" w:cs="Arial" w:eastAsia="Arial" w:hAnsi="Arial"/>
                <w:sz w:val="18"/>
                <w:szCs w:val="18"/>
                <w:color w:val="auto"/>
                <w:w w:val="94"/>
              </w:rPr>
              <w:t>Section 16.3.Eligibility to Participate</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1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196"/>
        </w:trPr>
        <w:tc>
          <w:tcPr>
            <w:tcW w:w="5280" w:type="dxa"/>
            <w:vAlign w:val="bottom"/>
            <w:gridSpan w:val="4"/>
          </w:tcPr>
          <w:p>
            <w:pPr>
              <w:ind w:left="440"/>
              <w:spacing w:after="0" w:line="196" w:lineRule="exact"/>
              <w:rPr>
                <w:sz w:val="20"/>
                <w:szCs w:val="20"/>
                <w:color w:val="auto"/>
              </w:rPr>
            </w:pPr>
            <w:r>
              <w:rPr>
                <w:rFonts w:ascii="Arial" w:cs="Arial" w:eastAsia="Arial" w:hAnsi="Arial"/>
                <w:sz w:val="18"/>
                <w:szCs w:val="18"/>
                <w:color w:val="auto"/>
                <w:w w:val="84"/>
              </w:rPr>
              <w:t>Section 16.4.Separate Testing</w:t>
            </w:r>
          </w:p>
        </w:tc>
        <w:tc>
          <w:tcPr>
            <w:tcW w:w="6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1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r>
      <w:tr>
        <w:trPr>
          <w:trHeight w:val="545"/>
        </w:trPr>
        <w:tc>
          <w:tcPr>
            <w:tcW w:w="5280" w:type="dxa"/>
            <w:vAlign w:val="bottom"/>
            <w:gridSpan w:val="4"/>
          </w:tcPr>
          <w:p>
            <w:pPr>
              <w:spacing w:after="0"/>
              <w:rPr>
                <w:sz w:val="20"/>
                <w:szCs w:val="20"/>
                <w:color w:val="auto"/>
              </w:rPr>
            </w:pPr>
            <w:r>
              <w:rPr>
                <w:rFonts w:ascii="Arial" w:cs="Arial" w:eastAsia="Arial" w:hAnsi="Arial"/>
                <w:sz w:val="18"/>
                <w:szCs w:val="18"/>
                <w:color w:val="auto"/>
              </w:rPr>
              <w:t>SCHEDULE A MINIMUM DISTRIBUTION REQUIREMENTS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rPr>
              <w:t>APPENDIX A</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rPr>
              <w:t>APPENDIX B</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w w:val="99"/>
              </w:rPr>
              <w:t>EXHIBIT A PARTICIPATING COMPANIES/LISTED EMPLOYERS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280" w:type="dxa"/>
            <w:vAlign w:val="bottom"/>
            <w:gridSpan w:val="4"/>
          </w:tcPr>
          <w:p>
            <w:pPr>
              <w:spacing w:after="0"/>
              <w:rPr>
                <w:sz w:val="20"/>
                <w:szCs w:val="20"/>
                <w:color w:val="auto"/>
              </w:rPr>
            </w:pPr>
            <w:r>
              <w:rPr>
                <w:rFonts w:ascii="Arial" w:cs="Arial" w:eastAsia="Arial" w:hAnsi="Arial"/>
                <w:sz w:val="18"/>
                <w:szCs w:val="18"/>
                <w:color w:val="auto"/>
              </w:rPr>
              <w:t>EXHIBIT B NBCUNIVERSAL, LLC</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40" w:type="dxa"/>
            <w:vAlign w:val="bottom"/>
            <w:gridSpan w:val="2"/>
          </w:tcPr>
          <w:p>
            <w:pPr>
              <w:jc w:val="right"/>
              <w:ind w:right="5412"/>
              <w:spacing w:after="0"/>
              <w:rPr>
                <w:sz w:val="20"/>
                <w:szCs w:val="20"/>
                <w:color w:val="auto"/>
              </w:rPr>
            </w:pPr>
            <w:r>
              <w:rPr>
                <w:rFonts w:ascii="Arial" w:cs="Arial" w:eastAsia="Arial" w:hAnsi="Arial"/>
                <w:sz w:val="18"/>
                <w:szCs w:val="18"/>
                <w:color w:val="auto"/>
              </w:rPr>
              <w:t>-iv-</w:t>
            </w:r>
          </w:p>
        </w:tc>
      </w:tr>
    </w:tbl>
    <w:p>
      <w:pPr>
        <w:jc w:val="right"/>
        <w:ind w:right="5412"/>
        <w:spacing w:after="0"/>
        <w:rPr>
          <w:sz w:val="20"/>
          <w:szCs w:val="20"/>
          <w:color w:val="auto"/>
        </w:rPr>
        <w:sectPr>
          <w:pgSz w:w="11900" w:h="16838" w:orient="portrait"/>
          <w:cols w:equalWidth="0" w:num="1">
            <w:col w:w="11320"/>
          </w:cols>
          <w:pgMar w:left="240" w:top="2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1" w:name="page242"/>
    <w:bookmarkEnd w:id="24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COMCAST CORPORATION RETIREMENT-INVESTMENT PLAN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Amended and Restated Effective January 1, 2014</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Background</w:t>
      </w:r>
    </w:p>
    <w:p>
      <w:pPr>
        <w:spacing w:after="0" w:line="17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Plan was last amended and restated effective July 1, 2014 (unless otherwise stated herein) to incorporate certain design changes.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212" w:lineRule="exact"/>
        <w:rPr>
          <w:sz w:val="20"/>
          <w:szCs w:val="20"/>
          <w:color w:val="auto"/>
        </w:rPr>
      </w:pPr>
    </w:p>
    <w:p>
      <w:pPr>
        <w:ind w:left="1480" w:hanging="567"/>
        <w:spacing w:after="0" w:line="268"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Barden Savings Plan, the Michigan Savings Plan, the Suburban Savings Plan and the profit sharing and cash or deferred arrangement portion of the Selkirk Plan were merged with and into this Plan – January 1, 1996</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211" w:lineRule="exact"/>
        <w:rPr>
          <w:rFonts w:ascii="Arial" w:cs="Arial" w:eastAsia="Arial" w:hAnsi="Arial"/>
          <w:sz w:val="18"/>
          <w:szCs w:val="18"/>
          <w:color w:val="auto"/>
        </w:rPr>
      </w:pPr>
    </w:p>
    <w:p>
      <w:pPr>
        <w:ind w:left="1480" w:right="600" w:hanging="567"/>
        <w:spacing w:after="0" w:line="268"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Prime Communications – Potomac LLC 401(k) Retirement &amp; Savings Plan and the Prime Cable 401(k) Savings and Security Plan – August 1, 2000</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171" w:lineRule="exact"/>
        <w:rPr>
          <w:sz w:val="20"/>
          <w:szCs w:val="20"/>
          <w:color w:val="auto"/>
        </w:rPr>
      </w:pPr>
    </w:p>
    <w:p>
      <w:pPr>
        <w:jc w:val="both"/>
        <w:ind w:right="460" w:firstLine="913"/>
        <w:spacing w:after="0" w:line="306" w:lineRule="auto"/>
        <w:rPr>
          <w:sz w:val="20"/>
          <w:szCs w:val="20"/>
          <w:color w:val="auto"/>
        </w:rPr>
      </w:pPr>
      <w:r>
        <w:rPr>
          <w:rFonts w:ascii="Arial" w:cs="Arial" w:eastAsia="Arial" w:hAnsi="Arial"/>
          <w:sz w:val="16"/>
          <w:szCs w:val="16"/>
          <w:color w:val="auto"/>
        </w:rPr>
        <w:t>Effective April 1, 1998, assets from the tax-qualified defined contribution plan of Marcus Cable (the “Marcus Cable Plan”), attributable to the account balances of participants in the Marcus Cable Plan who transferred employment directly from Marcus Cable to the Company in connection with the Company’s acquisition of certain cable television businesses of Marcus Cable, were transferred to the Plan.</w:t>
      </w:r>
    </w:p>
    <w:p>
      <w:pPr>
        <w:sectPr>
          <w:pgSz w:w="11900" w:h="16838" w:orient="portrait"/>
          <w:cols w:equalWidth="0" w:num="1">
            <w:col w:w="11380"/>
          </w:cols>
          <w:pgMar w:left="240" w:top="280" w:right="279" w:bottom="1440" w:gutter="0" w:footer="0" w:header="0"/>
        </w:sectPr>
      </w:pPr>
    </w:p>
    <w:bookmarkStart w:id="242" w:name="page243"/>
    <w:bookmarkEnd w:id="242"/>
    <w:p>
      <w:pPr>
        <w:ind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212" w:lineRule="exact"/>
        <w:rPr>
          <w:sz w:val="20"/>
          <w:szCs w:val="20"/>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NBCUniversal – Participation/Asset Transfer</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Effective January 1, 2013, NBCUniversal, LLC became a Participating Company in the Plan such that its employees (other certain employees who are eligible to participate in the NBCUniversal Capital Accumulation Plan from and after January 1, 2013 and certain other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43" w:name="page244"/>
    <w:bookmarkEnd w:id="24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employees who are members of certain collectively bargained units) shall be eligible to participate in this Comcast Corporation Retirement-Investment Plan (the “Plan”), subject to the eligibility requirements set forth herein. On or about the January 1, 2013, the assets of the NBCUniversal Capital Accumulation Plan representing the accounts of NBCUniversal, LLC employees who are eligible to participate in the Plan were transferred to the Fund. The terms and conditions of the Plan, as set forth herein, shall generally apply to Participants who are such as a result of their employment with NBCUniversal, LLC, except to the extent such provisions contradict with the terms and conditions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177"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Comcast Corporation hereby amends and restates The Comcast Corporation Retirement-Investment Plan, effective October 21, 2014, unless stated otherwise herein, to require the freeze, liquidation and termination of the Company Stock fund over time under the management of an independent fiduciary and to incorporate certain design changes, subject to receipt of an Internal Revenue Service determination that the Plan continues to meet all applicable requirements of section 401(a) of the Code, that employer contributions thereto remain deductible under section 404 of the Code and that the trust fund maintained with respect thereto remains tax exempt under section 501(a) of the Code.</w:t>
      </w:r>
    </w:p>
    <w:p>
      <w:pPr>
        <w:spacing w:after="0" w:line="318" w:lineRule="exact"/>
        <w:rPr>
          <w:sz w:val="20"/>
          <w:szCs w:val="20"/>
          <w:color w:val="auto"/>
        </w:rPr>
      </w:pPr>
    </w:p>
    <w:p>
      <w:pPr>
        <w:ind w:left="5820" w:hanging="362"/>
        <w:spacing w:after="0"/>
        <w:tabs>
          <w:tab w:leader="none" w:pos="58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w:t>
      </w:r>
    </w:p>
    <w:p>
      <w:pPr>
        <w:spacing w:after="0" w:line="203"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w:t>
      </w:r>
    </w:p>
    <w:p>
      <w:pPr>
        <w:spacing w:after="0" w:line="132"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140" w:lineRule="exact"/>
        <w:rPr>
          <w:sz w:val="20"/>
          <w:szCs w:val="20"/>
          <w:color w:val="auto"/>
        </w:rPr>
      </w:pPr>
    </w:p>
    <w:p>
      <w:pPr>
        <w:ind w:right="640"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Rollover Account</w:t>
      </w:r>
      <w:r>
        <w:rPr>
          <w:rFonts w:ascii="Arial" w:cs="Arial" w:eastAsia="Arial" w:hAnsi="Arial"/>
          <w:sz w:val="16"/>
          <w:szCs w:val="16"/>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or as “After-Tax Rollover Contributions” under the NBCU CAP are credited to this Account.</w:t>
      </w:r>
    </w:p>
    <w:p>
      <w:pPr>
        <w:spacing w:after="0" w:line="107" w:lineRule="exact"/>
        <w:rPr>
          <w:sz w:val="20"/>
          <w:szCs w:val="20"/>
          <w:color w:val="auto"/>
        </w:rPr>
      </w:pPr>
    </w:p>
    <w:p>
      <w:pPr>
        <w:ind w:right="80" w:firstLine="148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Unmatched Contribution Account</w:t>
      </w:r>
      <w:r>
        <w:rPr>
          <w:rFonts w:ascii="Arial" w:cs="Arial" w:eastAsia="Arial" w:hAnsi="Arial"/>
          <w:sz w:val="16"/>
          <w:szCs w:val="16"/>
          <w:color w:val="auto"/>
        </w:rPr>
        <w:t>” – the Account to which are credited After-Tax Unmatched Contributions allocated to a Participant, adjustments for withdrawals and distributions, and the earnings, losses and expenses attributable thereto. In addition, (i) amounts denominated as “Prior Plan Contributions” under the Plan prior to the Effective Date, (ii) amounts denominated as “After-Tax Unmatched Contributions” under the CCCHI Plan, and (iii) amounts transferred from a Participant’s “Frozen After-Tax Contribution Account” are credited to this Account.</w:t>
      </w:r>
    </w:p>
    <w:p>
      <w:pPr>
        <w:spacing w:after="0" w:line="113" w:lineRule="exact"/>
        <w:rPr>
          <w:sz w:val="20"/>
          <w:szCs w:val="20"/>
          <w:color w:val="auto"/>
        </w:rPr>
      </w:pPr>
    </w:p>
    <w:p>
      <w:pPr>
        <w:jc w:val="both"/>
        <w:ind w:right="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140" w:lineRule="exact"/>
        <w:rPr>
          <w:sz w:val="20"/>
          <w:szCs w:val="20"/>
          <w:color w:val="auto"/>
        </w:rPr>
      </w:pPr>
    </w:p>
    <w:p>
      <w:pPr>
        <w:ind w:right="260" w:firstLine="148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Catch-Up Contribution Account</w:t>
      </w:r>
      <w:r>
        <w:rPr>
          <w:rFonts w:ascii="Arial" w:cs="Arial" w:eastAsia="Arial" w:hAnsi="Arial"/>
          <w:sz w:val="16"/>
          <w:szCs w:val="16"/>
          <w:color w:val="auto"/>
        </w:rPr>
        <w:t>” – the Account to which are credited Catch-Up Contributions allocated to a Participant, adjustments for withdrawals and distributions, and the earnings, losses and expenses attributable thereto. In addition, pre-tax catch-up contributions allocated to a Participant under the Plan or the CCCHI prior to the Effective Date or under the NBCU CAP are allocated to this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45" w:name="page246"/>
    <w:bookmarkEnd w:id="245"/>
    <w:p>
      <w:pPr>
        <w:ind w:right="540"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Comcast Retirement Contributions Account</w:t>
      </w:r>
      <w:r>
        <w:rPr>
          <w:rFonts w:ascii="Arial" w:cs="Arial" w:eastAsia="Arial" w:hAnsi="Arial"/>
          <w:sz w:val="18"/>
          <w:szCs w:val="18"/>
          <w:color w:val="auto"/>
        </w:rPr>
        <w:t>” – the Account to which are credited a Participant’s Comcast Retirement Contributions, adjustments for withdrawals and distributions, and the earnings, losses and expenses attributable thereto.</w:t>
      </w:r>
    </w:p>
    <w:p>
      <w:pPr>
        <w:spacing w:after="0" w:line="132" w:lineRule="exact"/>
        <w:rPr>
          <w:sz w:val="20"/>
          <w:szCs w:val="20"/>
          <w:color w:val="auto"/>
        </w:rPr>
      </w:pPr>
    </w:p>
    <w:p>
      <w:pPr>
        <w:ind w:right="8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Adder Contribution Account (Frozen)</w:t>
      </w:r>
      <w:r>
        <w:rPr>
          <w:rFonts w:ascii="Arial" w:cs="Arial" w:eastAsia="Arial" w:hAnsi="Arial"/>
          <w:sz w:val="16"/>
          <w:szCs w:val="16"/>
          <w:color w:val="auto"/>
        </w:rPr>
        <w:t>” – the Account to which are credited amounts denominated as “DC Adder Contributions” under the NBCU CAP, adjustments for withdrawals and distributions, and the earnings, losses and expenses attributable thereto.</w:t>
      </w:r>
    </w:p>
    <w:p>
      <w:pPr>
        <w:spacing w:after="0" w:line="85" w:lineRule="exact"/>
        <w:rPr>
          <w:sz w:val="20"/>
          <w:szCs w:val="20"/>
          <w:color w:val="auto"/>
        </w:rPr>
      </w:pPr>
    </w:p>
    <w:p>
      <w:pPr>
        <w:ind w:firstLine="148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Matching Contribution Account</w:t>
      </w:r>
      <w:r>
        <w:rPr>
          <w:rFonts w:ascii="Arial" w:cs="Arial" w:eastAsia="Arial" w:hAnsi="Arial"/>
          <w:sz w:val="16"/>
          <w:szCs w:val="16"/>
          <w:color w:val="auto"/>
        </w:rPr>
        <w:t>” – the Account to which are credited Matching Contributions allocated to a Participant, adjustments for withdrawals and distributions, and the earnings, losses and expenses attributable thereto. In addition, (i) matching contributions under the Plan after December 31, 2000 and through the Effective Date, (ii) matching contributions under the CCCHI Plan after December 31, 2002 and through the Effective Date, and (iii) matching contributions made to Participants under the NBCU CAP are, in each case, allocated to this Account.</w:t>
      </w:r>
    </w:p>
    <w:p>
      <w:pPr>
        <w:spacing w:after="0" w:line="113" w:lineRule="exact"/>
        <w:rPr>
          <w:sz w:val="20"/>
          <w:szCs w:val="20"/>
          <w:color w:val="auto"/>
        </w:rPr>
      </w:pPr>
    </w:p>
    <w:p>
      <w:pPr>
        <w:jc w:val="both"/>
        <w:ind w:right="7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Retirement Contributions Account</w:t>
      </w:r>
      <w:r>
        <w:rPr>
          <w:rFonts w:ascii="Arial" w:cs="Arial" w:eastAsia="Arial" w:hAnsi="Arial"/>
          <w:sz w:val="18"/>
          <w:szCs w:val="18"/>
          <w:color w:val="auto"/>
        </w:rPr>
        <w:t>” – the Account to which are credited a Participant’s NBCU Retirement Contributions, adjustments for withdrawals and distributions, and the earnings, losses and expenses attributable thereto. In addition, amounts denominated as “Flexible Retirement Account Contributions” under the NBCU CAP are credited to this Account.</w:t>
      </w:r>
    </w:p>
    <w:p>
      <w:pPr>
        <w:spacing w:after="0" w:line="140" w:lineRule="exact"/>
        <w:rPr>
          <w:sz w:val="20"/>
          <w:szCs w:val="20"/>
          <w:color w:val="auto"/>
        </w:rPr>
      </w:pPr>
    </w:p>
    <w:p>
      <w:pPr>
        <w:ind w:right="180" w:firstLine="148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Pre-Tax Matched Contribution Account</w:t>
      </w:r>
      <w:r>
        <w:rPr>
          <w:rFonts w:ascii="Arial" w:cs="Arial" w:eastAsia="Arial" w:hAnsi="Arial"/>
          <w:sz w:val="16"/>
          <w:szCs w:val="16"/>
          <w:color w:val="auto"/>
        </w:rPr>
        <w:t>” – the Account to which are credited a Participant’s Pre-Tax Matched Contributions, adjustments for withdrawals and distributions, and the earnings, losses and expenses attributable thereto. In addition, (i) amounts denominated as “Salary Reduction Contributions” under the Plan prior to the Effective Date that were matched, (ii) amounts denominated as “Pre-Tax Matched Contributions” under the CCCHI Plan, and (iii) amounts denominated as “Pre-Tax Contributions” under the NBCU CAP are credited to this Account.</w:t>
      </w:r>
    </w:p>
    <w:p>
      <w:pPr>
        <w:spacing w:after="0" w:line="113" w:lineRule="exact"/>
        <w:rPr>
          <w:sz w:val="20"/>
          <w:szCs w:val="20"/>
          <w:color w:val="auto"/>
        </w:rPr>
      </w:pPr>
    </w:p>
    <w:p>
      <w:pPr>
        <w:ind w:right="80"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143" w:lineRule="exact"/>
        <w:rPr>
          <w:sz w:val="20"/>
          <w:szCs w:val="20"/>
          <w:color w:val="auto"/>
        </w:rPr>
      </w:pPr>
    </w:p>
    <w:p>
      <w:pPr>
        <w:ind w:right="16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85" w:lineRule="exact"/>
        <w:rPr>
          <w:sz w:val="20"/>
          <w:szCs w:val="20"/>
          <w:color w:val="auto"/>
        </w:rPr>
      </w:pPr>
    </w:p>
    <w:p>
      <w:pPr>
        <w:ind w:right="360" w:firstLine="148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46" w:name="page247"/>
    <w:bookmarkEnd w:id="246"/>
    <w:p>
      <w:pPr>
        <w:jc w:val="both"/>
        <w:ind w:right="140"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140" w:lineRule="exact"/>
        <w:rPr>
          <w:sz w:val="20"/>
          <w:szCs w:val="20"/>
          <w:color w:val="auto"/>
        </w:rPr>
      </w:pPr>
    </w:p>
    <w:p>
      <w:pPr>
        <w:ind w:right="16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 Account</w:t>
      </w:r>
      <w:r>
        <w:rPr>
          <w:rFonts w:ascii="Arial" w:cs="Arial" w:eastAsia="Arial" w:hAnsi="Arial"/>
          <w:sz w:val="18"/>
          <w:szCs w:val="18"/>
          <w:color w:val="auto"/>
        </w:rPr>
        <w:t>” – the Account to which are credited Roth Catch-Up Contributions allocated to a Participant, adjustments for withdrawals and distributions, and the earnings, losses and expenses attributable thereto. In addition, amounts denominated as “Roth Catch-Up Contributions” under the NBCU CAP are credited to this Account.</w:t>
      </w:r>
    </w:p>
    <w:p>
      <w:pPr>
        <w:spacing w:after="0" w:line="140" w:lineRule="exact"/>
        <w:rPr>
          <w:sz w:val="20"/>
          <w:szCs w:val="20"/>
          <w:color w:val="auto"/>
        </w:rPr>
      </w:pPr>
    </w:p>
    <w:p>
      <w:pPr>
        <w:jc w:val="both"/>
        <w:ind w:right="2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Matched Contribution Account</w:t>
      </w:r>
      <w:r>
        <w:rPr>
          <w:rFonts w:ascii="Arial" w:cs="Arial" w:eastAsia="Arial" w:hAnsi="Arial"/>
          <w:sz w:val="18"/>
          <w:szCs w:val="18"/>
          <w:color w:val="auto"/>
        </w:rPr>
        <w:t>” – the Account to which are credited a Participant’s Roth Matched Contributions, adjustments for withdrawals and distributions, and the earnings, losses and expenses attributable thereto. In addition, amounts denominated as “Roth Contributions” under the NBCU CAP are credited to this Account.</w:t>
      </w:r>
    </w:p>
    <w:p>
      <w:pPr>
        <w:spacing w:after="0" w:line="140" w:lineRule="exact"/>
        <w:rPr>
          <w:sz w:val="20"/>
          <w:szCs w:val="20"/>
          <w:color w:val="auto"/>
        </w:rPr>
      </w:pPr>
    </w:p>
    <w:p>
      <w:pPr>
        <w:ind w:right="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Rollover Account</w:t>
      </w:r>
      <w:r>
        <w:rPr>
          <w:rFonts w:ascii="Arial" w:cs="Arial" w:eastAsia="Arial" w:hAnsi="Arial"/>
          <w:sz w:val="18"/>
          <w:szCs w:val="18"/>
          <w:color w:val="auto"/>
        </w:rPr>
        <w:t>” – the Account to which are credited a Participant’s Roth Rollover Contributions, adjustments for withdrawals and distributions, and the earnings, losses and expenses attributable thereto. In addition, amounts denominated as “Roth Rollover Contributions” under the NBCU CAP are credited to this Account.</w:t>
      </w:r>
    </w:p>
    <w:p>
      <w:pPr>
        <w:spacing w:after="0" w:line="140"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Unmatched Contribution Account</w:t>
      </w:r>
      <w:r>
        <w:rPr>
          <w:rFonts w:ascii="Arial" w:cs="Arial" w:eastAsia="Arial" w:hAnsi="Arial"/>
          <w:sz w:val="18"/>
          <w:szCs w:val="18"/>
          <w:color w:val="auto"/>
        </w:rPr>
        <w:t>” – the Account to which are credited a Participant’s Roth Unmatched Contributions, adjustments for withdrawals and distributions, and the earnings, losses and expenses attributable thereto.</w:t>
      </w:r>
    </w:p>
    <w:p>
      <w:pPr>
        <w:spacing w:after="0" w:line="132"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Account</w:t>
      </w:r>
      <w:r>
        <w:rPr>
          <w:rFonts w:ascii="Arial" w:cs="Arial" w:eastAsia="Arial" w:hAnsi="Arial"/>
          <w:sz w:val="18"/>
          <w:szCs w:val="18"/>
          <w:color w:val="auto"/>
        </w:rPr>
        <w:t>” – the Account to which are credited a Participant’s Taxable Rollover Contributions, adjustments for withdrawals and distributions, and the earnings, losses and expenses attributable thereto. In addition, (i) amounts denominated as “Rollover Contributions” under the Plan prior to the Effective Date, (ii) amounts denominated as “Taxable Rollover Contributions” under the CCCHI Plan, and (iii) amount denominated as “Taxable Rollover Contributions” under the NBCU CAP are credited to this Account.</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171" w:lineRule="exact"/>
        <w:rPr>
          <w:sz w:val="20"/>
          <w:szCs w:val="20"/>
          <w:color w:val="auto"/>
        </w:rPr>
      </w:pPr>
    </w:p>
    <w:p>
      <w:pPr>
        <w:ind w:left="2180" w:hanging="232"/>
        <w:spacing w:after="0"/>
        <w:tabs>
          <w:tab w:leader="none" w:pos="21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171" w:lineRule="exact"/>
        <w:rPr>
          <w:rFonts w:ascii="Arial" w:cs="Arial" w:eastAsia="Arial" w:hAnsi="Arial"/>
          <w:sz w:val="18"/>
          <w:szCs w:val="18"/>
          <w:color w:val="auto"/>
        </w:rPr>
      </w:pPr>
    </w:p>
    <w:p>
      <w:pPr>
        <w:ind w:right="180" w:firstLine="2404"/>
        <w:spacing w:after="0" w:line="306" w:lineRule="auto"/>
        <w:tabs>
          <w:tab w:leader="none" w:pos="264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247" w:name="page248"/>
    <w:bookmarkEnd w:id="247"/>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Early Entry Eligible Employee’s Compensation for that portion of the Plan Year during which he was an Early Entry Eligible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171" w:lineRule="exact"/>
        <w:rPr>
          <w:sz w:val="20"/>
          <w:szCs w:val="20"/>
          <w:color w:val="auto"/>
        </w:rPr>
      </w:pPr>
    </w:p>
    <w:p>
      <w:pPr>
        <w:ind w:left="2180" w:hanging="232"/>
        <w:spacing w:after="0"/>
        <w:tabs>
          <w:tab w:leader="none" w:pos="21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General.</w:t>
      </w:r>
    </w:p>
    <w:p>
      <w:pPr>
        <w:spacing w:after="0" w:line="171" w:lineRule="exact"/>
        <w:rPr>
          <w:rFonts w:ascii="Arial" w:cs="Arial" w:eastAsia="Arial" w:hAnsi="Arial"/>
          <w:sz w:val="18"/>
          <w:szCs w:val="18"/>
          <w:color w:val="auto"/>
        </w:rPr>
      </w:pPr>
    </w:p>
    <w:p>
      <w:pPr>
        <w:ind w:right="320" w:firstLine="2404"/>
        <w:spacing w:after="0" w:line="268" w:lineRule="auto"/>
        <w:tabs>
          <w:tab w:leader="none" w:pos="26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131" w:lineRule="exact"/>
        <w:rPr>
          <w:rFonts w:ascii="Arial" w:cs="Arial" w:eastAsia="Arial" w:hAnsi="Arial"/>
          <w:sz w:val="18"/>
          <w:szCs w:val="18"/>
          <w:color w:val="auto"/>
        </w:rPr>
      </w:pPr>
    </w:p>
    <w:p>
      <w:pPr>
        <w:ind w:right="440" w:firstLine="2404"/>
        <w:spacing w:after="0" w:line="268" w:lineRule="auto"/>
        <w:tabs>
          <w:tab w:leader="none" w:pos="26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any member of an affiliated service group, as determined under section 414(m) of the Code, of which such Participating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is a member; and</w:t>
      </w:r>
    </w:p>
    <w:p>
      <w:pPr>
        <w:spacing w:after="0" w:line="164" w:lineRule="exact"/>
        <w:rPr>
          <w:rFonts w:ascii="Arial" w:cs="Arial" w:eastAsia="Arial" w:hAnsi="Arial"/>
          <w:sz w:val="16"/>
          <w:szCs w:val="16"/>
          <w:color w:val="auto"/>
        </w:rPr>
      </w:pPr>
    </w:p>
    <w:p>
      <w:pPr>
        <w:ind w:right="100" w:firstLine="2404"/>
        <w:spacing w:after="0" w:line="268" w:lineRule="auto"/>
        <w:tabs>
          <w:tab w:leader="none" w:pos="26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131" w:lineRule="exact"/>
        <w:rPr>
          <w:rFonts w:ascii="Arial" w:cs="Arial" w:eastAsia="Arial" w:hAnsi="Arial"/>
          <w:sz w:val="18"/>
          <w:szCs w:val="18"/>
          <w:color w:val="auto"/>
        </w:rPr>
      </w:pPr>
    </w:p>
    <w:p>
      <w:pPr>
        <w:ind w:firstLine="1948"/>
        <w:spacing w:after="0" w:line="259" w:lineRule="auto"/>
        <w:tabs>
          <w:tab w:leader="none" w:pos="218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140" w:lineRule="exact"/>
        <w:rPr>
          <w:rFonts w:ascii="Arial" w:cs="Arial" w:eastAsia="Arial" w:hAnsi="Arial"/>
          <w:sz w:val="18"/>
          <w:szCs w:val="18"/>
          <w:color w:val="auto"/>
        </w:rPr>
      </w:pPr>
    </w:p>
    <w:p>
      <w:pPr>
        <w:ind w:firstLine="1948"/>
        <w:spacing w:after="0" w:line="298" w:lineRule="auto"/>
        <w:tabs>
          <w:tab w:leader="none" w:pos="2179"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171" w:lineRule="exact"/>
        <w:rPr>
          <w:sz w:val="20"/>
          <w:szCs w:val="20"/>
          <w:color w:val="auto"/>
        </w:rPr>
      </w:pPr>
    </w:p>
    <w:p>
      <w:pPr>
        <w:ind w:right="34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After-Tax Matched Contributions</w:t>
      </w:r>
      <w:r>
        <w:rPr>
          <w:rFonts w:ascii="Arial" w:cs="Arial" w:eastAsia="Arial" w:hAnsi="Arial"/>
          <w:sz w:val="15"/>
          <w:szCs w:val="15"/>
          <w:color w:val="auto"/>
        </w:rPr>
        <w:t>” means an amount that a Participant who is a Covered Union Employee (Broadband) elects to have deducted from his or her Compensation, in accordance with Article IV, after income taxes have been withheld on such amounts (other than Roth Contributions).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48" w:name="page249"/>
    <w:bookmarkEnd w:id="248"/>
    <w:p>
      <w:pPr>
        <w:ind w:right="1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After-Tax Rollover Contributions</w:t>
      </w:r>
      <w:r>
        <w:rPr>
          <w:rFonts w:ascii="Arial" w:cs="Arial" w:eastAsia="Arial" w:hAnsi="Arial"/>
          <w:sz w:val="16"/>
          <w:szCs w:val="16"/>
          <w:color w:val="auto"/>
        </w:rPr>
        <w:t>” means a contribution to the Plan made in accordance with the rules of section 402 of the Code and pursuant to Section 7.1 of amounts which will not constitute taxable income to the Participant when distributed or withdrawn (other than Roth Rollover Contributions).</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(other than Roth Contributions). After-Tax Unmatched Contributions are not eligible for Broadband Heritage Matching Contributions.</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or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4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Benefit Base Rate</w:t>
      </w:r>
      <w:r>
        <w:rPr>
          <w:rFonts w:ascii="Arial" w:cs="Arial" w:eastAsia="Arial" w:hAnsi="Arial"/>
          <w:sz w:val="18"/>
          <w:szCs w:val="18"/>
          <w:color w:val="auto"/>
        </w:rPr>
        <w:t>” means, with respect to an Employee for a Plan Year, such Employee’s Base Pay for the applicable Plan Year plus commissions earned by such Employee during the applicable Plan Year. Annual Benefit Base Rate shall be subject to the annual dollar limitation set forth in section 401(a)(17) of the Code.</w:t>
      </w:r>
    </w:p>
    <w:p>
      <w:pPr>
        <w:spacing w:after="0" w:line="14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as reflected on the records of the Company. An employee’s Annual Rate of Pay shall not include sales commissions or other similar payments or awards.</w:t>
      </w:r>
    </w:p>
    <w:p>
      <w:pPr>
        <w:spacing w:after="0" w:line="132"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combination of Comcast Corporation and AT&amp;T Broadband Corp., which was consummated on November 18, 2002.</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3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Pay</w:t>
      </w:r>
      <w:r>
        <w:rPr>
          <w:rFonts w:ascii="Arial" w:cs="Arial" w:eastAsia="Arial" w:hAnsi="Arial"/>
          <w:sz w:val="18"/>
          <w:szCs w:val="18"/>
          <w:color w:val="auto"/>
        </w:rPr>
        <w:t>” means, with respect to an Employee for a Plan Year, regular wages actually paid to the Employee in respect of that Plan Year, including wages paid while on vacation or other paid time off (including wages in respect of floating holiday time retroactively taken and wages paid while on jury duty), flex time, call out pay, standby pay, shift differential and bereavement pay; and excluding overtime pay, pay in respect of any period while the Employee is on long-term or short-term disability, and bonus payments and other incentive compensation. Base Pay shall be subject to the annual dollar limitation set forth in section 401(a)(17) of the Code.</w:t>
      </w:r>
    </w:p>
    <w:p>
      <w:pPr>
        <w:spacing w:after="0" w:line="143"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249" w:name="page250"/>
    <w:bookmarkEnd w:id="249"/>
    <w:p>
      <w:pPr>
        <w:ind w:right="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and referenced as “Broadband Heritage Matching Contributions” pursuant to the Plan as in effect on December 31, 2009.</w:t>
      </w:r>
    </w:p>
    <w:p>
      <w:pPr>
        <w:spacing w:after="0" w:line="132"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xml:space="preserve">” means for any eligible Participant, contributions on his behalf as provided in Section 3.1.3 or in Section 3.1(b)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that are made in accordance with, and subject to the limitations of, section 414(v) of the Code.</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Retirement Contributions</w:t>
      </w:r>
      <w:r>
        <w:rPr>
          <w:rFonts w:ascii="Arial" w:cs="Arial" w:eastAsia="Arial" w:hAnsi="Arial"/>
          <w:sz w:val="18"/>
          <w:szCs w:val="18"/>
          <w:color w:val="auto"/>
        </w:rPr>
        <w:t>” means the amounts contributed by a Participating Company pursuant to Section 3.6.</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individuals appointed to supervise the administration of the Plan, as provided in Article X of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171" w:lineRule="exact"/>
        <w:rPr>
          <w:sz w:val="20"/>
          <w:szCs w:val="20"/>
          <w:color w:val="auto"/>
        </w:rPr>
      </w:pPr>
    </w:p>
    <w:p>
      <w:pPr>
        <w:ind w:firstLine="1948"/>
        <w:spacing w:after="0" w:line="254" w:lineRule="auto"/>
        <w:tabs>
          <w:tab w:leader="none" w:pos="217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as otherwise provided below in this definition, and subject to the limitations set forth in subsection (c) of this definition, his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for 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50" w:name="page251"/>
    <w:bookmarkEnd w:id="250"/>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140" w:lineRule="exact"/>
        <w:rPr>
          <w:sz w:val="20"/>
          <w:szCs w:val="20"/>
          <w:color w:val="auto"/>
        </w:rPr>
      </w:pPr>
    </w:p>
    <w:p>
      <w:pPr>
        <w:ind w:firstLine="1948"/>
        <w:spacing w:after="0" w:line="291" w:lineRule="auto"/>
        <w:tabs>
          <w:tab w:leader="none" w:pos="218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the purposes of Article XIII and Section 3.11, subject to the limitations set forth in subsection (c) of this definition, the Employee’s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Compensation shall include any elective deferral as defined by section 402(g)(3) of the Code, all employee 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120" w:lineRule="exact"/>
        <w:rPr>
          <w:rFonts w:ascii="Arial" w:cs="Arial" w:eastAsia="Arial" w:hAnsi="Arial"/>
          <w:sz w:val="16"/>
          <w:szCs w:val="16"/>
          <w:color w:val="auto"/>
        </w:rPr>
      </w:pPr>
    </w:p>
    <w:p>
      <w:pPr>
        <w:ind w:right="80" w:firstLine="1948"/>
        <w:spacing w:after="0" w:line="256" w:lineRule="auto"/>
        <w:tabs>
          <w:tab w:leader="none" w:pos="217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Only compensation not in excess of $255,000, as adjusted for cost-of-living increases in accordance with section 401(a)(17)(B) of the Code, shall be considered for all purposes under the Plan. The limitation described in this subsection (c) shall be applied beginning from the first day of the Plan Year regardless of whether the applicable Employee transfers employment between the NBCUniversal and its subsidiaries and the Company and its subsidiaries during such Plan Year.</w:t>
      </w:r>
    </w:p>
    <w:p>
      <w:pPr>
        <w:spacing w:after="0" w:line="143" w:lineRule="exact"/>
        <w:rPr>
          <w:rFonts w:ascii="Arial" w:cs="Arial" w:eastAsia="Arial" w:hAnsi="Arial"/>
          <w:sz w:val="18"/>
          <w:szCs w:val="18"/>
          <w:color w:val="auto"/>
        </w:rPr>
      </w:pPr>
    </w:p>
    <w:p>
      <w:pPr>
        <w:ind w:right="120" w:firstLine="1948"/>
        <w:spacing w:after="0" w:line="289" w:lineRule="auto"/>
        <w:tabs>
          <w:tab w:leader="none" w:pos="218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purposes of Article III, except Section 3.11,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118" w:lineRule="exact"/>
        <w:rPr>
          <w:rFonts w:ascii="Arial" w:cs="Arial" w:eastAsia="Arial" w:hAnsi="Arial"/>
          <w:sz w:val="16"/>
          <w:szCs w:val="16"/>
          <w:color w:val="auto"/>
        </w:rPr>
      </w:pPr>
    </w:p>
    <w:p>
      <w:pPr>
        <w:ind w:right="180" w:firstLine="1948"/>
        <w:spacing w:after="0" w:line="259" w:lineRule="auto"/>
        <w:tabs>
          <w:tab w:leader="none" w:pos="217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 the sum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51" w:name="page252"/>
    <w:bookmarkEnd w:id="251"/>
    <w:p>
      <w:pPr>
        <w:ind w:left="2660" w:hanging="256"/>
        <w:spacing w:after="0"/>
        <w:tabs>
          <w:tab w:leader="none" w:pos="26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Early Entry Eligible Employee’s Matching Contributions, plus</w:t>
      </w:r>
    </w:p>
    <w:p>
      <w:pPr>
        <w:spacing w:after="0" w:line="171" w:lineRule="exact"/>
        <w:rPr>
          <w:rFonts w:ascii="Arial" w:cs="Arial" w:eastAsia="Arial" w:hAnsi="Arial"/>
          <w:sz w:val="18"/>
          <w:szCs w:val="18"/>
          <w:color w:val="auto"/>
        </w:rPr>
      </w:pPr>
    </w:p>
    <w:p>
      <w:pPr>
        <w:jc w:val="both"/>
        <w:ind w:right="60" w:firstLine="2404"/>
        <w:spacing w:after="0" w:line="256" w:lineRule="auto"/>
        <w:tabs>
          <w:tab w:leader="none" w:pos="264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143" w:lineRule="exact"/>
        <w:rPr>
          <w:rFonts w:ascii="Arial" w:cs="Arial" w:eastAsia="Arial" w:hAnsi="Arial"/>
          <w:sz w:val="18"/>
          <w:szCs w:val="18"/>
          <w:color w:val="auto"/>
        </w:rPr>
      </w:pPr>
    </w:p>
    <w:p>
      <w:pPr>
        <w:jc w:val="both"/>
        <w:ind w:firstLine="2404"/>
        <w:spacing w:after="0" w:line="256" w:lineRule="auto"/>
        <w:tabs>
          <w:tab w:leader="none" w:pos="264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143" w:lineRule="exact"/>
        <w:rPr>
          <w:rFonts w:ascii="Arial" w:cs="Arial" w:eastAsia="Arial" w:hAnsi="Arial"/>
          <w:sz w:val="18"/>
          <w:szCs w:val="18"/>
          <w:color w:val="auto"/>
        </w:rPr>
      </w:pPr>
    </w:p>
    <w:p>
      <w:pPr>
        <w:ind w:left="2200" w:hanging="252"/>
        <w:spacing w:after="0"/>
        <w:tabs>
          <w:tab w:leader="none" w:pos="22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Early Entry Eligible Employee’s Compensation for that portion of the Plan Year during which he was an Early Entry Eligible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w:t>
      </w:r>
    </w:p>
    <w:p>
      <w:pPr>
        <w:spacing w:after="0" w:line="165" w:lineRule="exact"/>
        <w:rPr>
          <w:sz w:val="20"/>
          <w:szCs w:val="20"/>
          <w:color w:val="auto"/>
        </w:rPr>
      </w:pPr>
    </w:p>
    <w:p>
      <w:pPr>
        <w:ind w:right="60" w:firstLine="913"/>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xml:space="preserve">” means any Employee who is (a) employed by a Participating Company and designated on the books and records of such Participating Company as an employee and (b) not covered by a collective bargaining agreement, unless such agreement specifically provides for participation hereunder. Notwithstanding the preceding sentence, with respect to NBCUniversal, “Covered Employee” means (a) any Employee of NBCUniversal or its participating subsidiaries who is designated on the books and records of NBCUniversal or its applicable subsidiary as employed in a job classification, or who with respect to an individual whose employment is subject to a collective bargaining agreement, a collective bargaining unit that was eligible to participate in the NBCUniversal Pension Plan as of January 29, 2011 with respect to all of his or her compensation (subject to the then applicable limit under section 401(a)(17) of the Code), (b) any Employee of NBCUniversal or its participating subsidiaries hired by NBCUniversal on or after January 29, 2011 and on or before December 31, 2012 (including Employees of NBCUniversal who transferred employment directly from Comcast to NBCUniversal) who is designated on the books and records of NBCUniversal or its applicable subsidiary as employed in a job classification or, with respect to an individual whose employment is subject to a collective bargaining agreement, a collective bargaining unit that, as of December 31, 2012, was eligible to participate in the NBCU CAP for purposes of receiving Flexible Retirement Contributions, and (c) any Employee of NBCUniversal or its participating subsidiaries hired on or after January 1, 2013 who is designated on the books and records of NBCUniversal or its applicable subsidiary as employed in a job classification, or who with respect to an individual whose employment is subject to a collective bargaining agreement, a collective bargaining unit that is not eligible to participant in the NBCU CAP and who otherwise meets the eligible requirements of the Plan (including for this purpose Section 2.5 of </w:t>
      </w:r>
      <w:r>
        <w:rPr>
          <w:rFonts w:ascii="Arial" w:cs="Arial" w:eastAsia="Arial" w:hAnsi="Arial"/>
          <w:sz w:val="16"/>
          <w:szCs w:val="16"/>
          <w:u w:val="single" w:color="auto"/>
          <w:color w:val="auto"/>
        </w:rPr>
        <w:t>Exhibit B</w:t>
      </w:r>
      <w:r>
        <w:rPr>
          <w:rFonts w:ascii="Arial" w:cs="Arial" w:eastAsia="Arial" w:hAnsi="Arial"/>
          <w:sz w:val="16"/>
          <w:szCs w:val="16"/>
          <w:color w:val="auto"/>
        </w:rPr>
        <w:t>). The following individuals shall not be Covered Employees:</w:t>
      </w:r>
    </w:p>
    <w:p>
      <w:pPr>
        <w:spacing w:after="0" w:line="5" w:lineRule="exact"/>
        <w:rPr>
          <w:sz w:val="20"/>
          <w:szCs w:val="20"/>
          <w:color w:val="auto"/>
        </w:rPr>
      </w:pPr>
    </w:p>
    <w:p>
      <w:pPr>
        <w:ind w:right="100" w:firstLine="8"/>
        <w:spacing w:after="0" w:line="323" w:lineRule="auto"/>
        <w:tabs>
          <w:tab w:leader="none" w:pos="23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 Employee of NBCUniversal or its participating subsidiaries whose employment is governed by a collective bargaining agreement that is entered into on or after January 1, 2013 (including, for this purpose, the execution of an amendment to a collective bargaining agreement in effect on December 31,</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52" w:name="page253"/>
    <w:bookmarkEnd w:id="25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2012) which agreement does not specifically provide for participation in the Plan; (b) an individual who is treated as an Employee solely by reason of being a Leased Employee; (c) an individual who is not on an employee payroll of a Participating Company or the Participating Company does report such individual’s wages on Form W-2; (d)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(e) an individual who is not classified by the Participating Company as an employee, even if such individual is retroactively recharacterized as an employee by a third party or a Participating Company.</w:t>
      </w:r>
    </w:p>
    <w:p>
      <w:pPr>
        <w:spacing w:after="0" w:line="12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Attached as Appendix B to the Plan is a list of collective bargaining units the Employees covered by which are currently considered “Covered Employees” for purposes of the Plan (subject to the terms of the applicable collective bargaining agreement), as such Appendix B shall be revised from time to time without further action by the Committee to reflect necessary or appropriate updates to the list.</w:t>
      </w:r>
    </w:p>
    <w:p>
      <w:pPr>
        <w:spacing w:after="0" w:line="140"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Union Employee (Broadband)</w:t>
      </w:r>
      <w:r>
        <w:rPr>
          <w:rFonts w:ascii="Arial" w:cs="Arial" w:eastAsia="Arial" w:hAnsi="Arial"/>
          <w:sz w:val="16"/>
          <w:szCs w:val="16"/>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07"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2.2.1,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171"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2.2, whether or not he is an Active Participant, and who has remained a Covered Employee at all times thereafter.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individual who is employed by a Participating Company or an Affiliated Company or an individual who is a Leased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53" w:name="page254"/>
    <w:bookmarkEnd w:id="253"/>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 Date</w:t>
      </w:r>
      <w:r>
        <w:rPr>
          <w:rFonts w:ascii="Arial" w:cs="Arial" w:eastAsia="Arial" w:hAnsi="Arial"/>
          <w:sz w:val="18"/>
          <w:szCs w:val="18"/>
          <w:color w:val="auto"/>
        </w:rPr>
        <w:t>” means the first day of any calendar month.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paid.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Highly Compensated Early Entry Eligible Employee</w:t>
      </w:r>
      <w:r>
        <w:rPr>
          <w:rFonts w:ascii="Arial" w:cs="Arial" w:eastAsia="Arial" w:hAnsi="Arial"/>
          <w:sz w:val="16"/>
          <w:szCs w:val="16"/>
          <w:color w:val="auto"/>
        </w:rPr>
        <w:t>” means an Early Entry Eligible Employee who is (or is treated as) a Highly Compensated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171" w:lineRule="exact"/>
        <w:rPr>
          <w:sz w:val="20"/>
          <w:szCs w:val="20"/>
          <w:color w:val="auto"/>
        </w:rPr>
      </w:pPr>
    </w:p>
    <w:p>
      <w:pPr>
        <w:ind w:left="2180" w:hanging="232"/>
        <w:spacing w:after="0"/>
        <w:tabs>
          <w:tab w:leader="none" w:pos="2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was a five-percent owner, as defined in section 416(i) of the Code at any time during the Plan Year or preceding Plan Year; or</w:t>
      </w:r>
    </w:p>
    <w:p>
      <w:pPr>
        <w:spacing w:after="0" w:line="194" w:lineRule="exact"/>
        <w:rPr>
          <w:rFonts w:ascii="Arial" w:cs="Arial" w:eastAsia="Arial" w:hAnsi="Arial"/>
          <w:sz w:val="16"/>
          <w:szCs w:val="16"/>
          <w:color w:val="auto"/>
        </w:rPr>
      </w:pPr>
    </w:p>
    <w:p>
      <w:pPr>
        <w:ind w:left="2200" w:hanging="252"/>
        <w:spacing w:after="0"/>
        <w:tabs>
          <w:tab w:leader="none" w:pos="22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for the preceding Plan Year received more than $115,000 (as indexed) in Compensation from a Participating Company or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Affiliated Company.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171" w:lineRule="exact"/>
        <w:rPr>
          <w:sz w:val="20"/>
          <w:szCs w:val="20"/>
          <w:color w:val="auto"/>
        </w:rPr>
      </w:pPr>
    </w:p>
    <w:p>
      <w:pPr>
        <w:ind w:left="2180" w:hanging="232"/>
        <w:spacing w:after="0"/>
        <w:tabs>
          <w:tab w:leader="none" w:pos="2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171" w:lineRule="exact"/>
        <w:rPr>
          <w:rFonts w:ascii="Arial" w:cs="Arial" w:eastAsia="Arial" w:hAnsi="Arial"/>
          <w:sz w:val="18"/>
          <w:szCs w:val="18"/>
          <w:color w:val="auto"/>
        </w:rPr>
      </w:pPr>
    </w:p>
    <w:p>
      <w:pPr>
        <w:ind w:right="420" w:firstLine="2404"/>
        <w:spacing w:after="0" w:line="268" w:lineRule="auto"/>
        <w:tabs>
          <w:tab w:leader="none" w:pos="264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131" w:lineRule="exact"/>
        <w:rPr>
          <w:rFonts w:ascii="Arial" w:cs="Arial" w:eastAsia="Arial" w:hAnsi="Arial"/>
          <w:sz w:val="18"/>
          <w:szCs w:val="18"/>
          <w:color w:val="auto"/>
        </w:rPr>
      </w:pPr>
    </w:p>
    <w:p>
      <w:pPr>
        <w:ind w:right="60" w:firstLine="2404"/>
        <w:spacing w:after="0" w:line="268" w:lineRule="auto"/>
        <w:tabs>
          <w:tab w:leader="none" w:pos="264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hour for which he is entitled, either by award or agreement, to back pay from a Participating Company or an Affiliated Company, irrespective of mitigation of damages; or</w:t>
      </w:r>
    </w:p>
    <w:p>
      <w:pPr>
        <w:spacing w:after="0" w:line="131" w:lineRule="exact"/>
        <w:rPr>
          <w:rFonts w:ascii="Arial" w:cs="Arial" w:eastAsia="Arial" w:hAnsi="Arial"/>
          <w:sz w:val="18"/>
          <w:szCs w:val="18"/>
          <w:color w:val="auto"/>
        </w:rPr>
      </w:pPr>
    </w:p>
    <w:p>
      <w:pPr>
        <w:ind w:firstLine="2404"/>
        <w:spacing w:after="0" w:line="259" w:lineRule="auto"/>
        <w:tabs>
          <w:tab w:leader="none" w:pos="264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Anything to the contrary in subsection (a) notwithstanding:</w:t>
      </w:r>
    </w:p>
    <w:p>
      <w:pPr>
        <w:spacing w:after="0" w:line="171" w:lineRule="exact"/>
        <w:rPr>
          <w:rFonts w:ascii="Arial" w:cs="Arial" w:eastAsia="Arial" w:hAnsi="Arial"/>
          <w:sz w:val="18"/>
          <w:szCs w:val="18"/>
          <w:color w:val="auto"/>
        </w:rPr>
      </w:pPr>
    </w:p>
    <w:p>
      <w:pPr>
        <w:ind w:right="20" w:firstLine="2404"/>
        <w:spacing w:after="0" w:line="259" w:lineRule="auto"/>
        <w:tabs>
          <w:tab w:leader="none" w:pos="264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54" w:name="page255"/>
    <w:bookmarkEnd w:id="254"/>
    <w:p>
      <w:pPr>
        <w:ind w:right="20" w:firstLine="2404"/>
        <w:spacing w:after="0" w:line="268" w:lineRule="auto"/>
        <w:tabs>
          <w:tab w:leader="none" w:pos="26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131" w:lineRule="exact"/>
        <w:rPr>
          <w:rFonts w:ascii="Arial" w:cs="Arial" w:eastAsia="Arial" w:hAnsi="Arial"/>
          <w:sz w:val="18"/>
          <w:szCs w:val="18"/>
          <w:color w:val="auto"/>
        </w:rPr>
      </w:pPr>
    </w:p>
    <w:p>
      <w:pPr>
        <w:ind w:left="2660" w:hanging="256"/>
        <w:spacing w:after="0"/>
        <w:tabs>
          <w:tab w:leader="none" w:pos="26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 Hours of Service shall be credited to an Employee with respect to payments solely to reimburse for medical or medically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related expenses.</w:t>
      </w:r>
    </w:p>
    <w:p>
      <w:pPr>
        <w:spacing w:after="0" w:line="164" w:lineRule="exact"/>
        <w:rPr>
          <w:rFonts w:ascii="Arial" w:cs="Arial" w:eastAsia="Arial" w:hAnsi="Arial"/>
          <w:sz w:val="16"/>
          <w:szCs w:val="16"/>
          <w:color w:val="auto"/>
        </w:rPr>
      </w:pPr>
    </w:p>
    <w:p>
      <w:pPr>
        <w:ind w:left="2660" w:hanging="256"/>
        <w:spacing w:after="0"/>
        <w:tabs>
          <w:tab w:leader="none" w:pos="2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Hours of Service shall be credited at least as liberally as required by the rules set forth in U.S. Department of Labor Reg.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§2530.200b-2(b) and (c).</w:t>
      </w:r>
    </w:p>
    <w:p>
      <w:pPr>
        <w:spacing w:after="0" w:line="164" w:lineRule="exact"/>
        <w:rPr>
          <w:rFonts w:ascii="Arial" w:cs="Arial" w:eastAsia="Arial" w:hAnsi="Arial"/>
          <w:sz w:val="16"/>
          <w:szCs w:val="16"/>
          <w:color w:val="auto"/>
        </w:rPr>
      </w:pPr>
    </w:p>
    <w:p>
      <w:pPr>
        <w:ind w:right="240" w:firstLine="2404"/>
        <w:spacing w:after="0" w:line="259" w:lineRule="auto"/>
        <w:tabs>
          <w:tab w:leader="none" w:pos="26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4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Employee</w:t>
      </w:r>
      <w:r>
        <w:rPr>
          <w:rFonts w:ascii="Arial" w:cs="Arial" w:eastAsia="Arial" w:hAnsi="Arial"/>
          <w:sz w:val="16"/>
          <w:szCs w:val="16"/>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xml:space="preserve">” means the amounts contributed by the Company pursuant to Sections 3.5.1(a) and (b) or pursuant to Section 3.2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w:t>
      </w:r>
    </w:p>
    <w:p>
      <w:pPr>
        <w:spacing w:after="0" w:line="132"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CAP</w:t>
      </w:r>
      <w:r>
        <w:rPr>
          <w:rFonts w:ascii="Arial" w:cs="Arial" w:eastAsia="Arial" w:hAnsi="Arial"/>
          <w:sz w:val="18"/>
          <w:szCs w:val="18"/>
          <w:color w:val="auto"/>
        </w:rPr>
        <w:t>” means the NBCUniversal Capital Accumulation Plan, a defined contribution plan sponsored by NBCUniversal that is intended to meet the applicable requirements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55" w:name="page256"/>
    <w:bookmarkEnd w:id="2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NBCU Retirement Contributions</w:t>
      </w:r>
      <w:r>
        <w:rPr>
          <w:rFonts w:ascii="Arial" w:cs="Arial" w:eastAsia="Arial" w:hAnsi="Arial"/>
          <w:sz w:val="18"/>
          <w:szCs w:val="18"/>
          <w:color w:val="auto"/>
        </w:rPr>
        <w:t xml:space="preserve">” means the amounts contributed by a Participating Company pursuant to Section 3.3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17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xml:space="preserve">” means the Company, each subsidiary of the Company which is eligible to file a consolidated federal income tax return with the Company (except to the extent that the Board or its authorized delegate determines otherwise as reflected on </w:t>
      </w:r>
      <w:r>
        <w:rPr>
          <w:rFonts w:ascii="Arial" w:cs="Arial" w:eastAsia="Arial" w:hAnsi="Arial"/>
          <w:sz w:val="16"/>
          <w:szCs w:val="16"/>
          <w:u w:val="single" w:color="auto"/>
          <w:color w:val="auto"/>
        </w:rPr>
        <w:t>Exhibit A</w:t>
      </w:r>
      <w:r>
        <w:rPr>
          <w:rFonts w:ascii="Arial" w:cs="Arial" w:eastAsia="Arial" w:hAnsi="Arial"/>
          <w:sz w:val="16"/>
          <w:szCs w:val="16"/>
          <w:color w:val="auto"/>
        </w:rPr>
        <w:t>,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113" w:lineRule="exact"/>
        <w:rPr>
          <w:sz w:val="20"/>
          <w:szCs w:val="20"/>
          <w:color w:val="auto"/>
        </w:rPr>
      </w:pPr>
    </w:p>
    <w:p>
      <w:pPr>
        <w:ind w:left="2180" w:hanging="232"/>
        <w:spacing w:after="0"/>
        <w:tabs>
          <w:tab w:leader="none" w:pos="2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w:t>
      </w:r>
    </w:p>
    <w:p>
      <w:pPr>
        <w:spacing w:after="0" w:line="171" w:lineRule="exact"/>
        <w:rPr>
          <w:rFonts w:ascii="Arial" w:cs="Arial" w:eastAsia="Arial" w:hAnsi="Arial"/>
          <w:sz w:val="18"/>
          <w:szCs w:val="18"/>
          <w:color w:val="auto"/>
        </w:rPr>
      </w:pPr>
    </w:p>
    <w:p>
      <w:pPr>
        <w:ind w:left="2180" w:hanging="232"/>
        <w:spacing w:after="0"/>
        <w:tabs>
          <w:tab w:leader="none" w:pos="2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period beginning April 15, 2005, Strata Marketing, Inc.;</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the period beginning June 17, 2009 and ending December 31, 2009, New England Cable News and its subsidiaries; and</w:t>
      </w:r>
    </w:p>
    <w:p>
      <w:pPr>
        <w:spacing w:after="0" w:line="194" w:lineRule="exact"/>
        <w:rPr>
          <w:rFonts w:ascii="Arial" w:cs="Arial" w:eastAsia="Arial" w:hAnsi="Arial"/>
          <w:sz w:val="16"/>
          <w:szCs w:val="16"/>
          <w:color w:val="auto"/>
        </w:rPr>
      </w:pPr>
    </w:p>
    <w:p>
      <w:pPr>
        <w:ind w:left="2180" w:hanging="232"/>
        <w:spacing w:after="0"/>
        <w:tabs>
          <w:tab w:leader="none" w:pos="2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effective January 13, 2014, Leisure Arts, Inc.</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56" w:name="page257"/>
    <w:bookmarkEnd w:id="256"/>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each 12-consecutive month period that begins on January 1st and ends on the next following December 31st.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Matched Contributions are eligible for Matching Contributions.</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Unmatched Contributions are not eligible for Matching Contributions.</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Broadband Heritage Matching Contributions</w:t>
      </w:r>
      <w:r>
        <w:rPr>
          <w:rFonts w:ascii="Arial" w:cs="Arial" w:eastAsia="Arial" w:hAnsi="Arial"/>
          <w:sz w:val="18"/>
          <w:szCs w:val="18"/>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the applicable vesting schedule set forth in the Plan as in effect on December 31, 2009.</w:t>
      </w:r>
    </w:p>
    <w:p>
      <w:pPr>
        <w:spacing w:after="0" w:line="14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Company Matching Contributions (Unvested)</w:t>
      </w:r>
      <w:r>
        <w:rPr>
          <w:rFonts w:ascii="Arial" w:cs="Arial" w:eastAsia="Arial" w:hAnsi="Arial"/>
          <w:sz w:val="18"/>
          <w:szCs w:val="18"/>
          <w:color w:val="auto"/>
        </w:rPr>
        <w:t>” means amounts denominated as “Vision Contributions” under the Plan prior to the Effective Date and matching contributions made pursuant to the Plan prior to January 1, 2001. Such matching contributions are subject to the applicable vesting schedule set forth in the Plan as in effect on December 31, 2009.</w:t>
      </w:r>
    </w:p>
    <w:p>
      <w:pPr>
        <w:spacing w:after="0" w:line="140"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 (b) amounts credited to the account under the CCCHI Plan denominated as the United Artists Entertainment Company ESOP Account; (c) matching 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w:t>
      </w:r>
    </w:p>
    <w:p>
      <w:pPr>
        <w:spacing w:after="0" w:line="2" w:lineRule="exact"/>
        <w:rPr>
          <w:sz w:val="20"/>
          <w:szCs w:val="20"/>
          <w:color w:val="auto"/>
        </w:rPr>
      </w:pPr>
    </w:p>
    <w:p>
      <w:pPr>
        <w:ind w:left="5560" w:right="4000" w:hanging="5552"/>
        <w:spacing w:after="0" w:line="433" w:lineRule="auto"/>
        <w:tabs>
          <w:tab w:leader="none" w:pos="24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Lenfest Group Retirement Plan, and (3) the tax-qualified defined contribution plans of Greater Media. -16-</w:t>
      </w:r>
    </w:p>
    <w:p>
      <w:pPr>
        <w:sectPr>
          <w:pgSz w:w="11900" w:h="16838" w:orient="portrait"/>
          <w:cols w:equalWidth="0" w:num="1">
            <w:col w:w="11420"/>
          </w:cols>
          <w:pgMar w:left="240" w:top="280" w:right="239" w:bottom="1440" w:gutter="0" w:footer="0" w:header="0"/>
        </w:sectPr>
      </w:pPr>
    </w:p>
    <w:bookmarkStart w:id="257" w:name="page258"/>
    <w:bookmarkEnd w:id="25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Qualified Non-Elective Contributions</w:t>
      </w:r>
      <w:r>
        <w:rPr>
          <w:rFonts w:ascii="Arial" w:cs="Arial" w:eastAsia="Arial" w:hAnsi="Arial"/>
          <w:sz w:val="18"/>
          <w:szCs w:val="18"/>
          <w:color w:val="auto"/>
        </w:rPr>
        <w:t>” means contributions made pursuant to Section 3.10.4.</w:t>
      </w:r>
    </w:p>
    <w:p>
      <w:pPr>
        <w:spacing w:after="0" w:line="171"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171" w:lineRule="exact"/>
        <w:rPr>
          <w:sz w:val="20"/>
          <w:szCs w:val="20"/>
          <w:color w:val="auto"/>
        </w:rPr>
      </w:pPr>
    </w:p>
    <w:p>
      <w:pPr>
        <w:ind w:firstLine="1948"/>
        <w:spacing w:after="0" w:line="259" w:lineRule="auto"/>
        <w:tabs>
          <w:tab w:leader="none" w:pos="217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760" w:firstLine="1948"/>
        <w:spacing w:after="0" w:line="268" w:lineRule="auto"/>
        <w:tabs>
          <w:tab w:leader="none" w:pos="218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and is a 5-percent owner (within the meaning of section 416 of the Code) of a Participating Company, April 1 of the calendar year next following the calendar year in which he attains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60" w:firstLine="1948"/>
        <w:spacing w:after="0" w:line="268" w:lineRule="auto"/>
        <w:tabs>
          <w:tab w:leader="none" w:pos="217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means October 21, 2014.</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w:t>
      </w:r>
      <w:r>
        <w:rPr>
          <w:rFonts w:ascii="Arial" w:cs="Arial" w:eastAsia="Arial" w:hAnsi="Arial"/>
          <w:sz w:val="18"/>
          <w:szCs w:val="18"/>
          <w:color w:val="auto"/>
        </w:rPr>
        <w:t xml:space="preserve">” means contributions made pursuant to Section 3.1.4 or pursuant to Section 3.1(c)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in each case in lieu of Pre-Tax Catch-Up Contributions.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Contributions</w:t>
      </w:r>
      <w:r>
        <w:rPr>
          <w:rFonts w:ascii="Arial" w:cs="Arial" w:eastAsia="Arial" w:hAnsi="Arial"/>
          <w:sz w:val="18"/>
          <w:szCs w:val="18"/>
          <w:color w:val="auto"/>
        </w:rPr>
        <w:t>” means Roth Matched Contributions and Roth Unmatched Contributions.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Matched Contributions</w:t>
      </w:r>
      <w:r>
        <w:rPr>
          <w:rFonts w:ascii="Arial" w:cs="Arial" w:eastAsia="Arial" w:hAnsi="Arial"/>
          <w:sz w:val="18"/>
          <w:szCs w:val="18"/>
          <w:color w:val="auto"/>
        </w:rPr>
        <w:t xml:space="preserve">” means contributions made pursuant to Section 3.1.4 or pursuant to Section 3.1(c)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in each case in lieu of Pre-Tax Matched Contributions. Roth Matched Contributions are eligible for Matching Contributions.</w:t>
      </w:r>
    </w:p>
    <w:p>
      <w:pPr>
        <w:spacing w:after="0" w:line="132"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Rollover Contributions</w:t>
      </w:r>
      <w:r>
        <w:rPr>
          <w:rFonts w:ascii="Arial" w:cs="Arial" w:eastAsia="Arial" w:hAnsi="Arial"/>
          <w:sz w:val="16"/>
          <w:szCs w:val="16"/>
          <w:color w:val="auto"/>
        </w:rPr>
        <w:t>” means a contribution to the Plan made in accordance with the rules of section 402 of the Code and pursuant to Section 7.1 of amounts rolled over from a designated Roth contribution account under the 401(k) or 403(b) plan of a former employer.</w:t>
      </w:r>
    </w:p>
    <w:p>
      <w:pPr>
        <w:spacing w:after="0" w:line="85"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Unmatched Contributions</w:t>
      </w:r>
      <w:r>
        <w:rPr>
          <w:rFonts w:ascii="Arial" w:cs="Arial" w:eastAsia="Arial" w:hAnsi="Arial"/>
          <w:sz w:val="16"/>
          <w:szCs w:val="16"/>
          <w:color w:val="auto"/>
        </w:rPr>
        <w:t xml:space="preserve">” means contributions made pursuant to Section 3.1.4 or pursuant to Section 3.1(c)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 in each case in lieu of Pre-Tax Unmatched Contributions. Roth Unmatched Contributions are not eligible for Matching Contributions.</w:t>
      </w:r>
    </w:p>
    <w:p>
      <w:pPr>
        <w:spacing w:after="0" w:line="85"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from Service Date</w:t>
      </w:r>
      <w:r>
        <w:rPr>
          <w:rFonts w:ascii="Arial" w:cs="Arial" w:eastAsia="Arial" w:hAnsi="Arial"/>
          <w:sz w:val="16"/>
          <w:szCs w:val="16"/>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58" w:name="page259"/>
    <w:bookmarkEnd w:id="258"/>
    <w:p>
      <w:pPr>
        <w:ind w:firstLine="1948"/>
        <w:spacing w:after="0" w:line="256" w:lineRule="auto"/>
        <w:tabs>
          <w:tab w:leader="none" w:pos="2179"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143" w:lineRule="exact"/>
        <w:rPr>
          <w:rFonts w:ascii="Arial" w:cs="Arial" w:eastAsia="Arial" w:hAnsi="Arial"/>
          <w:sz w:val="18"/>
          <w:szCs w:val="18"/>
          <w:color w:val="auto"/>
        </w:rPr>
      </w:pPr>
    </w:p>
    <w:p>
      <w:pPr>
        <w:ind w:right="20" w:firstLine="1948"/>
        <w:spacing w:after="0" w:line="256" w:lineRule="auto"/>
        <w:tabs>
          <w:tab w:leader="none" w:pos="218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43" w:lineRule="exact"/>
        <w:rPr>
          <w:sz w:val="20"/>
          <w:szCs w:val="20"/>
          <w:color w:val="auto"/>
        </w:rPr>
      </w:pPr>
    </w:p>
    <w:p>
      <w:pPr>
        <w:ind w:right="32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Spouse</w:t>
      </w:r>
      <w:r>
        <w:rPr>
          <w:rFonts w:ascii="Arial" w:cs="Arial" w:eastAsia="Arial" w:hAnsi="Arial"/>
          <w:sz w:val="16"/>
          <w:szCs w:val="16"/>
          <w:color w:val="auto"/>
        </w:rPr>
        <w:t>” means the person to whom a Participant is legally married. For purposes of determining whether two individuals are legally married to each other, the applicable law of the jurisdiction in which such marriage took place shall apply. A Spouse shall include an individual of the same sex as the Participant, provided that the Participant and such other individual were legally married in a state whose laws authorize the marriage of two individuals of the same sex (regardless of whether the Participant and such other individual reside in a jurisdiction that authorizes or recognizes same-sex marriage).</w:t>
      </w:r>
    </w:p>
    <w:p>
      <w:pPr>
        <w:spacing w:after="0" w:line="11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Disability</w:t>
      </w:r>
      <w:r>
        <w:rPr>
          <w:rFonts w:ascii="Arial" w:cs="Arial" w:eastAsia="Arial" w:hAnsi="Arial"/>
          <w:sz w:val="16"/>
          <w:szCs w:val="16"/>
          <w:color w:val="auto"/>
        </w:rPr>
        <w:t>” means, with respect to any Participant, the earlier to occur of (a) the Participant qualifying for Social Security disability benefits or</w:t>
      </w:r>
    </w:p>
    <w:p>
      <w:pPr>
        <w:spacing w:after="0" w:line="38" w:lineRule="exact"/>
        <w:rPr>
          <w:sz w:val="20"/>
          <w:szCs w:val="20"/>
          <w:color w:val="auto"/>
        </w:rPr>
      </w:pPr>
    </w:p>
    <w:p>
      <w:pPr>
        <w:ind w:right="460" w:firstLine="8"/>
        <w:spacing w:after="0" w:line="261" w:lineRule="auto"/>
        <w:tabs>
          <w:tab w:leader="none" w:pos="24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Participant becoming eligible for and receiving benefits under a long-term disability program sponsored by a Participating Company or an Affiliated Company.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corporate trustee or trustees or one or more individuals collectively appointed and acting under a Trust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each day the New York Stock Exchange is open for trading, or such other day as the Committee shall determine.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Year of Service</w:t>
      </w:r>
      <w:r>
        <w:rPr>
          <w:rFonts w:ascii="Arial" w:cs="Arial" w:eastAsia="Arial" w:hAnsi="Arial"/>
          <w:sz w:val="16"/>
          <w:szCs w:val="16"/>
          <w:color w:val="auto"/>
        </w:rPr>
        <w:t>” means, for any Employee, a credit used to determine his vested status under the Plan, as further described in Section 6.2.</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59" w:name="page260"/>
    <w:bookmarkEnd w:id="25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TRANSITION AND ELIGIBILITY TO PARTICIPATE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2.2.1. Subject to Section 2.4, each Covered Employee as of the Restatement Date who was eligible to participate in the Plan immediately prior to the Restatement Date shall, for all purposes of the Plan applicable to that Covered Employee, continue to be an Eligible Employee as of the Effective Date.</w:t>
      </w:r>
    </w:p>
    <w:p>
      <w:pPr>
        <w:spacing w:after="0" w:line="8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2.2.2. Subject to Section 2.4, each Covered Employee who was not eligible to participate immediately prior to the Effective Date shall, for all purposes of the Plan applicable to that Covered Employee, become an Eligible Employee on the Entry Date next following his completion of a Period of Service of three months.</w:t>
      </w:r>
    </w:p>
    <w:p>
      <w:pPr>
        <w:spacing w:after="0" w:line="140"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2.2.3. If an individual is not a Covered Employee on the Entry Date next following the date he meets the requirements of Section 2.2.2, he shall become an Eligible Employee as of the first date thereafter on which he is a Covered Employee.</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2.2.4. If a Covered Employee does not satisfy the requirements of Section 2.2.2 prior to incurring a Severance from Service Date, but is rehired prior to incurring a One-Year Period of Severance, the prior Period of Service shall be considered for purposes of satisfying the requirements of Section 2.2.2. If the Covered Employee incurs a One-Year Period of Severance, his prior Period of Service shall not be considered upon a subsequent Reemployment Commencement Date.</w:t>
      </w:r>
    </w:p>
    <w:p>
      <w:pPr>
        <w:spacing w:after="0" w:line="143" w:lineRule="exact"/>
        <w:rPr>
          <w:sz w:val="20"/>
          <w:szCs w:val="20"/>
          <w:color w:val="auto"/>
        </w:rPr>
      </w:pPr>
    </w:p>
    <w:p>
      <w:pPr>
        <w:ind w:right="160" w:firstLine="913"/>
        <w:spacing w:after="0" w:line="370" w:lineRule="auto"/>
        <w:rPr>
          <w:sz w:val="20"/>
          <w:szCs w:val="20"/>
          <w:color w:val="auto"/>
        </w:rPr>
      </w:pPr>
      <w:r>
        <w:rPr>
          <w:rFonts w:ascii="Arial" w:cs="Arial" w:eastAsia="Arial" w:hAnsi="Arial"/>
          <w:sz w:val="15"/>
          <w:szCs w:val="15"/>
          <w:color w:val="auto"/>
        </w:rPr>
        <w:t>2.2.5.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 Each Eligible Employee may elect to make Pre-Tax Contributions or Roth Contributions and become an Active Participant by filing a notice of such election with the Committee in accordance with Section 14.9. Such notice shall authorize the Participating Company to reduce such Eligible Employee’s cash remuneration by an amount determined in accordance with Section 3.1 and to make Pre-Tax Contributions or Roth Contributions on such Eligible Employee’s behalf in the amount of such reduction. Such election shall be effective as soon as administratively practicable following receipt of his election by the Committee.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60" w:name="page261"/>
    <w:bookmarkEnd w:id="26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2.3.2.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or Roth Contributions and become an Active Participant pursuant to Section 2.3 will be automatically enrolled in the Plan on the Entry Date next following his completion of the Plan’s eligibility requirements,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One-Year Period of Severance are considered newly Eligible Employees for purposes of the automatic enrollment provisions described in this Section 2.3.2. Covered Employees who are designated by the Committee or its delegate as having been reemployed by a Participating Company prior to having incurred a One-Year Period of Severance will be automatically re-enrolled in the Plan at the Pre-Tax Contribution rate in effect for such Employee on his Severance from Service Date.</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Eligibility to Participate – After-Tax Contributions</w:t>
      </w:r>
      <w:r>
        <w:rPr>
          <w:rFonts w:ascii="Arial" w:cs="Arial" w:eastAsia="Arial" w:hAnsi="Arial"/>
          <w:sz w:val="18"/>
          <w:szCs w:val="18"/>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2.3.</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61" w:name="page262"/>
    <w:bookmarkEnd w:id="261"/>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CONTRIBUTIONS TO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3.1.1. When an Eligible Employee files an election under Section 2.3 to have Pre-Tax Contributions made on his behalf, he shall elect the percentage by which his Compensation shall be reduced on account of such Pre-Tax Contributions. Subject to Section 3.9, this percentage may be between one percent (1%) and fifty percent (50%) of such Compensation, rounded to the nearer half percentage (0.5%). An automatically enrolled Eligible Employee’s Pre-Tax Contributions will, unless and until changed or discontinued by the Eligible Employee in accordance with Sections 3.2 or 3.3 and subject to Section 3.10, be equal to three percent (3%) (or, in the case of an Eligible Employee automatically enrolled prior to January 1, 2013, 2% ) of the Eligible Employee’s Compensation in the first Plan Year in which such Eligible Employee is automatically enrolled in the Plan. The Pre-Tax Contribution percentage of an Eligible Employee hired on or after January 1, 2013 will, unless otherwise elected by the Eligible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3.10.</w:t>
      </w:r>
    </w:p>
    <w:p>
      <w:pPr>
        <w:spacing w:after="0" w:line="127" w:lineRule="exact"/>
        <w:rPr>
          <w:sz w:val="20"/>
          <w:szCs w:val="20"/>
          <w:color w:val="auto"/>
        </w:rPr>
      </w:pPr>
    </w:p>
    <w:p>
      <w:pPr>
        <w:ind w:right="320" w:firstLine="913"/>
        <w:spacing w:after="0" w:line="306" w:lineRule="auto"/>
        <w:rPr>
          <w:sz w:val="20"/>
          <w:szCs w:val="20"/>
          <w:color w:val="auto"/>
        </w:rPr>
      </w:pPr>
      <w:r>
        <w:rPr>
          <w:rFonts w:ascii="Arial" w:cs="Arial" w:eastAsia="Arial" w:hAnsi="Arial"/>
          <w:sz w:val="16"/>
          <w:szCs w:val="16"/>
          <w:color w:val="auto"/>
        </w:rPr>
        <w:t>3.1.2. Pre-Tax Contributions made on behalf of an Eligible Employee under this Plan, together with elective deferrals under any other plan or arrangement maintained by any Participating Company or Affiliated Company, shall not exceed $17,500 (as adjusted in accordance with section 402(g) of the Code and regulations thereunder) for any calendar year. To the extent necessary to satisfy this limitation for any year:</w:t>
      </w:r>
    </w:p>
    <w:p>
      <w:pPr>
        <w:spacing w:after="0" w:line="107" w:lineRule="exact"/>
        <w:rPr>
          <w:sz w:val="20"/>
          <w:szCs w:val="20"/>
          <w:color w:val="auto"/>
        </w:rPr>
      </w:pPr>
    </w:p>
    <w:p>
      <w:pPr>
        <w:ind w:left="1740" w:hanging="248"/>
        <w:spacing w:after="0"/>
        <w:tabs>
          <w:tab w:leader="none" w:pos="17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171" w:lineRule="exact"/>
        <w:rPr>
          <w:rFonts w:ascii="Arial" w:cs="Arial" w:eastAsia="Arial" w:hAnsi="Arial"/>
          <w:sz w:val="18"/>
          <w:szCs w:val="18"/>
          <w:color w:val="auto"/>
        </w:rPr>
      </w:pPr>
    </w:p>
    <w:p>
      <w:pPr>
        <w:ind w:right="40" w:firstLine="1492"/>
        <w:spacing w:after="0" w:line="306" w:lineRule="auto"/>
        <w:tabs>
          <w:tab w:leader="none" w:pos="173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3.10.1 for the year) shall be paid to the Participant on or before the April 15 first following the calendar year in which such contributions were made.</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62" w:name="page263"/>
    <w:bookmarkEnd w:id="262"/>
    <w:p>
      <w:pPr>
        <w:ind w:right="1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3.1.3. </w:t>
      </w:r>
      <w:r>
        <w:rPr>
          <w:rFonts w:ascii="Arial" w:cs="Arial" w:eastAsia="Arial" w:hAnsi="Arial"/>
          <w:sz w:val="16"/>
          <w:szCs w:val="16"/>
          <w:u w:val="single" w:color="auto"/>
          <w:color w:val="auto"/>
        </w:rPr>
        <w:t>Catch-Up Contributions</w:t>
      </w:r>
      <w:r>
        <w:rPr>
          <w:rFonts w:ascii="Arial" w:cs="Arial" w:eastAsia="Arial" w:hAnsi="Arial"/>
          <w:sz w:val="16"/>
          <w:szCs w:val="16"/>
          <w:color w:val="auto"/>
        </w:rPr>
        <w:t>. Eligible Employees who have attained Age 50 before the close of any Plan Year shall be eligible to make Catch-Up Contributions. Catch-Up Contributions shall be expressed as a percentage of Compensation between one percent (1%) and thirty percent (30%) (rounded to the nearer half percentage (0.5%)).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3.5.</w:t>
      </w:r>
    </w:p>
    <w:p>
      <w:pPr>
        <w:spacing w:after="0" w:line="12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Catch-Up Contributions the Participant is otherwise eligible to make under the Plan, Roth Contributions and/or Roth Catch-Up Contributions to the Plan. Such Roth Contributions and Roth Catch-Up Contributions shall be allocated to the Eligible Employee’s Roth Matched Contribution Account, Roth Unmatched Contribution Account or Roth Catch-Up Contribution Account, as applicable. Roth Contributions and Roth Catch-Up Contributions shall be: (a) irrevocably designated as such by the Eligible Employee at the time of the election described in Sections 2.3 and 3.1.3 that is being made in lieu of all or a portion of the Pre-Tax Contribution and/or Catch-Up Contributions the Eligible Employee is otherwise eligible to make under the Plan; and (b) treated by the Participating Company as includible in the Eligible Employee’s income at the time the Participant would have received that amount in cash if the Eligible Employee had not made an election described in Sections 2.3 or 3.1.3 of the Plan. Unless specifically stated otherwise, Roth Contributions shall be treated as Pre-Tax Contributions for all purposes of the Plan (including, without limitation, Matching Contributions under Section 3.5) and Roth Catch-Up Contributions shall be treated as Catch-Up Contributions for all purposes of the Plan.</w:t>
      </w:r>
    </w:p>
    <w:p>
      <w:pPr>
        <w:spacing w:after="0" w:line="123"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After-Tax Contributions</w:t>
      </w:r>
      <w:r>
        <w:rPr>
          <w:rFonts w:ascii="Arial" w:cs="Arial" w:eastAsia="Arial" w:hAnsi="Arial"/>
          <w:sz w:val="16"/>
          <w:szCs w:val="16"/>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3.1.3, 3.1.4 and/or 3.2, as applicable, to any percentage permitted by Sections 3.1.1, 3.1.3, 3.1.4 or 3.2, and such percentage shall remain in effect until so changed. Any such change shall become effective as soon as administratively practicable following receipt of the change by the Committee.</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Discontinuance of Pre-Tax Contributions, Roth Contributions and After-Tax Contributions</w:t>
      </w:r>
      <w:r>
        <w:rPr>
          <w:rFonts w:ascii="Arial" w:cs="Arial" w:eastAsia="Arial" w:hAnsi="Arial"/>
          <w:sz w:val="16"/>
          <w:szCs w:val="16"/>
          <w:color w:val="auto"/>
        </w:rPr>
        <w:t>. A Participant may discontinue his Pre-Tax Contributions, Roth Contributions, Catch-Up Contributions, Roth Catch-Up Contributions or After-Tax Contributions at any time. Such discontinuance shall become effective as soon as administratively practicable following receipt of the discontinuance by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3" w:name="page264"/>
    <w:bookmarkEnd w:id="2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3.5.1. Subject to Sections 2.2, 3.5.1(c), 3.9 and 3.10, the Participating Company shall contribute to the Fund for each Payroll Period:</w:t>
      </w:r>
    </w:p>
    <w:p>
      <w:pPr>
        <w:spacing w:after="0" w:line="194" w:lineRule="exact"/>
        <w:rPr>
          <w:sz w:val="20"/>
          <w:szCs w:val="20"/>
          <w:color w:val="auto"/>
        </w:rPr>
      </w:pPr>
    </w:p>
    <w:p>
      <w:pPr>
        <w:ind w:right="40" w:firstLine="1492"/>
        <w:spacing w:after="0" w:line="284" w:lineRule="auto"/>
        <w:tabs>
          <w:tab w:leader="none" w:pos="172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with respect to each Active Participant (other than an Active Participant who is a Covered Union Employee (Comcast) and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four and one-half percent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of his Compensation for such Payroll Period; and</w:t>
      </w:r>
    </w:p>
    <w:p>
      <w:pPr>
        <w:spacing w:after="0" w:line="164" w:lineRule="exact"/>
        <w:rPr>
          <w:rFonts w:ascii="Arial" w:cs="Arial" w:eastAsia="Arial" w:hAnsi="Arial"/>
          <w:sz w:val="16"/>
          <w:szCs w:val="16"/>
          <w:color w:val="auto"/>
        </w:rPr>
      </w:pPr>
    </w:p>
    <w:p>
      <w:pPr>
        <w:ind w:right="120" w:firstLine="1492"/>
        <w:spacing w:after="0" w:line="256" w:lineRule="auto"/>
        <w:tabs>
          <w:tab w:leader="none" w:pos="17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 respect to each Active Participant who is a Covered Union Employee (Comcast) and who is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six percent (6%) of his Compensation for such Payroll Period.</w:t>
      </w:r>
    </w:p>
    <w:p>
      <w:pPr>
        <w:spacing w:after="0" w:line="143" w:lineRule="exact"/>
        <w:rPr>
          <w:rFonts w:ascii="Arial" w:cs="Arial" w:eastAsia="Arial" w:hAnsi="Arial"/>
          <w:sz w:val="18"/>
          <w:szCs w:val="18"/>
          <w:color w:val="auto"/>
        </w:rPr>
      </w:pPr>
    </w:p>
    <w:p>
      <w:pPr>
        <w:ind w:firstLine="1492"/>
        <w:spacing w:after="0" w:line="287" w:lineRule="auto"/>
        <w:tabs>
          <w:tab w:leader="none" w:pos="172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Notwithstanding Section 3.5.1(a) or (b),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Notwithstanding the foregoing, the maximum total Matching Contribution for any Plan Year for any Participant shall be $10,000 if such Participant is both (i) a Highly Compensated Employee (other than a Covered Union Employee (Comcast) or a Covered Union Employee (Broadband))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as of the first day of such Plan Year (or, if later, the applicable Participant’s Employment Commencement Date or Reemployment Commencement Date), eligible to contribute to the Comcast Corporation 2005 Deferred Compensation Plan.</w:t>
      </w:r>
    </w:p>
    <w:p>
      <w:pPr>
        <w:spacing w:after="0" w:line="123"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may be prospectively limited as provided in</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Section 3.10.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80" w:right="319" w:bottom="1440" w:gutter="0" w:footer="0" w:header="0"/>
        </w:sectPr>
      </w:pPr>
    </w:p>
    <w:bookmarkStart w:id="264" w:name="page265"/>
    <w:bookmarkEnd w:id="2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3.6. </w:t>
      </w:r>
      <w:r>
        <w:rPr>
          <w:rFonts w:ascii="Arial" w:cs="Arial" w:eastAsia="Arial" w:hAnsi="Arial"/>
          <w:sz w:val="18"/>
          <w:szCs w:val="18"/>
          <w:u w:val="single" w:color="auto"/>
          <w:color w:val="auto"/>
        </w:rPr>
        <w:t>Comcast Retirement Contributions</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3.6.1. </w:t>
      </w:r>
      <w:r>
        <w:rPr>
          <w:rFonts w:ascii="Arial" w:cs="Arial" w:eastAsia="Arial" w:hAnsi="Arial"/>
          <w:sz w:val="15"/>
          <w:szCs w:val="15"/>
          <w:u w:val="single" w:color="auto"/>
          <w:color w:val="auto"/>
        </w:rPr>
        <w:t>Contribution</w:t>
      </w:r>
      <w:r>
        <w:rPr>
          <w:rFonts w:ascii="Arial" w:cs="Arial" w:eastAsia="Arial" w:hAnsi="Arial"/>
          <w:sz w:val="15"/>
          <w:szCs w:val="15"/>
          <w:color w:val="auto"/>
        </w:rPr>
        <w:t>. With respect to each Plan Year, the Participating Companies may, in the discretion of the Company and subject to the limitations of Section 3.11 of the Plan, contribute to the Fund, for each Eligible Employee described in Section 3.6.2 below, an additional amount of up to 1% of such Eligible Employee’s Base Pay (or, in the case of an Eligible Employee eligible to receive commission-based compensation, such Eligible Employee’s Annual Benefit Base Rate) for the applicable the Plan Year. The determination of whether a Comcast Retirement Contribution will be allocated to Eligible Employees for a particular Plan Year shall be made by the EVP no later than the date on which such contribution may be declared and remain attributable to such Plan Year.</w:t>
      </w:r>
    </w:p>
    <w:p>
      <w:pPr>
        <w:spacing w:after="0" w:line="10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 xml:space="preserve">3.6.2.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is eligible to receive a Comcast Retirement Contribution for a particular Plan Year in accordance with Section 3.6.1 above if such Employee meets each of the conditions described in (a), (b) and (c) below:</w:t>
      </w:r>
    </w:p>
    <w:p>
      <w:pPr>
        <w:spacing w:after="0" w:line="132" w:lineRule="exact"/>
        <w:rPr>
          <w:sz w:val="20"/>
          <w:szCs w:val="20"/>
          <w:color w:val="auto"/>
        </w:rPr>
      </w:pPr>
    </w:p>
    <w:p>
      <w:pPr>
        <w:ind w:left="1740" w:hanging="248"/>
        <w:spacing w:after="0"/>
        <w:tabs>
          <w:tab w:leader="none" w:pos="17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Such Employee’s Employment Commencement Date occurs prior to October 1</w:t>
      </w:r>
      <w:r>
        <w:rPr>
          <w:rFonts w:ascii="Arial" w:cs="Arial" w:eastAsia="Arial" w:hAnsi="Arial"/>
          <w:sz w:val="11"/>
          <w:szCs w:val="11"/>
          <w:color w:val="auto"/>
        </w:rPr>
        <w:t>st</w:t>
      </w:r>
      <w:r>
        <w:rPr>
          <w:rFonts w:ascii="Arial" w:cs="Arial" w:eastAsia="Arial" w:hAnsi="Arial"/>
          <w:sz w:val="18"/>
          <w:szCs w:val="18"/>
          <w:color w:val="auto"/>
        </w:rPr>
        <w:t xml:space="preserve"> of the applicable Plan Year;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Such Employee is an Employee on the last day of the applicable Plan Year (including an Employee on an approved leave of absence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such date); and</w:t>
      </w:r>
    </w:p>
    <w:p>
      <w:pPr>
        <w:spacing w:after="0" w:line="165" w:lineRule="exact"/>
        <w:rPr>
          <w:sz w:val="20"/>
          <w:szCs w:val="20"/>
          <w:color w:val="auto"/>
        </w:rPr>
      </w:pPr>
    </w:p>
    <w:p>
      <w:pPr>
        <w:ind w:left="1740" w:hanging="248"/>
        <w:spacing w:after="0"/>
        <w:tabs>
          <w:tab w:leader="none" w:pos="17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Such Employee is not (i) eligible to participate in the Comcast Corporation 2005 Deferred Compensation Plan (or any successor Plan),</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Highly Compensated Employee for the applicable Plan Year, (iii) an Eligible Employee with an Employment Commencement Date or Reemployment</w:t>
      </w:r>
    </w:p>
    <w:p>
      <w:pPr>
        <w:spacing w:after="0" w:line="32" w:lineRule="exact"/>
        <w:rPr>
          <w:rFonts w:ascii="Arial" w:cs="Arial" w:eastAsia="Arial" w:hAnsi="Arial"/>
          <w:sz w:val="16"/>
          <w:szCs w:val="16"/>
          <w:color w:val="auto"/>
        </w:rPr>
      </w:pPr>
    </w:p>
    <w:p>
      <w:pPr>
        <w:ind w:right="160"/>
        <w:spacing w:after="0" w:line="292" w:lineRule="auto"/>
        <w:rPr>
          <w:rFonts w:ascii="Arial" w:cs="Arial" w:eastAsia="Arial" w:hAnsi="Arial"/>
          <w:sz w:val="16"/>
          <w:szCs w:val="16"/>
          <w:color w:val="auto"/>
        </w:rPr>
      </w:pPr>
      <w:r>
        <w:rPr>
          <w:rFonts w:ascii="Arial" w:cs="Arial" w:eastAsia="Arial" w:hAnsi="Arial"/>
          <w:sz w:val="16"/>
          <w:szCs w:val="16"/>
          <w:color w:val="auto"/>
        </w:rPr>
        <w:t>Commencement Date during the applicable Plan Year whose Annual Rate of Pay is greater than the annual dollar amount set forth in section 414(q)(1)(B)(i) of the Code for purposes of determining Highly Compensated Employees for the applicable Plan Year, or (iv) an Eligible Employee with an Employment Commencement Date or Reemployment Commencement Date during the immediately preceding Plan Year whose Annual Rate of Pay for both the immediately preceding Plan Year and the applicable Plan Year is greater than the annual dollar amount set forth in section 414(q)(1)(B)(i) of the Code for purposes of determining Highly Compensated Employees for the applicable Plan Year.</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event that an Employee is eligible to receive an allocation of the Comcast Retirement Contribution for a particular Plan Year pursuant to the conditions described above and such Employee is employed by NBCUniversal or one of its subsidiaries as of the last day of the Plan Year due to a transfer of employment from the Company or one of its subsidiaries (other than NBCUniversal and its subsidiaries) during such Plan Year, such eligible Employee’s allocation of the Comcast Retirement Contribution for that Plan Year will be determined solely with respect to the Base Pay (or Annual Benefit Base Rate, as applicable) received by such Employee for the portion of the Plan Year he or she was employed by the Company or one of its subsidiaries (other than NBCUniversal and its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5" w:name="page266"/>
    <w:bookmarkEnd w:id="265"/>
    <w:p>
      <w:pPr>
        <w:jc w:val="both"/>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an Employee who is otherwise eligible to receive an allocation of the Comcast Retirement Contribution for a Plan Year may elect to not receive such allocation provided (i) such Employee has a sincere religious objection to receiving such contribution and (ii) not later than the last day of the Plan Year to which such contribution relates, such Employee executes a waiver in a form provided by the Committee pursuant to which such Employee elects not to receive an allocation of the Comcast Retirement Contribution and releases the Plan, the Company and their respective affiliates from any and all claims related to not receiving such allocation.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Timing and Deductibility of Contributions</w:t>
      </w:r>
      <w:r>
        <w:rPr>
          <w:rFonts w:ascii="Arial" w:cs="Arial" w:eastAsia="Arial" w:hAnsi="Arial"/>
          <w:sz w:val="16"/>
          <w:szCs w:val="16"/>
          <w:color w:val="auto"/>
        </w:rPr>
        <w:t>. Participating Company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Catch-Up Contributions, Roth Contributions, Roth Catch-Up Contributions, After-Tax Rollover Contributions, Taxable Rollover Contributions, and Roth Rollover Contributions will be remitted to the Trustee as soon as practicable.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Fund</w:t>
      </w:r>
      <w:r>
        <w:rPr>
          <w:rFonts w:ascii="Arial" w:cs="Arial" w:eastAsia="Arial" w:hAnsi="Arial"/>
          <w:sz w:val="16"/>
          <w:szCs w:val="16"/>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3.9.1. For any Plan Year, the Average Actual Deferral Percentage for the Highly Compensated Early Entry Eligible Employees for the current Plan Year shall not exceed the greater of:</w:t>
      </w:r>
    </w:p>
    <w:p>
      <w:pPr>
        <w:spacing w:after="0" w:line="132" w:lineRule="exact"/>
        <w:rPr>
          <w:sz w:val="20"/>
          <w:szCs w:val="20"/>
          <w:color w:val="auto"/>
        </w:rPr>
      </w:pPr>
    </w:p>
    <w:p>
      <w:pPr>
        <w:ind w:left="1740" w:hanging="248"/>
        <w:spacing w:after="0"/>
        <w:tabs>
          <w:tab w:leader="none" w:pos="17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one hundred twenty-five percent (125%) of the Average Actual Deferral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 or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two hundred percent (200%) of the Average Actual Deferral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 or</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two percent (2%) plus the Average Actual Deferral Percentage for all other Early Entry Eligible Employees for the preceding Plan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66" w:name="page267"/>
    <w:bookmarkEnd w:id="266"/>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3.9.2. For any Plan Year, the Average Contribution Percentage for the Highly Compensated Early Entry Eligible Employees for the current Plan Year shall not exceed the greater of:</w:t>
      </w:r>
    </w:p>
    <w:p>
      <w:pPr>
        <w:spacing w:after="0" w:line="132" w:lineRule="exact"/>
        <w:rPr>
          <w:sz w:val="20"/>
          <w:szCs w:val="20"/>
          <w:color w:val="auto"/>
        </w:rPr>
      </w:pPr>
    </w:p>
    <w:p>
      <w:pPr>
        <w:ind w:left="1740" w:hanging="248"/>
        <w:spacing w:after="0"/>
        <w:tabs>
          <w:tab w:leader="none" w:pos="17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one hundred twenty-five percent (125%) of the Average Contribution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 or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two hundred percent (200%) of the Average Contribution Percentage for all other Early Entry Eligible Employees for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preceding Plan Year; or</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two percent (2%) plus the Average Contribution Percentage for all other Early Entry Eligible Employees for the preceding Plan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165"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3.9.3. If the Plan and any other plan(s) maintained by a Participating Company or an Affiliated Company are treated as a single plan for purposes of section 401(a)(4) or section 410(b) of the Code, the limitations in Sections 3.9.1 and 3.9.2 shall be applied by treating the Plan and such other plan(s) as a single plan.</w:t>
      </w:r>
    </w:p>
    <w:p>
      <w:pPr>
        <w:spacing w:after="0" w:line="14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3.9.4. The application of this Section shall satisfy sections 401(k) and 401(m) of the Code and regulations thereunder and such other requirements as may be prescribed by the Secretary of the Treasury.</w:t>
      </w:r>
    </w:p>
    <w:p>
      <w:pPr>
        <w:spacing w:after="0" w:line="132"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3.9.5. The test set forth in Section 3.9.1 must be satisfied separately with respect to (1) Early Entry Eligible Employees who are not covered by a collective bargaining agreement and (2) Early Entry Eligible Employees who are covered by a collective bargaining agreement. The test set forth in Section 3.9.2 must be satisfied only with respect to Early Entry Eligible Employees who are not covered by a collective bargaining agreement.</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Prevention of Violation of Limitation on Pre-Tax Contributions and Matching Contributions</w:t>
      </w:r>
      <w:r>
        <w:rPr>
          <w:rFonts w:ascii="Arial" w:cs="Arial" w:eastAsia="Arial" w:hAnsi="Arial"/>
          <w:sz w:val="16"/>
          <w:szCs w:val="16"/>
          <w:color w:val="auto"/>
        </w:rPr>
        <w:t>. The Committee shall monitor the level of Participants’ Pre-Tax Contributions, Matching Contributions and elective deferrals, employee contributions, and employer matching contributions under any other qualified retirement plan maintained by a Participating Company or any Affiliated Company to insure against exceeding the limits of Section 3.9.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3.9.1 and/or</w:t>
      </w:r>
    </w:p>
    <w:p>
      <w:pPr>
        <w:spacing w:after="0" w:line="2" w:lineRule="exact"/>
        <w:rPr>
          <w:sz w:val="20"/>
          <w:szCs w:val="20"/>
          <w:color w:val="auto"/>
        </w:rPr>
      </w:pPr>
    </w:p>
    <w:p>
      <w:pPr>
        <w:ind w:right="20" w:firstLine="8"/>
        <w:spacing w:after="0" w:line="302" w:lineRule="auto"/>
        <w:tabs>
          <w:tab w:leader="none" w:pos="25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some or all of the Highly Compensated Early Entry Eligible Employees’ Matching Contributions to reduce the Average Contribution Percentage of the Highly Compensated Early Entry Eligible Employees to the extent necessary to satisfy Section 3.9.2. If the Committee determines after the end of the Plan Year that the limits of Section 3.9 may be or have been exceeded, it shall take the appropriate following action for such Plan Year: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7" w:name="page268"/>
    <w:bookmarkEnd w:id="267"/>
    <w:p>
      <w:pPr>
        <w:ind w:right="4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3.10.1.(a) The Average Actual Deferral Percentage for the Highly Compensated Early Entry Eligible Employees shall be reduced to the extent necessary to satisfy Section 3.9.1.</w:t>
      </w:r>
    </w:p>
    <w:p>
      <w:pPr>
        <w:spacing w:after="0" w:line="132" w:lineRule="exact"/>
        <w:rPr>
          <w:sz w:val="20"/>
          <w:szCs w:val="20"/>
          <w:color w:val="auto"/>
        </w:rPr>
      </w:pPr>
    </w:p>
    <w:p>
      <w:pPr>
        <w:ind w:firstLine="1492"/>
        <w:spacing w:after="0" w:line="291" w:lineRule="auto"/>
        <w:tabs>
          <w:tab w:leader="none" w:pos="173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3.9.1 to be satisfied, if each Highly Compensated Early Entry Eligible Employee with a higher Actual Deferral Percentage had instead the adjusted maximum Actual Deferral Percentage, reducing the Highly Compensated 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120" w:lineRule="exact"/>
        <w:rPr>
          <w:rFonts w:ascii="Arial" w:cs="Arial" w:eastAsia="Arial" w:hAnsi="Arial"/>
          <w:sz w:val="16"/>
          <w:szCs w:val="16"/>
          <w:color w:val="auto"/>
        </w:rPr>
      </w:pPr>
    </w:p>
    <w:p>
      <w:pPr>
        <w:ind w:right="20" w:firstLine="1492"/>
        <w:spacing w:after="0" w:line="291" w:lineRule="auto"/>
        <w:tabs>
          <w:tab w:leader="none" w:pos="172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120"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3.10.2.(a) The Average Contribution Percentage for the Highly Compensated Early Entry Eligible Employees shall be reduced to the extent necessary to satisfy at least one of the tests in Section 3.9.2.</w:t>
      </w:r>
    </w:p>
    <w:p>
      <w:pPr>
        <w:spacing w:after="0" w:line="132" w:lineRule="exact"/>
        <w:rPr>
          <w:sz w:val="20"/>
          <w:szCs w:val="20"/>
          <w:color w:val="auto"/>
        </w:rPr>
      </w:pPr>
    </w:p>
    <w:p>
      <w:pPr>
        <w:ind w:right="360" w:firstLine="1492"/>
        <w:spacing w:after="0" w:line="253" w:lineRule="auto"/>
        <w:tabs>
          <w:tab w:leader="none" w:pos="173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3.9.2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147" w:lineRule="exact"/>
        <w:rPr>
          <w:rFonts w:ascii="Arial" w:cs="Arial" w:eastAsia="Arial" w:hAnsi="Arial"/>
          <w:sz w:val="18"/>
          <w:szCs w:val="18"/>
          <w:color w:val="auto"/>
        </w:rPr>
      </w:pPr>
    </w:p>
    <w:p>
      <w:pPr>
        <w:ind w:firstLine="1492"/>
        <w:spacing w:after="0" w:line="306" w:lineRule="auto"/>
        <w:tabs>
          <w:tab w:leader="none" w:pos="172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68" w:name="page269"/>
    <w:bookmarkEnd w:id="268"/>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116"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3.10.3. If the Plan and any other plan maintained by a Participating Company or an Affiliated Company are treated as a single plan pursuant to Section 3.9.3, the Committee shall coordinate corrective actions under the Plan and such other plan for the year.</w:t>
      </w:r>
    </w:p>
    <w:p>
      <w:pPr>
        <w:spacing w:after="0" w:line="13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3.10.4.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3.11.1. Notwithstanding anything in this Plan to the contrary, in no event shall amounts allocated to a Participant’s Account under the Plan exceed the limitations set forth in section 415 of the Code, which are hereby incorporated into the Plan.</w:t>
      </w:r>
    </w:p>
    <w:p>
      <w:pPr>
        <w:spacing w:after="0" w:line="132"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3.11.2. If the amounts otherwise allocable to a Participant’s Account under the Plan exceed the limitations set forth in section 415(c) of the Code, then the Plan shall correct such excess in accordance with the Employee Plans Compliance Resolution System (EPCRS) as set forth in Revenue Procedure 2008-50 or any superseding guidance, including, but not limited to, the preamble of the final regulations governing section 415 of the Code.</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3.11.3. Effective for Plan Years beginning after July 1, 2007, payments made by the later of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xml:space="preserve"> months after severance from employment or the end of the Limitation Year that includes the date of severance from employment are included in Compensation for the Limitation Year if, absent a severance from employment, such payments (i) would have been paid to the Participant and (ii) would have been considered Compensation while the Participant continued in employment with the Participating Company.</w:t>
      </w:r>
    </w:p>
    <w:p>
      <w:pPr>
        <w:spacing w:after="0" w:line="143" w:lineRule="exact"/>
        <w:rPr>
          <w:sz w:val="20"/>
          <w:szCs w:val="20"/>
          <w:color w:val="auto"/>
        </w:rPr>
      </w:pPr>
    </w:p>
    <w:p>
      <w:pPr>
        <w:ind w:right="360" w:firstLine="913"/>
        <w:spacing w:after="0" w:line="332" w:lineRule="auto"/>
        <w:rPr>
          <w:sz w:val="20"/>
          <w:szCs w:val="20"/>
          <w:color w:val="auto"/>
        </w:rPr>
      </w:pPr>
      <w:r>
        <w:rPr>
          <w:rFonts w:ascii="Arial" w:cs="Arial" w:eastAsia="Arial" w:hAnsi="Arial"/>
          <w:sz w:val="16"/>
          <w:szCs w:val="16"/>
          <w:color w:val="auto"/>
        </w:rPr>
        <w:t>3.11.4. For avoidance of doubt, the limitation described in this Section 3.11 shall be applied on aggregate basis to Eligible Employees who have transferred employment between the NBCUniversal and its subsidiaries and the Company and its subsidiaries during applicable Limitation Year.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269" w:name="page270"/>
    <w:bookmarkEnd w:id="26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Distribution of Excess Contributions</w:t>
      </w:r>
      <w:r>
        <w:rPr>
          <w:rFonts w:ascii="Arial" w:cs="Arial" w:eastAsia="Arial" w:hAnsi="Arial"/>
          <w:sz w:val="16"/>
          <w:szCs w:val="16"/>
          <w:color w:val="auto"/>
        </w:rPr>
        <w:t>. Any distribution of excess contributions made pursuant to this Section 3 will include earnings attributable to such contributions as required by, and as determined in accordance with, applicable Regulations of the Department of the Treasury.</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280" w:right="41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PARTICIPANTS’ ACCOUNTS</w:t>
      </w:r>
    </w:p>
    <w:p>
      <w:pPr>
        <w:spacing w:after="0" w:line="17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32"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Apportionment of Gain or Loss</w:t>
      </w:r>
      <w:r>
        <w:rPr>
          <w:rFonts w:ascii="Arial" w:cs="Arial" w:eastAsia="Arial" w:hAnsi="Arial"/>
          <w:sz w:val="15"/>
          <w:szCs w:val="15"/>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68" w:lineRule="auto"/>
        <w:tabs>
          <w:tab w:leader="none" w:pos="17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131" w:lineRule="exact"/>
        <w:rPr>
          <w:rFonts w:ascii="Arial" w:cs="Arial" w:eastAsia="Arial" w:hAnsi="Arial"/>
          <w:sz w:val="18"/>
          <w:szCs w:val="18"/>
          <w:color w:val="auto"/>
        </w:rPr>
      </w:pPr>
    </w:p>
    <w:p>
      <w:pPr>
        <w:ind w:right="60" w:firstLine="1492"/>
        <w:spacing w:after="0" w:line="294" w:lineRule="auto"/>
        <w:tabs>
          <w:tab w:leader="none" w:pos="173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 each Participant entitled to share in such allocation that are to be invested in Company Stock to the sum of such items for all such Participants. The items referenced in the preceding sentence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(i) all Pre-Tax Contributions and Catch-Up Contributions, (ii) all Roth Contributions and Roth Catch-Up Contributions, (iii) all After-Tax Contributions,</w:t>
      </w:r>
    </w:p>
    <w:p>
      <w:pPr>
        <w:spacing w:after="0" w:line="38" w:lineRule="exact"/>
        <w:rPr>
          <w:sz w:val="20"/>
          <w:szCs w:val="20"/>
          <w:color w:val="auto"/>
        </w:rPr>
      </w:pPr>
    </w:p>
    <w:p>
      <w:pPr>
        <w:ind w:firstLine="8"/>
        <w:spacing w:after="0" w:line="254" w:lineRule="auto"/>
        <w:tabs>
          <w:tab w:leader="none" w:pos="29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Matching Contributions, Prior Broadband Heritage Matching Contributions, (v) all Comcast Retirement Contributions, (vi) all NBCU Retirement Contributions, (vii) all Taxable Rollover Contributions, After-Tax Rollover Contributions and Roth Rollover Contributions, (viii) all repayments of loans pursuant to Article IX of the Plan, (ix) funds that were to be invested in Company Stock as of the preceding Valuation Date but were not and (x) income earned with respect to such funds.</w:t>
      </w:r>
    </w:p>
    <w:p>
      <w:pPr>
        <w:spacing w:after="0" w:line="143" w:lineRule="exact"/>
        <w:rPr>
          <w:rFonts w:ascii="Arial" w:cs="Arial" w:eastAsia="Arial" w:hAnsi="Arial"/>
          <w:sz w:val="18"/>
          <w:szCs w:val="18"/>
          <w:color w:val="auto"/>
        </w:rPr>
      </w:pPr>
    </w:p>
    <w:p>
      <w:pPr>
        <w:ind w:right="500" w:firstLine="1492"/>
        <w:spacing w:after="0" w:line="268" w:lineRule="auto"/>
        <w:tabs>
          <w:tab w:leader="none" w:pos="17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131" w:lineRule="exact"/>
        <w:rPr>
          <w:rFonts w:ascii="Arial" w:cs="Arial" w:eastAsia="Arial" w:hAnsi="Arial"/>
          <w:sz w:val="18"/>
          <w:szCs w:val="18"/>
          <w:color w:val="auto"/>
        </w:rPr>
      </w:pPr>
    </w:p>
    <w:p>
      <w:pPr>
        <w:ind w:right="60" w:firstLine="1492"/>
        <w:spacing w:after="0" w:line="298" w:lineRule="auto"/>
        <w:tabs>
          <w:tab w:leader="none" w:pos="173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112" w:lineRule="exact"/>
        <w:rPr>
          <w:rFonts w:ascii="Arial" w:cs="Arial" w:eastAsia="Arial" w:hAnsi="Arial"/>
          <w:sz w:val="16"/>
          <w:szCs w:val="16"/>
          <w:color w:val="auto"/>
        </w:rPr>
      </w:pPr>
    </w:p>
    <w:p>
      <w:pPr>
        <w:ind w:right="120" w:firstLine="1492"/>
        <w:spacing w:after="0" w:line="256" w:lineRule="auto"/>
        <w:tabs>
          <w:tab w:leader="none" w:pos="17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Pursuant to Section 11.5.8, (i) effective on or about January 1, 2016, no participant will be permitted to make new investments (whether by means of investment directions for new contributions, investment re-allocation of assets held in Participant Accounts, or otherwise) in shares of Company Stock; and (ii) effective beginning on or about January 1, 2017, all shares of Company Stock and Investment Stock shall be liquidated and the proceeds re-invested in an appropriate alternative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General</w:t>
      </w:r>
      <w:r>
        <w:rPr>
          <w:rFonts w:ascii="Arial" w:cs="Arial" w:eastAsia="Arial" w:hAnsi="Arial"/>
          <w:sz w:val="16"/>
          <w:szCs w:val="16"/>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 In the case of a Participant who dies on or after January 1, 2007 while performing Qualified Military Service (as defined in Code §414(u)), the survivors of such Participant shall be entitled to any benefit, including but not limited to any acceleration of vesting, that would be provided under the Plan had the Participant resumed employment with his employer and then terminated employment on account of his death.</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5.6.1. If the Participant’s nonforfeitable interest in his Account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73" w:name="page274"/>
    <w:bookmarkEnd w:id="273"/>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Date, at which time his nonforfeitable interest shall commence to be paid to him. A Participant’s election to receive payment prior to his Required Beginning Date may be made no earlier than 180 days prior to the Benefit Commencement Date elected by the Participant.</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5.6.2. If a Participant’s nonforfeitable interest in his Account is not greater than $1,000, his Benefit Commencement Date shall be the earliest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practicable date following the Valuation Date coincident with or next following the first day of the first calendar quarter that begins after his Severance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Date and, provided the participant does not affirmatively elect to have the distribution of Account paid directly to an eligible retirement plan in a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rollover, his Account will be distributed in a cash lump sum. If a Participant’s nonforfeitable interest in his Account is greater than $1,000 but not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 and if the participant does not elect to have such distribution paid directly to an eligible retirement plan specified by the Participant in a direct rollover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receive the distribution directly, then the Participant’s vested Account shall be distributed in a direct rollover to an individual retirement plan designated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The preceding sentence shall not apply to alternate payees (under qualified domestic relations orders, as defined in section 414(p) of the Code),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surviving Spouses or beneficiaries.</w:t>
      </w:r>
    </w:p>
    <w:p>
      <w:pPr>
        <w:spacing w:after="0" w:line="165"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5.7.1. Except as provided to the contrary in this Article, a Participant may elect in writing to have his nonforfeitable interest in his Account paid to him or applied for his benefit in accordance with any of the following modes of payment:</w:t>
      </w:r>
    </w:p>
    <w:p>
      <w:pPr>
        <w:spacing w:after="0" w:line="132" w:lineRule="exact"/>
        <w:rPr>
          <w:sz w:val="20"/>
          <w:szCs w:val="20"/>
          <w:color w:val="auto"/>
        </w:rPr>
      </w:pPr>
    </w:p>
    <w:p>
      <w:pPr>
        <w:ind w:firstLine="1492"/>
        <w:spacing w:after="0" w:line="289" w:lineRule="auto"/>
        <w:tabs>
          <w:tab w:leader="none" w:pos="172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in the case of a Participant whose nonforfeitable interest in his Account exceeds $5,000, approximately equal annual, quarterly or monthly installments over a period designated by the Participant. The payment period shall be designated by the Participant by electing a specific number of years, quarters or months. The Participant may designate the dollar amount to be received in each payment or may elect to have each payment recalculated such that each payment will equal the balance in his Account as of the date of distribution divided by the number of scheduled payments remaining;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amounts payable to a Participant each year shall at least equal the amount necessary to satisfy the requirements of section 401(a)(9)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 may elect, in writing and according to uniform procedures established by the Committee, at any time following the date he or she commences benefit payments under this Section 5.7.1(a) to change the number of any remaining installment payments and/or the dollar amount paid to such Participant in each remaining installment payment.</w:t>
      </w:r>
    </w:p>
    <w:p>
      <w:pPr>
        <w:spacing w:after="0" w:line="118" w:lineRule="exact"/>
        <w:rPr>
          <w:rFonts w:ascii="Arial" w:cs="Arial" w:eastAsia="Arial" w:hAnsi="Arial"/>
          <w:sz w:val="16"/>
          <w:szCs w:val="16"/>
          <w:color w:val="auto"/>
        </w:rPr>
      </w:pPr>
    </w:p>
    <w:p>
      <w:pPr>
        <w:ind w:right="320" w:firstLine="1492"/>
        <w:spacing w:after="0" w:line="259" w:lineRule="auto"/>
        <w:tabs>
          <w:tab w:leader="none" w:pos="173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single sum payment in cash, except that, with respect to distributions made prior to the liquidation of all Company Stock and Investment Stock held in the Plan in accordance with Section 11.5.8, a Participant may elect to receive the portion of his Account invested in Company Stock and/or Investment Stock in the form of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274" w:name="page275"/>
    <w:bookmarkEnd w:id="274"/>
    <w:p>
      <w:pPr>
        <w:ind w:right="120" w:firstLine="1492"/>
        <w:spacing w:after="0" w:line="332" w:lineRule="auto"/>
        <w:tabs>
          <w:tab w:leader="none" w:pos="1722" w:val="left"/>
        </w:tabs>
        <w:numPr>
          <w:ilvl w:val="0"/>
          <w:numId w:val="1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Participant who was a participant in the CCCHI Plan, a Participant may withdraw up to ninety-five percent (95%) of his Account, in increments of not less than $500. A surviving beneficiary of such a Participant may also make withdrawal in accordance with this Section 5.7.1(c).</w:t>
      </w:r>
    </w:p>
    <w:p>
      <w:pPr>
        <w:spacing w:after="0" w:line="85" w:lineRule="exact"/>
        <w:rPr>
          <w:rFonts w:ascii="Arial" w:cs="Arial" w:eastAsia="Arial" w:hAnsi="Arial"/>
          <w:sz w:val="16"/>
          <w:szCs w:val="16"/>
          <w:color w:val="auto"/>
        </w:rPr>
      </w:pPr>
    </w:p>
    <w:p>
      <w:pPr>
        <w:ind w:firstLine="1492"/>
        <w:spacing w:after="0" w:line="294" w:lineRule="auto"/>
        <w:tabs>
          <w:tab w:leader="none" w:pos="173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case of a Participant whose nonforfeitable interest in his Account exceeds $500, the Participant may elect to withdraw such portion (which may be all) of his remaining account balance as he may designate from time to time, provided that if the amount so designated by such Participant is less than his entire remaining balance, such amount shall be at least $500. The Participant may elect this option up to twelve (12) times each calendar year and may also elect a thirteenth and final distribution for such year pursuant to this Section 5.7.1(d) of his entire remaining balance in his Account. Payment to the Participant of the designated amount shall be made in cash as soon as practicable after the election.</w:t>
      </w:r>
    </w:p>
    <w:p>
      <w:pPr>
        <w:spacing w:after="0" w:line="116"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32"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5.7.3. If a Participant elects to have his nonforfeitable interest in his Account paid to him or applied for his benefit in accordance with either Section 5.7.1(a) or (d), such Participant may elect, in writing and according to uniform procedures established by the Committee, at any time following the date he or she commences benefit payments to change his or her form of payment to any other form permitted under the terms of this Section 5.7.</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5.9.1.(a) A beneficiary entitled to benefits under Section 5.3 upon the death of a Participant prior to his Benefit Commencement Date shall receive a single sum payment equal to the Participant’s nonforfeitable interest in his Account.</w:t>
      </w:r>
    </w:p>
    <w:p>
      <w:pPr>
        <w:spacing w:after="0" w:line="132" w:lineRule="exact"/>
        <w:rPr>
          <w:sz w:val="20"/>
          <w:szCs w:val="20"/>
          <w:color w:val="auto"/>
        </w:rPr>
      </w:pPr>
    </w:p>
    <w:p>
      <w:pPr>
        <w:ind w:right="140" w:firstLine="1492"/>
        <w:spacing w:after="0" w:line="259" w:lineRule="auto"/>
        <w:tabs>
          <w:tab w:leader="none" w:pos="173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140" w:lineRule="exact"/>
        <w:rPr>
          <w:rFonts w:ascii="Arial" w:cs="Arial" w:eastAsia="Arial" w:hAnsi="Arial"/>
          <w:sz w:val="18"/>
          <w:szCs w:val="18"/>
          <w:color w:val="auto"/>
        </w:rPr>
      </w:pPr>
    </w:p>
    <w:p>
      <w:pPr>
        <w:jc w:val="both"/>
        <w:ind w:right="260" w:firstLine="1948"/>
        <w:spacing w:after="0" w:line="259" w:lineRule="auto"/>
        <w:tabs>
          <w:tab w:leader="none" w:pos="218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single sum payment in cash, except that, with respect to distributions made prior to the liquidation of all Company Stock and Investment Stock held in the Plan in accordance with Section 11.5.8, a beneficiary may elect to receive the portion of the Account invested in Company Stock and/or Investment Stock in the form of shares; or</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approximately equal annual installments over the remainder of the period over which the Participant had elected to receive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installment payments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275" w:name="page276"/>
    <w:bookmarkEnd w:id="275"/>
    <w:p>
      <w:pPr>
        <w:ind w:right="4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5.9.2. Payment of death benefits payable under Section 5.3 shall commence as soon as practicable following the death of the Participant.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180 days before 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Benefit Commencement Date a written explanation of:</w:t>
      </w:r>
    </w:p>
    <w:p>
      <w:pPr>
        <w:spacing w:after="0" w:line="16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5.10.3. the rights of the Participant’s Spouse with respect to the Participant’s election of certain optional modes of payment;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5.10.4. the Participant’s right to revoke an election to receive an optional mode of payment and the effect of such revocation.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5.11.2. No designation, revocation, or change of beneficiaries shall be valid and effective unless and until filed with the Committee.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5.11.3. A Participant who does not establish to the satisfaction of the Committee that he has no Spouse may not designate someone other than 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Spouse to be his beneficiary under Section 5.3 unless: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276" w:name="page277"/>
    <w:bookmarkEnd w:id="276"/>
    <w:p>
      <w:pPr>
        <w:ind w:firstLine="1484"/>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(a)(1) such Spouse (or the Spouse’s legal guardian if the Spouse is legally incompetent) executes a written instrument whereby such Spouse consents not to receive such benefit and consents either:</w:t>
      </w:r>
    </w:p>
    <w:p>
      <w:pPr>
        <w:spacing w:after="0" w:line="132" w:lineRule="exact"/>
        <w:rPr>
          <w:sz w:val="20"/>
          <w:szCs w:val="20"/>
          <w:color w:val="auto"/>
        </w:rPr>
      </w:pPr>
    </w:p>
    <w:p>
      <w:pPr>
        <w:ind w:left="2620" w:hanging="216"/>
        <w:spacing w:after="0"/>
        <w:tabs>
          <w:tab w:leader="none" w:pos="262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171" w:lineRule="exact"/>
        <w:rPr>
          <w:rFonts w:ascii="Arial" w:cs="Arial" w:eastAsia="Arial" w:hAnsi="Arial"/>
          <w:sz w:val="18"/>
          <w:szCs w:val="18"/>
          <w:color w:val="auto"/>
        </w:rPr>
      </w:pPr>
    </w:p>
    <w:p>
      <w:pPr>
        <w:ind w:left="2660" w:hanging="256"/>
        <w:spacing w:after="0"/>
        <w:tabs>
          <w:tab w:leader="none" w:pos="2660"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to the Participant’s right to designate any beneficiary without further consent by the Spouse;</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such instrument acknowledges the effect of the election to which the Spouse’s consent is being given; and</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171" w:lineRule="exact"/>
        <w:rPr>
          <w:rFonts w:ascii="Arial" w:cs="Arial" w:eastAsia="Arial" w:hAnsi="Arial"/>
          <w:sz w:val="18"/>
          <w:szCs w:val="18"/>
          <w:color w:val="auto"/>
        </w:rPr>
      </w:pPr>
    </w:p>
    <w:p>
      <w:pPr>
        <w:ind w:right="180" w:firstLine="1948"/>
        <w:spacing w:after="0" w:line="332" w:lineRule="auto"/>
        <w:tabs>
          <w:tab w:leader="none" w:pos="2189" w:val="left"/>
        </w:tabs>
        <w:numPr>
          <w:ilvl w:val="1"/>
          <w:numId w:val="193"/>
        </w:numPr>
        <w:rPr>
          <w:rFonts w:ascii="Arial" w:cs="Arial" w:eastAsia="Arial" w:hAnsi="Arial"/>
          <w:sz w:val="16"/>
          <w:szCs w:val="16"/>
          <w:color w:val="auto"/>
        </w:rPr>
      </w:pPr>
      <w:r>
        <w:rPr>
          <w:rFonts w:ascii="Arial" w:cs="Arial" w:eastAsia="Arial" w:hAnsi="Arial"/>
          <w:sz w:val="16"/>
          <w:szCs w:val="16"/>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85" w:lineRule="exact"/>
        <w:rPr>
          <w:rFonts w:ascii="Arial" w:cs="Arial" w:eastAsia="Arial" w:hAnsi="Arial"/>
          <w:sz w:val="16"/>
          <w:szCs w:val="16"/>
          <w:color w:val="auto"/>
        </w:rPr>
      </w:pPr>
    </w:p>
    <w:p>
      <w:pPr>
        <w:ind w:right="540" w:firstLine="1492"/>
        <w:spacing w:after="0" w:line="268" w:lineRule="auto"/>
        <w:tabs>
          <w:tab w:leader="none" w:pos="172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Recalculation of Life Expectancy</w:t>
      </w:r>
      <w:r>
        <w:rPr>
          <w:rFonts w:ascii="Arial" w:cs="Arial" w:eastAsia="Arial" w:hAnsi="Arial"/>
          <w:sz w:val="18"/>
          <w:szCs w:val="18"/>
          <w:color w:val="auto"/>
        </w:rPr>
        <w:t>. If a Participant’s Account is payable over the life expectancy of the Participant and/or his Spouse and/or another beneficiary, the determination of whether such life expectancy shall be recalculated, in accordance with regulations issued under section 401(a)(9) of the Code, shall be made as follows: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280" w:right="339" w:bottom="1440" w:gutter="0" w:footer="0" w:header="0"/>
        </w:sectPr>
      </w:pPr>
    </w:p>
    <w:bookmarkStart w:id="277" w:name="page278"/>
    <w:bookmarkEnd w:id="277"/>
    <w:p>
      <w:pPr>
        <w:ind w:right="58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85"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5.12.2. If the Account is payable over the life expectancy of the Participant’s Spouse, such Spouse shall elect, on a form supplied by the Committee, whether or not such life expectancy will be recalculated.</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5.12.4. If the Account is payable over the life expectancy of a beneficiary other than the Participant’s Spouse, such life expectancy shall not be recalculated after the Benefit Commencement Date.</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5.13.1.(a)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140" w:lineRule="exact"/>
        <w:rPr>
          <w:sz w:val="20"/>
          <w:szCs w:val="20"/>
          <w:color w:val="auto"/>
        </w:rPr>
      </w:pPr>
    </w:p>
    <w:p>
      <w:pPr>
        <w:ind w:left="2200" w:hanging="252"/>
        <w:spacing w:after="0"/>
        <w:tabs>
          <w:tab w:leader="none" w:pos="2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Roth individual retirement account described in section 408A of the Code,</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individual retirement annuity described in section 408(b) of the Code (other than an endowment contract),</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qualified retirement plan described in section 401(a) of the Code, the terms of which permit the acceptance of rollover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165" w:lineRule="exact"/>
        <w:rPr>
          <w:sz w:val="20"/>
          <w:szCs w:val="20"/>
          <w:color w:val="auto"/>
        </w:rPr>
      </w:pPr>
    </w:p>
    <w:p>
      <w:pPr>
        <w:ind w:left="2200" w:hanging="252"/>
        <w:spacing w:after="0"/>
        <w:tabs>
          <w:tab w:leader="none" w:pos="22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w:t>
      </w:r>
    </w:p>
    <w:p>
      <w:pPr>
        <w:spacing w:after="0" w:line="171" w:lineRule="exact"/>
        <w:rPr>
          <w:rFonts w:ascii="Arial" w:cs="Arial" w:eastAsia="Arial" w:hAnsi="Arial"/>
          <w:sz w:val="18"/>
          <w:szCs w:val="18"/>
          <w:color w:val="auto"/>
        </w:rPr>
      </w:pPr>
    </w:p>
    <w:p>
      <w:pPr>
        <w:ind w:right="140" w:firstLine="1948"/>
        <w:spacing w:after="0" w:line="259" w:lineRule="auto"/>
        <w:tabs>
          <w:tab w:leader="none" w:pos="218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78" w:name="page279"/>
    <w:bookmarkEnd w:id="278"/>
    <w:p>
      <w:pPr>
        <w:ind w:left="1740" w:hanging="248"/>
        <w:spacing w:after="0"/>
        <w:tabs>
          <w:tab w:leader="none" w:pos="17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Non-Spouse beneficiary rollover right.</w:t>
      </w:r>
    </w:p>
    <w:p>
      <w:pPr>
        <w:spacing w:after="0" w:line="171" w:lineRule="exact"/>
        <w:rPr>
          <w:rFonts w:ascii="Arial" w:cs="Arial" w:eastAsia="Arial" w:hAnsi="Arial"/>
          <w:sz w:val="18"/>
          <w:szCs w:val="18"/>
          <w:color w:val="auto"/>
        </w:rPr>
      </w:pPr>
    </w:p>
    <w:p>
      <w:pPr>
        <w:jc w:val="both"/>
        <w:ind w:firstLine="1948"/>
        <w:spacing w:after="0" w:line="256" w:lineRule="auto"/>
        <w:tabs>
          <w:tab w:leader="none" w:pos="218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For distributions after December 31, 2009, a non-Spouse beneficiary who is a “designated beneficiary” under section 401(a)(9)(E) of the Code and the regulations thereunder, by a direct rollover, may rollover all or any portion of his or her distribution to an individual retirement account which the beneficiary establishes for purposes of receiving the distribution. In order to be able to rollover the distribution, the distribution otherwise must satisfy the requirements for an eligible rollover distribution as described in the Plan.</w:t>
      </w:r>
    </w:p>
    <w:p>
      <w:pPr>
        <w:spacing w:after="0" w:line="143" w:lineRule="exact"/>
        <w:rPr>
          <w:rFonts w:ascii="Arial" w:cs="Arial" w:eastAsia="Arial" w:hAnsi="Arial"/>
          <w:sz w:val="18"/>
          <w:szCs w:val="18"/>
          <w:color w:val="auto"/>
        </w:rPr>
      </w:pPr>
    </w:p>
    <w:p>
      <w:pPr>
        <w:ind w:right="100" w:firstLine="1948"/>
        <w:spacing w:after="0" w:line="332" w:lineRule="auto"/>
        <w:tabs>
          <w:tab w:leader="none" w:pos="2189"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If the Participant’s named beneficiary is a trust, the Plan may make a direct rollover to an individual retirement account on behalf of the trust, provided the trust satisfies the requirements to be a designated beneficiary within the meaning of section § 401(a)(9)(E) of the Code.</w:t>
      </w:r>
    </w:p>
    <w:p>
      <w:pPr>
        <w:spacing w:after="0" w:line="85" w:lineRule="exact"/>
        <w:rPr>
          <w:rFonts w:ascii="Arial" w:cs="Arial" w:eastAsia="Arial" w:hAnsi="Arial"/>
          <w:sz w:val="16"/>
          <w:szCs w:val="16"/>
          <w:color w:val="auto"/>
        </w:rPr>
      </w:pPr>
    </w:p>
    <w:p>
      <w:pPr>
        <w:ind w:right="120" w:firstLine="1948"/>
        <w:spacing w:after="0" w:line="255" w:lineRule="auto"/>
        <w:tabs>
          <w:tab w:leader="none" w:pos="218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 non-Spouse beneficiary may not rollover an amount which is a required minimum distribution, as determined under applicable Treasury regulations and other Revenue Service guidance. If the Participant dies before his or her required beginning date and the non-Spouse beneficiary rolls over to an individual retirement account the maximum amount eligible for rollover, the beneficiary may elect to use either the 5-year rule or the life expectancy rule, pursuant to Treas. Reg. §1.401(a)(9)-3, A-4(c), in determining the required minimum distributions from the individual retirement account that receives the non-Spouse beneficiary’s distribution.</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5.13.2. The Participant or beneficiary must specify the name of the plan or account to which the Participant or beneficiary wishes to have the amount transferred, on a form and in a manner prescribed by the Committee.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171" w:lineRule="exact"/>
        <w:rPr>
          <w:sz w:val="20"/>
          <w:szCs w:val="20"/>
          <w:color w:val="auto"/>
        </w:rPr>
      </w:pPr>
    </w:p>
    <w:p>
      <w:pPr>
        <w:ind w:left="1740" w:hanging="248"/>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except as provided in Section 5.13.3(f), any distribution of After-Tax Contributions;</w:t>
      </w:r>
    </w:p>
    <w:p>
      <w:pPr>
        <w:spacing w:after="0" w:line="171" w:lineRule="exact"/>
        <w:rPr>
          <w:rFonts w:ascii="Arial" w:cs="Arial" w:eastAsia="Arial" w:hAnsi="Arial"/>
          <w:sz w:val="18"/>
          <w:szCs w:val="18"/>
          <w:color w:val="auto"/>
        </w:rPr>
      </w:pPr>
    </w:p>
    <w:p>
      <w:pPr>
        <w:ind w:right="100" w:firstLine="1492"/>
        <w:spacing w:after="0" w:line="332" w:lineRule="auto"/>
        <w:tabs>
          <w:tab w:leader="none" w:pos="173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 (2) a period equal to the life or life expectancy of the Participant or the joint lives or life expectancy of the Participant and his beneficiary;</w:t>
      </w:r>
    </w:p>
    <w:p>
      <w:pPr>
        <w:spacing w:after="0" w:line="85" w:lineRule="exact"/>
        <w:rPr>
          <w:rFonts w:ascii="Arial" w:cs="Arial" w:eastAsia="Arial" w:hAnsi="Arial"/>
          <w:sz w:val="16"/>
          <w:szCs w:val="16"/>
          <w:color w:val="auto"/>
        </w:rPr>
      </w:pPr>
    </w:p>
    <w:p>
      <w:pPr>
        <w:ind w:right="100" w:firstLine="1492"/>
        <w:spacing w:after="0" w:line="268" w:lineRule="auto"/>
        <w:tabs>
          <w:tab w:leader="none" w:pos="172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that portion of any distribution after the Participant’s Required Beginning Date that is required to be distributed to the Participant by the minimum distribution rules of section 401(a)(9) of the Code;</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amount that is distributed on account of hardship;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279" w:name="page280"/>
    <w:bookmarkEnd w:id="279"/>
    <w:p>
      <w:pPr>
        <w:ind w:left="1740" w:hanging="248"/>
        <w:spacing w:after="0"/>
        <w:tabs>
          <w:tab w:leader="none" w:pos="1740" w:val="left"/>
        </w:tabs>
        <w:numPr>
          <w:ilvl w:val="0"/>
          <w:numId w:val="19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distributions as may be exempted by applicable statute or regulation from the requirements of section 401(a)(31) of the Code.</w:t>
      </w:r>
    </w:p>
    <w:p>
      <w:pPr>
        <w:spacing w:after="0" w:line="205" w:lineRule="exact"/>
        <w:rPr>
          <w:rFonts w:ascii="Arial" w:cs="Arial" w:eastAsia="Arial" w:hAnsi="Arial"/>
          <w:sz w:val="15"/>
          <w:szCs w:val="15"/>
          <w:color w:val="auto"/>
        </w:rPr>
      </w:pPr>
    </w:p>
    <w:p>
      <w:pPr>
        <w:ind w:firstLine="1492"/>
        <w:spacing w:after="0" w:line="255" w:lineRule="auto"/>
        <w:tabs>
          <w:tab w:leader="none" w:pos="170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to a qualified plan described in section 401(a) or 403(a) of the Code, or to a 403(b) plan that agrees to separately account for amounts so transferred, including separately accounting for the portion of such distribution which is includible in gross income and the portion of such distribution which is not so includible.</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Required minimum distributions shall be made in accordance with section 401(a)(9) of the Code and the regulations thereunder, as provided in Schedule A attached hereto.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280" w:right="31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VESTING</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Nonforfeitable Amounts</w:t>
      </w:r>
      <w:r>
        <w:rPr>
          <w:rFonts w:ascii="Arial" w:cs="Arial" w:eastAsia="Arial" w:hAnsi="Arial"/>
          <w:sz w:val="16"/>
          <w:szCs w:val="16"/>
          <w:color w:val="auto"/>
        </w:rPr>
        <w:t>. A Participant shall have a 100% nonforfeitable interest at all times in the following Accounts: (1) After-Tax Matched Contribution Account, (2) After-Tax Unmatched Contribution Account, (3) Catch-Up Contribution Account, (4) Matching Contribution Account, (5) After-Tax Rollover Account, (6) Pre-Tax Matched Contribution Account, (7) Pre-Tax Unmatched Contribution Account, (8) Prior Company Matching Contribution Account (Vested), (9) DC Adder Contribution Account, (10) QNEC Account, (11) Roth Catch-Up Contribution Account, (12) Roth Matched Contribution Account, (13) Roth Rollover Account, (14) Roth Unmatched Contribution Account, and (15) Taxable Rollover Account.</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Vesting of Comcast Retirement Contributions</w:t>
      </w:r>
      <w:r>
        <w:rPr>
          <w:rFonts w:ascii="Arial" w:cs="Arial" w:eastAsia="Arial" w:hAnsi="Arial"/>
          <w:sz w:val="18"/>
          <w:szCs w:val="18"/>
          <w:color w:val="auto"/>
        </w:rPr>
        <w:t>. Each Participant shall become vested in the following portion of his Comcast Retirement Contribution Account:</w:t>
      </w:r>
    </w:p>
    <w:p>
      <w:pPr>
        <w:spacing w:after="0" w:line="149" w:lineRule="exact"/>
        <w:rPr>
          <w:sz w:val="20"/>
          <w:szCs w:val="20"/>
          <w:color w:val="auto"/>
        </w:rPr>
      </w:pPr>
    </w:p>
    <w:tbl>
      <w:tblPr>
        <w:tblLayout w:type="fixed"/>
        <w:tblInd w:w="390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auto"/>
              </w:rPr>
              <w:t>Years of Service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5"/>
              </w:rPr>
              <w:t>Vested Percentage</w:t>
            </w:r>
          </w:p>
        </w:tc>
      </w:tr>
      <w:tr>
        <w:trPr>
          <w:trHeight w:val="20"/>
        </w:trPr>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28"/>
        </w:trPr>
        <w:tc>
          <w:tcPr>
            <w:tcW w:w="2160" w:type="dxa"/>
            <w:vAlign w:val="bottom"/>
            <w:gridSpan w:val="2"/>
          </w:tcPr>
          <w:p>
            <w:pPr>
              <w:spacing w:after="0"/>
              <w:rPr>
                <w:sz w:val="20"/>
                <w:szCs w:val="20"/>
                <w:color w:val="auto"/>
              </w:rPr>
            </w:pPr>
            <w:r>
              <w:rPr>
                <w:rFonts w:ascii="Arial" w:cs="Arial" w:eastAsia="Arial" w:hAnsi="Arial"/>
                <w:sz w:val="18"/>
                <w:szCs w:val="18"/>
                <w:color w:val="auto"/>
              </w:rPr>
              <w:t>Less than 2 years</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2 years but less than 3 years</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3 years but less than 4 years</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4 years but less than 5 years</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5 years but less than 6 years</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80%</w:t>
            </w: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r>
    </w:tbl>
    <w:p>
      <w:pPr>
        <w:spacing w:after="0" w:line="15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Notwithstanding the foregoing, a Participant shall have a 100% nonforfeitable interest in his Comcast Retirement Contribution Account upon his attainment of his Normal Retirement Date, his death or his Total Disability, provided the Participant is an Active Participant at the time of the occurrence of such event.</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Participant shall have such nonforfeitable interest in any Accounts not referenced in either Section 6.1 of 6.2 as determined pursuant to the rules of the Plan as in effect on December 31,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171" w:lineRule="exact"/>
        <w:rPr>
          <w:sz w:val="20"/>
          <w:szCs w:val="20"/>
          <w:color w:val="auto"/>
        </w:rPr>
      </w:pPr>
    </w:p>
    <w:p>
      <w:pPr>
        <w:ind w:right="140" w:firstLine="913"/>
        <w:spacing w:after="0" w:line="370" w:lineRule="auto"/>
        <w:rPr>
          <w:sz w:val="20"/>
          <w:szCs w:val="20"/>
          <w:color w:val="auto"/>
        </w:rPr>
      </w:pPr>
      <w:r>
        <w:rPr>
          <w:rFonts w:ascii="Arial" w:cs="Arial" w:eastAsia="Arial" w:hAnsi="Arial"/>
          <w:sz w:val="15"/>
          <w:szCs w:val="15"/>
          <w:color w:val="auto"/>
        </w:rPr>
        <w:t>6.3.1.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6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6.3.2. Years of Service shall be calculated on the basis that 30 days equals a completed month or one-twelfth (1/12) of a year and twelve completed months equal one year.</w:t>
      </w:r>
    </w:p>
    <w:p>
      <w:pPr>
        <w:spacing w:after="0" w:line="132"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6.3.3.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81" w:name="page282"/>
    <w:bookmarkEnd w:id="281"/>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6.3.5. Notwithstanding any provision of the Plan to the contrary, an Employee shall not be credited with Years of Service for the same period twice.</w:t>
      </w:r>
    </w:p>
    <w:p>
      <w:pPr>
        <w:spacing w:after="0" w:line="194" w:lineRule="exact"/>
        <w:rPr>
          <w:sz w:val="20"/>
          <w:szCs w:val="20"/>
          <w:color w:val="auto"/>
        </w:rPr>
      </w:pPr>
    </w:p>
    <w:p>
      <w:pPr>
        <w:ind w:right="280" w:firstLine="913"/>
        <w:spacing w:after="0" w:line="255" w:lineRule="auto"/>
        <w:rPr>
          <w:sz w:val="20"/>
          <w:szCs w:val="20"/>
          <w:color w:val="auto"/>
        </w:rPr>
      </w:pPr>
      <w:r>
        <w:rPr>
          <w:rFonts w:ascii="Arial" w:cs="Arial" w:eastAsia="Arial" w:hAnsi="Arial"/>
          <w:sz w:val="18"/>
          <w:szCs w:val="18"/>
          <w:color w:val="auto"/>
        </w:rPr>
        <w:t xml:space="preserve">6.3.6.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6.4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6.6.1. If a Participant who has had a Severance from Service Date does not thereafter complete an Hour of Service before the end of the Plan Year in which occurs the earlier of:</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the date on which he receives or is deemed to receive a distribution of his entire nonforfeitable interest in his Account, which is less than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 or</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 the date on which he incurs his fifth consecutive One-Year Period of Severance,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his Broadband Heritage Matching Contribution Account, his Prior Company Matching Contribution Account (Unvested), his Comcast Retirement Contribution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Account and his NBCU Retirement Contribution Account shall be closed, and the forfeitable amount held therein shall be forfeited. For purposes of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6.6.1, a Participant who has a Severance from Service Date at a time when his nonforfeitable interest in the Plan is zero shall be deemed to have received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distribution described in Section 6.6.1(a) on such Severance from Service Date.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282" w:name="page283"/>
    <w:bookmarkEnd w:id="282"/>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6.6.2. Amounts forfeited from a Participant’s Broadband Heritage Matching Contribution Account, Prior Company Matching Contribution Account (Unvested) and Comcast Retirement Contribution Account under Section 6.6.1 shall be used to reduce future Matching Contributions, Broadband Heritage Matching Contributions, and/or Comcast Retirement Contributions.</w:t>
      </w:r>
    </w:p>
    <w:p>
      <w:pPr>
        <w:spacing w:after="0" w:line="14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6.6.3. If a Participant who has received (or is deemed to have received) a distribution described in Section 6.6.1(a), whereby any part of his Account has been forfeited, again becomes a Covered Employee prior to incurring five consecutive One-Year Periods of Severance, the amount so forfeited shall be restored to his new Broadband Heritage Matching Contribution Account, Prior Company Matching Contribution Account, Comcast Retirement Contribution Account and/or NBCU Retirement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6.6.3 shall be credited to the Participant’s After-Tax Unmatched Contribution Account. Amounts restored under this Section shall be charged against the following amounts in the following order of priority: (A) forfeitures for the Plan Year and (B) Company contributions for the Plan Year. If the foregoing amounts are insufficient, the Participating Company by whom such Participant is reemployed shall make any additional contribution necessary to accomplish the restoration.</w:t>
      </w:r>
    </w:p>
    <w:p>
      <w:pPr>
        <w:spacing w:after="0" w:line="127"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6.6.4.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43" w:lineRule="exact"/>
        <w:rPr>
          <w:sz w:val="20"/>
          <w:szCs w:val="20"/>
          <w:color w:val="auto"/>
        </w:rPr>
      </w:pPr>
    </w:p>
    <w:p>
      <w:pPr>
        <w:ind w:left="1740" w:hanging="248"/>
        <w:spacing w:after="0"/>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amount his nonforfeitable interest would have been if he had not received the distribution; and</w:t>
      </w:r>
    </w:p>
    <w:p>
      <w:pPr>
        <w:spacing w:after="0" w:line="171" w:lineRule="exact"/>
        <w:rPr>
          <w:rFonts w:ascii="Arial" w:cs="Arial" w:eastAsia="Arial" w:hAnsi="Arial"/>
          <w:sz w:val="18"/>
          <w:szCs w:val="18"/>
          <w:color w:val="auto"/>
        </w:rPr>
      </w:pPr>
    </w:p>
    <w:p>
      <w:pPr>
        <w:ind w:right="100" w:firstLine="1492"/>
        <w:spacing w:after="0" w:line="298" w:lineRule="auto"/>
        <w:tabs>
          <w:tab w:leader="none" w:pos="1732"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13"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6.6.5. If a Participant has had five consecutive One-Year Periods of Severance and again becomes a Covered Employee, the amount forfeited under Section 6.6.1 shall not be restored to his new Account under any circumstances.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283" w:name="page284"/>
    <w:bookmarkEnd w:id="28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ROLLOVER CONTRIBUTIONS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143"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(a)(1) the distribution being transferred must come directly from the fiduciary of the plan of the former employer, or</w:t>
      </w:r>
    </w:p>
    <w:p>
      <w:pPr>
        <w:spacing w:after="0" w:line="171" w:lineRule="exact"/>
        <w:rPr>
          <w:sz w:val="20"/>
          <w:szCs w:val="20"/>
          <w:color w:val="auto"/>
        </w:rPr>
      </w:pPr>
    </w:p>
    <w:p>
      <w:pPr>
        <w:ind w:right="80" w:firstLine="1948"/>
        <w:spacing w:after="0" w:line="259" w:lineRule="auto"/>
        <w:tabs>
          <w:tab w:leader="none" w:pos="218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140" w:lineRule="exact"/>
        <w:rPr>
          <w:rFonts w:ascii="Arial" w:cs="Arial" w:eastAsia="Arial" w:hAnsi="Arial"/>
          <w:sz w:val="18"/>
          <w:szCs w:val="18"/>
          <w:color w:val="auto"/>
        </w:rPr>
      </w:pPr>
    </w:p>
    <w:p>
      <w:pPr>
        <w:ind w:right="160" w:firstLine="1492"/>
        <w:spacing w:after="0" w:line="268" w:lineRule="auto"/>
        <w:tabs>
          <w:tab w:leader="none" w:pos="17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131" w:lineRule="exact"/>
        <w:rPr>
          <w:rFonts w:ascii="Arial" w:cs="Arial" w:eastAsia="Arial" w:hAnsi="Arial"/>
          <w:sz w:val="18"/>
          <w:szCs w:val="18"/>
          <w:color w:val="auto"/>
        </w:rPr>
      </w:pPr>
    </w:p>
    <w:p>
      <w:pPr>
        <w:ind w:right="20" w:firstLine="1492"/>
        <w:spacing w:after="0" w:line="256" w:lineRule="auto"/>
        <w:tabs>
          <w:tab w:leader="none" w:pos="172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 (ii) 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143" w:lineRule="exact"/>
        <w:rPr>
          <w:rFonts w:ascii="Arial" w:cs="Arial" w:eastAsia="Arial" w:hAnsi="Arial"/>
          <w:sz w:val="18"/>
          <w:szCs w:val="18"/>
          <w:color w:val="auto"/>
        </w:rPr>
      </w:pPr>
    </w:p>
    <w:p>
      <w:pPr>
        <w:ind w:firstLine="1492"/>
        <w:spacing w:after="0" w:line="268" w:lineRule="auto"/>
        <w:tabs>
          <w:tab w:leader="none" w:pos="17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interest being transferred shall not contain nondeductible contributions made to the distributing plan by the Covered Employee unless the transfer to the Fund is directly from the funding agent of the distributing plan;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171" w:lineRule="exact"/>
        <w:rPr>
          <w:sz w:val="20"/>
          <w:szCs w:val="20"/>
          <w:color w:val="auto"/>
        </w:rPr>
      </w:pPr>
    </w:p>
    <w:p>
      <w:pPr>
        <w:jc w:val="both"/>
        <w:ind w:right="220" w:firstLine="913"/>
        <w:spacing w:after="0" w:line="306" w:lineRule="auto"/>
        <w:rPr>
          <w:sz w:val="20"/>
          <w:szCs w:val="20"/>
          <w:color w:val="auto"/>
        </w:rPr>
      </w:pPr>
      <w:r>
        <w:rPr>
          <w:rFonts w:ascii="Arial" w:cs="Arial" w:eastAsia="Arial" w:hAnsi="Arial"/>
          <w:sz w:val="16"/>
          <w:szCs w:val="16"/>
          <w:color w:val="auto"/>
        </w:rPr>
        <w:t>7.2.1. The distributions transferred by or for a Covered Employee from another qualified retirement plan or from an individual retirement account shall be credited to the Covered Employee’s After-Tax Rollover Account, Roth Rollover Account and/or Taxable Rollover Account, as applicable. A Covered Employee shall be fully vested at all times in his After-Tax Rollover Account, Roth Rollover Account and Taxable Rollover Account.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284" w:name="page285"/>
    <w:bookmarkEnd w:id="284"/>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7.2.2. A Covered Employee’s After-Tax Rollover Account, Roth Rollover Account and Taxable Rollover Account shall be distributed as otherwise provided under the Plan.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Additional Rollover Amounts</w:t>
      </w:r>
      <w:r>
        <w:rPr>
          <w:rFonts w:ascii="Arial" w:cs="Arial" w:eastAsia="Arial" w:hAnsi="Arial"/>
          <w:sz w:val="16"/>
          <w:szCs w:val="16"/>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 provided that each individual who becomes a Participant pursuant to that corporate transaction is afforded the same opportunity to roll over outstanding loan balances to the Plan; provided further that such determination by the Committee shall be made on an objective non-discriminatory basis. The Committee, in its sole discretion, may permit the rollover of an outstanding loan balance from the NBCU CAP by an Eligible Employee who transfers from a position at NBCUniversal that is not eligible to participate in the Plan to a position that is eligible to participate in the Plan; provided that such determination by the Committee shall be made on an objective non-discriminatory basis.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285" w:name="page286"/>
    <w:bookmarkEnd w:id="28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WITHDRAWALS</w:t>
      </w:r>
    </w:p>
    <w:p>
      <w:pPr>
        <w:spacing w:after="0" w:line="17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Withdrawals Not Subject to Section 401(k) Restrictions</w:t>
      </w:r>
      <w:r>
        <w:rPr>
          <w:rFonts w:ascii="Arial" w:cs="Arial" w:eastAsia="Arial" w:hAnsi="Arial"/>
          <w:sz w:val="16"/>
          <w:szCs w:val="16"/>
          <w:color w:val="auto"/>
        </w:rPr>
        <w:t xml:space="preserve">. A Participant who is an active Employee and has not attained Age 59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xml:space="preserve"> may withdraw, in accordance with rules prescribed by the Committee and uniformly applied, up to the total value of the following Accounts:</w:t>
      </w:r>
    </w:p>
    <w:p>
      <w:pPr>
        <w:spacing w:after="0" w:line="85"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8.1.2. After-Tax Unmatched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8.1.3. After-Tax Rollover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8.1.4. Roth Rollover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8.1.5. Taxable Rollover Contribution Account;</w:t>
      </w:r>
    </w:p>
    <w:p>
      <w:pPr>
        <w:spacing w:after="0" w:line="171"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8.1.6.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85"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8.1.7. Prior Company Matching Contribution Account (Vested), provided that contributions are not eligible for withdrawal if they were credited in the Plan Year of withdrawal or the two preceding Plan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Sections 8.2.2 through 8.2.5 and such other rules as may be prescribed by the Committee and uniformly applied, the following amounts:</w:t>
      </w:r>
    </w:p>
    <w:p>
      <w:pPr>
        <w:spacing w:after="0" w:line="165" w:lineRule="exact"/>
        <w:rPr>
          <w:sz w:val="20"/>
          <w:szCs w:val="20"/>
          <w:color w:val="auto"/>
        </w:rPr>
      </w:pPr>
    </w:p>
    <w:p>
      <w:pPr>
        <w:ind w:right="520" w:firstLine="1492"/>
        <w:spacing w:after="0" w:line="332" w:lineRule="auto"/>
        <w:tabs>
          <w:tab w:leader="none" w:pos="172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85" w:lineRule="exact"/>
        <w:rPr>
          <w:rFonts w:ascii="Arial" w:cs="Arial" w:eastAsia="Arial" w:hAnsi="Arial"/>
          <w:sz w:val="16"/>
          <w:szCs w:val="16"/>
          <w:color w:val="auto"/>
        </w:rPr>
      </w:pPr>
    </w:p>
    <w:p>
      <w:pPr>
        <w:ind w:firstLine="1492"/>
        <w:spacing w:after="0" w:line="259" w:lineRule="auto"/>
        <w:tabs>
          <w:tab w:leader="none" w:pos="17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286" w:name="page287"/>
    <w:bookmarkEnd w:id="286"/>
    <w:p>
      <w:pPr>
        <w:ind w:left="1740" w:hanging="248"/>
        <w:spacing w:after="0"/>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nonforfeitable portion of his Prior Company Matching Contribution Account (Unvested);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171" w:lineRule="exact"/>
        <w:rPr>
          <w:rFonts w:ascii="Arial" w:cs="Arial" w:eastAsia="Arial" w:hAnsi="Arial"/>
          <w:sz w:val="18"/>
          <w:szCs w:val="18"/>
          <w:color w:val="auto"/>
        </w:rPr>
      </w:pPr>
    </w:p>
    <w:p>
      <w:pPr>
        <w:ind w:right="260" w:firstLine="1492"/>
        <w:spacing w:after="0" w:line="268" w:lineRule="auto"/>
        <w:tabs>
          <w:tab w:leader="none" w:pos="172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w:t>
      </w:r>
    </w:p>
    <w:p>
      <w:pPr>
        <w:spacing w:after="0" w:line="131" w:lineRule="exact"/>
        <w:rPr>
          <w:rFonts w:ascii="Arial" w:cs="Arial" w:eastAsia="Arial" w:hAnsi="Arial"/>
          <w:sz w:val="18"/>
          <w:szCs w:val="18"/>
          <w:color w:val="auto"/>
        </w:rPr>
      </w:pPr>
    </w:p>
    <w:p>
      <w:pPr>
        <w:ind w:right="100" w:firstLine="1492"/>
        <w:spacing w:after="0" w:line="268" w:lineRule="auto"/>
        <w:tabs>
          <w:tab w:leader="none" w:pos="170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his Roth Catch-Up Contribution Account;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his Roth Matched Contribution Account; plus</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his Roth Unmatched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171" w:lineRule="exact"/>
        <w:rPr>
          <w:sz w:val="20"/>
          <w:szCs w:val="20"/>
          <w:color w:val="auto"/>
        </w:rPr>
      </w:pPr>
    </w:p>
    <w:p>
      <w:pPr>
        <w:ind w:left="1740" w:hanging="248"/>
        <w:spacing w:after="0"/>
        <w:tabs>
          <w:tab w:leader="none" w:pos="1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it is made on account of the Participant’s immediate and heavy financial need (as defined in Section 8.2.3); and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8.2.3. A withdrawal under Section 8.2.1 will be deemed to be on account of an immediate and heavy financial need if the Participant requests such withdrawal on account of:</w:t>
      </w:r>
    </w:p>
    <w:p>
      <w:pPr>
        <w:spacing w:after="0" w:line="132" w:lineRule="exact"/>
        <w:rPr>
          <w:sz w:val="20"/>
          <w:szCs w:val="20"/>
          <w:color w:val="auto"/>
        </w:rPr>
      </w:pPr>
    </w:p>
    <w:p>
      <w:pPr>
        <w:ind w:right="80" w:firstLine="1492"/>
        <w:spacing w:after="0" w:line="259" w:lineRule="auto"/>
        <w:tabs>
          <w:tab w:leader="none" w:pos="17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expenses for medical care described in section 213(d) of the Code and (i) previously incurred by the Participant, his Spouse, any of the Participant’s dependents (as defined in section 152 of the Code), or effective January 1, 2010, the Participant’s primary beneficiary, or (ii) necessary for such individuals to obtain such medical care;</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costs directly related to the purchase (excluding mortgage payments) of a principal residence of the Participant;</w:t>
      </w:r>
    </w:p>
    <w:p>
      <w:pPr>
        <w:spacing w:after="0" w:line="171" w:lineRule="exact"/>
        <w:rPr>
          <w:rFonts w:ascii="Arial" w:cs="Arial" w:eastAsia="Arial" w:hAnsi="Arial"/>
          <w:sz w:val="18"/>
          <w:szCs w:val="18"/>
          <w:color w:val="auto"/>
        </w:rPr>
      </w:pPr>
    </w:p>
    <w:p>
      <w:pPr>
        <w:ind w:right="140" w:firstLine="1492"/>
        <w:spacing w:after="0" w:line="332" w:lineRule="auto"/>
        <w:tabs>
          <w:tab w:leader="none" w:pos="172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payment of tuition and related educational fees for the next 12 months of post-secondary education for the Participant, his Spouse, children, dependents (as defined in section 152 of the Code) or effective January 1, 2010, the Participant’s primary beneficiary;</w:t>
      </w:r>
    </w:p>
    <w:p>
      <w:pPr>
        <w:spacing w:after="0" w:line="85" w:lineRule="exact"/>
        <w:rPr>
          <w:rFonts w:ascii="Arial" w:cs="Arial" w:eastAsia="Arial" w:hAnsi="Arial"/>
          <w:sz w:val="16"/>
          <w:szCs w:val="16"/>
          <w:color w:val="auto"/>
        </w:rPr>
      </w:pPr>
    </w:p>
    <w:p>
      <w:pPr>
        <w:ind w:left="5560" w:hanging="4068"/>
        <w:spacing w:after="0" w:line="440" w:lineRule="auto"/>
        <w:tabs>
          <w:tab w:leader="none" w:pos="17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need to prevent the eviction of the Participant from his principal residence or foreclosure on the mortgage of his principal residence; -46-</w:t>
      </w:r>
    </w:p>
    <w:p>
      <w:pPr>
        <w:sectPr>
          <w:pgSz w:w="11900" w:h="16838" w:orient="portrait"/>
          <w:cols w:equalWidth="0" w:num="1">
            <w:col w:w="11280"/>
          </w:cols>
          <w:pgMar w:left="240" w:top="280" w:right="379" w:bottom="1440" w:gutter="0" w:footer="0" w:header="0"/>
        </w:sectPr>
      </w:pPr>
    </w:p>
    <w:bookmarkStart w:id="287" w:name="page288"/>
    <w:bookmarkEnd w:id="287"/>
    <w:p>
      <w:pPr>
        <w:ind w:right="240" w:firstLine="1492"/>
        <w:spacing w:after="0" w:line="332" w:lineRule="auto"/>
        <w:tabs>
          <w:tab w:leader="none" w:pos="1722" w:val="left"/>
        </w:tabs>
        <w:numPr>
          <w:ilvl w:val="0"/>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85" w:lineRule="exact"/>
        <w:rPr>
          <w:rFonts w:ascii="Arial" w:cs="Arial" w:eastAsia="Arial" w:hAnsi="Arial"/>
          <w:sz w:val="16"/>
          <w:szCs w:val="16"/>
          <w:color w:val="auto"/>
        </w:rPr>
      </w:pPr>
    </w:p>
    <w:p>
      <w:pPr>
        <w:ind w:right="80" w:firstLine="1492"/>
        <w:spacing w:after="0" w:line="298" w:lineRule="auto"/>
        <w:tabs>
          <w:tab w:leader="none" w:pos="170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notwithstanding Section 8.2.3(e) above, effective June 1, 2006, payments for burial or funeral expenses for the Participant’s deceased parent, Spouse, children or dependents (as defined in Code Section 152 without regard to Code Section 152(d)(1)(B)) or effective January 1, 2010, the Participant’s primary beneficiary, and expenses for the repair of damage to a Participant’s principal residence that would qualify for the casualty deduction under Code Section 165 without regard to whether the loss exceeds 10% of the Participant’s adjusted gross income; or</w:t>
      </w:r>
    </w:p>
    <w:p>
      <w:pPr>
        <w:spacing w:after="0" w:line="112" w:lineRule="exact"/>
        <w:rPr>
          <w:rFonts w:ascii="Arial" w:cs="Arial" w:eastAsia="Arial" w:hAnsi="Arial"/>
          <w:sz w:val="16"/>
          <w:szCs w:val="16"/>
          <w:color w:val="auto"/>
        </w:rPr>
      </w:pPr>
    </w:p>
    <w:p>
      <w:pPr>
        <w:ind w:left="1740" w:hanging="248"/>
        <w:spacing w:after="0"/>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such other circumstances or events as may be prescribed by the Secretary of the Treasury or his or her delegate.</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Note that for purposes of this Section 8.2.3, “primary beneficiary” means an individual who is named as a beneficiary under the Plan and has an unconditional right to all or a portion of the Participant’s account balance under the Plan upon the Participant’s death.</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171" w:lineRule="exact"/>
        <w:rPr>
          <w:sz w:val="20"/>
          <w:szCs w:val="20"/>
          <w:color w:val="auto"/>
        </w:rPr>
      </w:pPr>
    </w:p>
    <w:p>
      <w:pPr>
        <w:ind w:right="600" w:firstLine="1492"/>
        <w:spacing w:after="0" w:line="332" w:lineRule="auto"/>
        <w:tabs>
          <w:tab w:leader="none" w:pos="172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85" w:lineRule="exact"/>
        <w:rPr>
          <w:rFonts w:ascii="Arial" w:cs="Arial" w:eastAsia="Arial" w:hAnsi="Arial"/>
          <w:sz w:val="16"/>
          <w:szCs w:val="16"/>
          <w:color w:val="auto"/>
        </w:rPr>
      </w:pPr>
    </w:p>
    <w:p>
      <w:pPr>
        <w:ind w:right="40" w:firstLine="1492"/>
        <w:spacing w:after="0" w:line="268" w:lineRule="auto"/>
        <w:tabs>
          <w:tab w:leader="none" w:pos="173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8.2.5. If a Participant withdraws any amount from his Pre-Tax Matched Contribution Account, Pre-Tax Unmatched Contribution Account, Catch-Up Contribution Account, Roth Catch-Up Contribution Account, Roth Matched Contribution Account or Roth Unmatched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Catch-Up Contributions, Roth Contributions or Roth Catch-Up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288" w:name="page289"/>
    <w:bookmarkEnd w:id="288"/>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Code) or any qualified or non-qualified employee stock purchase plan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pacing w:after="0" w:line="85" w:lineRule="exact"/>
        <w:rPr>
          <w:sz w:val="20"/>
          <w:szCs w:val="20"/>
          <w:color w:val="auto"/>
        </w:rPr>
      </w:pPr>
    </w:p>
    <w:p>
      <w:pPr>
        <w:ind w:right="40" w:firstLine="1492"/>
        <w:spacing w:after="0" w:line="259" w:lineRule="auto"/>
        <w:tabs>
          <w:tab w:leader="none" w:pos="172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140" w:lineRule="exact"/>
        <w:rPr>
          <w:rFonts w:ascii="Arial" w:cs="Arial" w:eastAsia="Arial" w:hAnsi="Arial"/>
          <w:sz w:val="18"/>
          <w:szCs w:val="18"/>
          <w:color w:val="auto"/>
        </w:rPr>
      </w:pPr>
    </w:p>
    <w:p>
      <w:pPr>
        <w:ind w:right="200" w:firstLine="1492"/>
        <w:spacing w:after="0" w:line="305" w:lineRule="auto"/>
        <w:tabs>
          <w:tab w:leader="none" w:pos="1732" w:val="left"/>
        </w:tabs>
        <w:numPr>
          <w:ilvl w:val="1"/>
          <w:numId w:val="208"/>
        </w:numPr>
        <w:rPr>
          <w:rFonts w:ascii="Arial" w:cs="Arial" w:eastAsia="Arial" w:hAnsi="Arial"/>
          <w:sz w:val="15"/>
          <w:szCs w:val="15"/>
          <w:color w:val="auto"/>
        </w:rPr>
      </w:pPr>
      <w:r>
        <w:rPr>
          <w:rFonts w:ascii="Arial" w:cs="Arial" w:eastAsia="Arial" w:hAnsi="Arial"/>
          <w:sz w:val="15"/>
          <w:szCs w:val="15"/>
          <w:color w:val="auto"/>
        </w:rPr>
        <w:t>a Participant who is a Covered Union Employee (Broadband) for only a portion of a Plan Year and, thereafter, remains an Eligible Employee (other than a Covered Union Employee (Broadband)), shall have the twelve-month suspension period lifted on the latest of (1) September 15, 2003,</w:t>
      </w:r>
    </w:p>
    <w:p>
      <w:pPr>
        <w:ind w:left="260" w:hanging="252"/>
        <w:spacing w:after="0"/>
        <w:tabs>
          <w:tab w:leader="none" w:pos="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completion of a six-month suspension period, or (3) decertification of such Covered Union Employee’s union.</w:t>
      </w:r>
    </w:p>
    <w:p>
      <w:pPr>
        <w:spacing w:after="0" w:line="16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Any Eligible Employee whose Pre-Tax Contributions (and, in the case of a Covered Union Employee (Broadband), After-Tax Contributions), Catch-Up Contributions, Roth Contributions and/or Roth Catch-Up Contributions are suspended pursuant to Section 8.2.5 or 8.2.6 will, upon the expiration of the required suspension period, automatically resume such contributions at the contribution rates in effect for such Employee immediately prior to the commencement of the required suspension period.</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Withdrawals On and After Attainment of Age 59</w:t>
      </w:r>
      <w:r>
        <w:rPr>
          <w:rFonts w:ascii="Arial" w:cs="Arial" w:eastAsia="Arial" w:hAnsi="Arial"/>
          <w:sz w:val="16"/>
          <w:szCs w:val="16"/>
          <w:color w:val="auto"/>
        </w:rPr>
        <w:t xml:space="preserve"> </w:t>
      </w:r>
      <w:r>
        <w:rPr>
          <w:rFonts w:ascii="Arial" w:cs="Arial" w:eastAsia="Arial" w:hAnsi="Arial"/>
          <w:sz w:val="10"/>
          <w:szCs w:val="10"/>
          <w:color w:val="auto"/>
        </w:rPr>
        <w:t>1</w:t>
      </w:r>
      <w:r>
        <w:rPr>
          <w:rFonts w:ascii="Arial" w:cs="Arial" w:eastAsia="Arial" w:hAnsi="Arial"/>
          <w:sz w:val="16"/>
          <w:szCs w:val="16"/>
          <w:u w:val="single" w:color="auto"/>
          <w:color w:val="auto"/>
        </w:rPr>
        <w:t>/</w:t>
      </w:r>
      <w:r>
        <w:rPr>
          <w:rFonts w:ascii="Arial" w:cs="Arial" w:eastAsia="Arial" w:hAnsi="Arial"/>
          <w:sz w:val="10"/>
          <w:szCs w:val="10"/>
          <w:u w:val="single" w:color="auto"/>
          <w:color w:val="auto"/>
        </w:rPr>
        <w:t>2</w:t>
      </w:r>
      <w:r>
        <w:rPr>
          <w:rFonts w:ascii="Arial" w:cs="Arial" w:eastAsia="Arial" w:hAnsi="Arial"/>
          <w:sz w:val="16"/>
          <w:szCs w:val="16"/>
          <w:color w:val="auto"/>
        </w:rPr>
        <w:t xml:space="preserve">. Upon his attainment of Age 59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a Participant who is an Active Participant may withdraw, in accordance with rules prescribed by the Committee and uniformly applied, less amounts previously withdrawn therefrom, by submitting his request to the Committee in accordance with Section 14.9, up to the vested portion in his Account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-354965</wp:posOffset>
            </wp:positionV>
            <wp:extent cx="5334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 After-Tax 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8.3.2. After-Tax Unmatched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8.3.3. After-Tax Rollover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8.3.4. Taxable Rollover Account;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80" w:right="319" w:bottom="1440" w:gutter="0" w:footer="0" w:header="0"/>
        </w:sectPr>
      </w:pPr>
    </w:p>
    <w:bookmarkStart w:id="289" w:name="page290"/>
    <w:bookmarkEnd w:id="28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8.3.5. Prior Company Matching Contribution Account (Vested);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8.3.7. Pre-Tax 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8.3.8. Pre-Tax Unmatched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8.3.9. Matching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8.3.10. Broadband Heritage Matching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8.3.11. DC Adder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8.3.12. Comcast Retirement Contributions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8.3.13. NBCU Retirement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8.3.14. Catch-Up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8.3.15. Roth 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8.3.16. Roth Unmatched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8.3.17. Roth Catch-Up Contribution Account;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8.3.18. Roth Rollover Account.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HEART Act Distributions</w:t>
      </w:r>
      <w:r>
        <w:rPr>
          <w:rFonts w:ascii="Arial" w:cs="Arial" w:eastAsia="Arial" w:hAnsi="Arial"/>
          <w:sz w:val="18"/>
          <w:szCs w:val="18"/>
          <w:color w:val="auto"/>
        </w:rPr>
        <w:t>. Pursuant to section 414(u)(12)(B) of the Code, an Active Participant who is performing active duty service in the uniformed services (as defined in chapter 43 of title 38, United States Code) for a period of more than 30 days shall, solely for purposes of section 401(k)(2)(B)(i) (I), be treated as having had a severance from employment with the Participating Company and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 After-Tax Rollover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8.4.2. Taxable Rollover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8.4.3. Prior Company Matching Contribution Account (Vested);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8.4.4. Prior Company Matching Contribution Account (Unvested);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8.4.5. Pre-Tax 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8.4.6. Pre-Tax Unmatched Contribution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290" w:name="page291"/>
    <w:bookmarkEnd w:id="29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8.4.7. Matching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8.4.8. Broadband Heritage Matching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8.4.9. DC Adder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8.4.10. Comcast Retirement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8.4.11. NBCU Retirement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8.4.12. Catch-Up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8.4.13. Roth 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8.4.14. Roth Unmatched Contribution Account;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8.4.15. Roth Catch-Up Contribution Account;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8.4.16. Roth Rollover Account.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Amount and Payment of Withdrawals</w:t>
      </w:r>
      <w:r>
        <w:rPr>
          <w:rFonts w:ascii="Arial" w:cs="Arial" w:eastAsia="Arial" w:hAnsi="Arial"/>
          <w:sz w:val="16"/>
          <w:szCs w:val="16"/>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with respect to withdrawals made prior to the liquidation of all Company Stock and Investment Stock held in the Plan in accordance with Section 11.5.8,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Withdrawals Not Subject to Replacement</w:t>
      </w:r>
      <w:r>
        <w:rPr>
          <w:rFonts w:ascii="Arial" w:cs="Arial" w:eastAsia="Arial" w:hAnsi="Arial"/>
          <w:sz w:val="16"/>
          <w:szCs w:val="16"/>
          <w:color w:val="auto"/>
        </w:rPr>
        <w:t>. A Participant may not replace any portion of his Accounts withdrawn under this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Pledged Amounts</w:t>
      </w:r>
      <w:r>
        <w:rPr>
          <w:rFonts w:ascii="Arial" w:cs="Arial" w:eastAsia="Arial" w:hAnsi="Arial"/>
          <w:sz w:val="16"/>
          <w:szCs w:val="16"/>
          <w:color w:val="auto"/>
        </w:rPr>
        <w:t>. No amount that has been pledged as security for a loan under Article IX may be withdrawn under this Article.</w:t>
      </w:r>
    </w:p>
    <w:p>
      <w:pPr>
        <w:spacing w:after="0" w:line="19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Investment Medium to be Charged with Withdrawal</w:t>
      </w:r>
      <w:r>
        <w:rPr>
          <w:rFonts w:ascii="Arial" w:cs="Arial" w:eastAsia="Arial" w:hAnsi="Arial"/>
          <w:sz w:val="16"/>
          <w:szCs w:val="16"/>
          <w:color w:val="auto"/>
        </w:rPr>
        <w:t>. Any withdrawal by a Participant under this Article shall be charged against the Investment Media in which such Participant’s Accounts are invested in such priority as shall be established by the Committee.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LOANS TO PARTICIPANTS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Loan Application</w:t>
      </w:r>
      <w:r>
        <w:rPr>
          <w:rFonts w:ascii="Arial" w:cs="Arial" w:eastAsia="Arial" w:hAnsi="Arial"/>
          <w:sz w:val="16"/>
          <w:szCs w:val="16"/>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 In addition to Participants actively employed with a Participating Company, any Participant on a paid or unpaid leave of absence from a Participating Company shall be eligible to apply for a loan from the Plan pursuant to this Article IX.</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9.2.1. No application for a loan shall be approved for any Participant unless at least fifteen (15) days have elapsed since the date he has repaid in full any prior loan from the Plan.</w:t>
      </w:r>
    </w:p>
    <w:p>
      <w:pPr>
        <w:spacing w:after="0" w:line="132" w:lineRule="exact"/>
        <w:rPr>
          <w:sz w:val="20"/>
          <w:szCs w:val="20"/>
          <w:color w:val="auto"/>
        </w:rPr>
      </w:pPr>
    </w:p>
    <w:p>
      <w:pPr>
        <w:ind w:right="160" w:firstLine="913"/>
        <w:spacing w:after="0" w:line="370" w:lineRule="auto"/>
        <w:rPr>
          <w:sz w:val="20"/>
          <w:szCs w:val="20"/>
          <w:color w:val="auto"/>
        </w:rPr>
      </w:pPr>
      <w:r>
        <w:rPr>
          <w:rFonts w:ascii="Arial" w:cs="Arial" w:eastAsia="Arial" w:hAnsi="Arial"/>
          <w:sz w:val="15"/>
          <w:szCs w:val="15"/>
          <w:color w:val="auto"/>
        </w:rPr>
        <w:t>9.2.2. The Committee shall have the right to reject a loan application on the basis of a Participant’s credit worthiness or such other factors as would be considered in a normal commercial setting by an entity in the business of making loans and as the Committee determines necessary to safeguard the Fund.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12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132" w:lineRule="exact"/>
        <w:rPr>
          <w:sz w:val="20"/>
          <w:szCs w:val="20"/>
          <w:color w:val="auto"/>
        </w:rPr>
      </w:pPr>
    </w:p>
    <w:p>
      <w:pPr>
        <w:ind w:left="1740" w:hanging="248"/>
        <w:spacing w:after="0"/>
        <w:tabs>
          <w:tab w:leader="none" w:pos="17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171" w:lineRule="exact"/>
        <w:rPr>
          <w:rFonts w:ascii="Arial" w:cs="Arial" w:eastAsia="Arial" w:hAnsi="Arial"/>
          <w:sz w:val="18"/>
          <w:szCs w:val="18"/>
          <w:color w:val="auto"/>
        </w:rPr>
      </w:pPr>
    </w:p>
    <w:p>
      <w:pPr>
        <w:ind w:right="140" w:firstLine="1948"/>
        <w:spacing w:after="0" w:line="268" w:lineRule="auto"/>
        <w:tabs>
          <w:tab w:leader="none" w:pos="218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292" w:name="page293"/>
    <w:bookmarkEnd w:id="292"/>
    <w:p>
      <w:pPr>
        <w:ind w:left="2200" w:hanging="252"/>
        <w:spacing w:after="0"/>
        <w:tabs>
          <w:tab w:leader="none" w:pos="22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outstanding balance of loans made to the Participant on the date such loan is made to the Participant; or</w:t>
      </w:r>
    </w:p>
    <w:p>
      <w:pPr>
        <w:spacing w:after="0" w:line="171" w:lineRule="exact"/>
        <w:rPr>
          <w:rFonts w:ascii="Arial" w:cs="Arial" w:eastAsia="Arial" w:hAnsi="Arial"/>
          <w:sz w:val="18"/>
          <w:szCs w:val="18"/>
          <w:color w:val="auto"/>
        </w:rPr>
      </w:pPr>
    </w:p>
    <w:p>
      <w:pPr>
        <w:ind w:right="140" w:firstLine="1492"/>
        <w:spacing w:after="0" w:line="268" w:lineRule="auto"/>
        <w:tabs>
          <w:tab w:leader="none" w:pos="173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143"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14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118"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period of repayment for any loan shall not exceed a total of 60 months, unless an extension is permitted in accordance with section 72(p) of the Code and the regulations thereunder.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9.4.5. If, and only if:</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the Participant dies;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293" w:name="page294"/>
    <w:bookmarkEnd w:id="293"/>
    <w:p>
      <w:pPr>
        <w:ind w:left="1740" w:hanging="248"/>
        <w:spacing w:after="0"/>
        <w:tabs>
          <w:tab w:leader="none" w:pos="17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 (other than a Participant who continues to be a party in interest) has a Severance from Service Date;</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Participant attempts to revoke any payroll deduction authorization for repayment of the loan without the consent of the Committee;</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Participant fails to pay any installment of the loan when due and the Committee elects to treat such failure as default; or</w:t>
      </w:r>
    </w:p>
    <w:p>
      <w:pPr>
        <w:spacing w:after="0" w:line="194" w:lineRule="exact"/>
        <w:rPr>
          <w:rFonts w:ascii="Arial" w:cs="Arial" w:eastAsia="Arial" w:hAnsi="Arial"/>
          <w:sz w:val="16"/>
          <w:szCs w:val="16"/>
          <w:color w:val="auto"/>
        </w:rPr>
      </w:pPr>
    </w:p>
    <w:p>
      <w:pPr>
        <w:ind w:left="1720" w:hanging="228"/>
        <w:spacing w:after="0"/>
        <w:tabs>
          <w:tab w:leader="none" w:pos="17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other event occurs which the Committee, in its sole discretion, believes may jeopardize the repayment of the loan;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11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 indebtedness at such time as the Participant has a Severance from Service Date. Such action shall not operate as a waiver of the rights of the Company, the Committee, the Trustee, or the Plan under applicable law.</w:t>
      </w:r>
    </w:p>
    <w:p>
      <w:pPr>
        <w:spacing w:after="0" w:line="143"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294" w:name="page295"/>
    <w:bookmarkEnd w:id="294"/>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ADMINISTRATION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Committee</w:t>
      </w:r>
      <w:r>
        <w:rPr>
          <w:rFonts w:ascii="Arial" w:cs="Arial" w:eastAsia="Arial" w:hAnsi="Arial"/>
          <w:sz w:val="16"/>
          <w:szCs w:val="16"/>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171"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10.2.2. The Committee shall have all other duties and powers necessary or desirable to administer the Plan, including, but not limited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left="1740" w:hanging="248"/>
        <w:spacing w:after="0"/>
        <w:tabs>
          <w:tab w:leader="none" w:pos="1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171" w:lineRule="exact"/>
        <w:rPr>
          <w:rFonts w:ascii="Arial" w:cs="Arial" w:eastAsia="Arial" w:hAnsi="Arial"/>
          <w:sz w:val="18"/>
          <w:szCs w:val="18"/>
          <w:color w:val="auto"/>
        </w:rPr>
      </w:pPr>
    </w:p>
    <w:p>
      <w:pPr>
        <w:ind w:right="20" w:firstLine="1492"/>
        <w:spacing w:after="0" w:line="268" w:lineRule="auto"/>
        <w:tabs>
          <w:tab w:leader="none" w:pos="173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 of the Plan;</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171" w:lineRule="exact"/>
        <w:rPr>
          <w:rFonts w:ascii="Arial" w:cs="Arial" w:eastAsia="Arial" w:hAnsi="Arial"/>
          <w:sz w:val="18"/>
          <w:szCs w:val="18"/>
          <w:color w:val="auto"/>
        </w:rPr>
      </w:pPr>
    </w:p>
    <w:p>
      <w:pPr>
        <w:ind w:right="260" w:firstLine="1492"/>
        <w:spacing w:after="0" w:line="268" w:lineRule="auto"/>
        <w:tabs>
          <w:tab w:leader="none" w:pos="172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appoint, discharge and periodically monitor the performance of third party administrators, insurers, service providers, other agents, consultants, accountants and attorneys in the administration of the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80" w:right="299" w:bottom="1440" w:gutter="0" w:footer="0" w:header="0"/>
        </w:sectPr>
      </w:pPr>
    </w:p>
    <w:bookmarkStart w:id="295" w:name="page296"/>
    <w:bookmarkEnd w:id="295"/>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 to determine whether any domestic relations order received by the Plan is a qualified domestic relations order as provided in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414(p) of the Code;</w:t>
      </w:r>
    </w:p>
    <w:p>
      <w:pPr>
        <w:spacing w:after="0" w:line="165" w:lineRule="exact"/>
        <w:rPr>
          <w:sz w:val="20"/>
          <w:szCs w:val="20"/>
          <w:color w:val="auto"/>
        </w:rPr>
      </w:pPr>
    </w:p>
    <w:p>
      <w:pPr>
        <w:ind w:left="1740" w:hanging="248"/>
        <w:spacing w:after="0"/>
        <w:tabs>
          <w:tab w:leader="none" w:pos="17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prepare and file any reports or returns with respect to the Plan required by the Code, ERISA or any other law;</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to issue rules and regulations necessary for the proper conduct and administration of the Plan and to change, alter, or amend such rules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regulations;</w:t>
      </w:r>
    </w:p>
    <w:p>
      <w:pPr>
        <w:spacing w:after="0" w:line="165" w:lineRule="exact"/>
        <w:rPr>
          <w:sz w:val="20"/>
          <w:szCs w:val="20"/>
          <w:color w:val="auto"/>
        </w:rPr>
      </w:pPr>
    </w:p>
    <w:p>
      <w:pPr>
        <w:ind w:firstLine="1492"/>
        <w:spacing w:after="0" w:line="268" w:lineRule="auto"/>
        <w:tabs>
          <w:tab w:leader="none" w:pos="16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10.2.3. The Committee shall have exclusive authority and discretion to manage and control the assets of the Plan, including, but not limited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left="1740" w:hanging="248"/>
        <w:spacing w:after="0"/>
        <w:tabs>
          <w:tab w:leader="none" w:pos="17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establish the Plan’s overall investment policy, including asset allocation, investment policy statement or investment guidelines;</w:t>
      </w:r>
    </w:p>
    <w:p>
      <w:pPr>
        <w:spacing w:after="0" w:line="194" w:lineRule="exact"/>
        <w:rPr>
          <w:rFonts w:ascii="Arial" w:cs="Arial" w:eastAsia="Arial" w:hAnsi="Arial"/>
          <w:sz w:val="16"/>
          <w:szCs w:val="16"/>
          <w:color w:val="auto"/>
        </w:rPr>
      </w:pPr>
    </w:p>
    <w:p>
      <w:pPr>
        <w:ind w:left="1740" w:hanging="248"/>
        <w:spacing w:after="0"/>
        <w:tabs>
          <w:tab w:leader="none" w:pos="17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direct such Trustee(s) with respect to the investment and management of the Plan’s assets, including any voting rights for any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held by the Trustee;</w:t>
      </w:r>
    </w:p>
    <w:p>
      <w:pPr>
        <w:spacing w:after="0" w:line="165" w:lineRule="exact"/>
        <w:rPr>
          <w:sz w:val="20"/>
          <w:szCs w:val="20"/>
          <w:color w:val="auto"/>
        </w:rPr>
      </w:pPr>
    </w:p>
    <w:p>
      <w:pPr>
        <w:ind w:left="1740" w:hanging="248"/>
        <w:spacing w:after="0"/>
        <w:tabs>
          <w:tab w:leader="none" w:pos="17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direct the Trustee to pay investment-related expenses properly chargeable to the Plan, including Trustee expenses;</w:t>
      </w:r>
    </w:p>
    <w:p>
      <w:pPr>
        <w:spacing w:after="0" w:line="171" w:lineRule="exact"/>
        <w:rPr>
          <w:rFonts w:ascii="Arial" w:cs="Arial" w:eastAsia="Arial" w:hAnsi="Arial"/>
          <w:sz w:val="18"/>
          <w:szCs w:val="18"/>
          <w:color w:val="auto"/>
        </w:rPr>
      </w:pPr>
    </w:p>
    <w:p>
      <w:pPr>
        <w:ind w:right="160" w:firstLine="1492"/>
        <w:spacing w:after="0" w:line="268" w:lineRule="auto"/>
        <w:tabs>
          <w:tab w:leader="none" w:pos="172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31" w:lineRule="exact"/>
        <w:rPr>
          <w:rFonts w:ascii="Arial" w:cs="Arial" w:eastAsia="Arial" w:hAnsi="Arial"/>
          <w:sz w:val="18"/>
          <w:szCs w:val="18"/>
          <w:color w:val="auto"/>
        </w:rPr>
      </w:pPr>
    </w:p>
    <w:p>
      <w:pPr>
        <w:ind w:right="400" w:firstLine="1492"/>
        <w:spacing w:after="0" w:line="268" w:lineRule="auto"/>
        <w:tabs>
          <w:tab w:leader="none" w:pos="170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enter into insurance contracts and arrangements, including contracts for participation in single-client or pooled separate accounts to facilitate the investment of plan assets;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280" w:right="319" w:bottom="1440" w:gutter="0" w:footer="0" w:header="0"/>
        </w:sectPr>
      </w:pPr>
    </w:p>
    <w:bookmarkStart w:id="296" w:name="page297"/>
    <w:bookmarkEnd w:id="296"/>
    <w:p>
      <w:pPr>
        <w:ind w:right="160" w:firstLine="1492"/>
        <w:spacing w:after="0" w:line="259" w:lineRule="auto"/>
        <w:tabs>
          <w:tab w:leader="none" w:pos="1732"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14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143" w:lineRule="exact"/>
        <w:rPr>
          <w:sz w:val="20"/>
          <w:szCs w:val="20"/>
          <w:color w:val="auto"/>
        </w:rPr>
      </w:pPr>
    </w:p>
    <w:p>
      <w:pPr>
        <w:ind w:right="380" w:firstLine="1492"/>
        <w:spacing w:after="0" w:line="268" w:lineRule="auto"/>
        <w:tabs>
          <w:tab w:leader="none" w:pos="172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determination of benefits payable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171" w:lineRule="exact"/>
        <w:rPr>
          <w:rFonts w:ascii="Arial" w:cs="Arial" w:eastAsia="Arial" w:hAnsi="Arial"/>
          <w:sz w:val="18"/>
          <w:szCs w:val="18"/>
          <w:color w:val="auto"/>
        </w:rPr>
      </w:pPr>
    </w:p>
    <w:p>
      <w:pPr>
        <w:ind w:right="420" w:firstLine="1492"/>
        <w:spacing w:after="0" w:line="256" w:lineRule="auto"/>
        <w:tabs>
          <w:tab w:leader="none" w:pos="172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143" w:lineRule="exact"/>
        <w:rPr>
          <w:rFonts w:ascii="Arial" w:cs="Arial" w:eastAsia="Arial" w:hAnsi="Arial"/>
          <w:sz w:val="18"/>
          <w:szCs w:val="18"/>
          <w:color w:val="auto"/>
        </w:rPr>
      </w:pPr>
    </w:p>
    <w:p>
      <w:pPr>
        <w:ind w:firstLine="1492"/>
        <w:spacing w:after="0" w:line="268" w:lineRule="auto"/>
        <w:tabs>
          <w:tab w:leader="none" w:pos="170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 benefits under the Plan;</w:t>
      </w:r>
    </w:p>
    <w:p>
      <w:pPr>
        <w:spacing w:after="0" w:line="194" w:lineRule="exact"/>
        <w:rPr>
          <w:rFonts w:ascii="Arial" w:cs="Arial" w:eastAsia="Arial" w:hAnsi="Arial"/>
          <w:sz w:val="16"/>
          <w:szCs w:val="16"/>
          <w:color w:val="auto"/>
        </w:rPr>
      </w:pPr>
    </w:p>
    <w:p>
      <w:pPr>
        <w:ind w:right="680" w:firstLine="1492"/>
        <w:spacing w:after="0" w:line="268" w:lineRule="auto"/>
        <w:tabs>
          <w:tab w:leader="none" w:pos="173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31" w:lineRule="exact"/>
        <w:rPr>
          <w:rFonts w:ascii="Arial" w:cs="Arial" w:eastAsia="Arial" w:hAnsi="Arial"/>
          <w:sz w:val="18"/>
          <w:szCs w:val="18"/>
          <w:color w:val="auto"/>
        </w:rPr>
      </w:pPr>
    </w:p>
    <w:p>
      <w:pPr>
        <w:ind w:left="1700" w:hanging="208"/>
        <w:spacing w:after="0"/>
        <w:tabs>
          <w:tab w:leader="none" w:pos="17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to direct the Trustee to pay benefits and any Plan expenses properly chargeable to the Plan that are related to claims for benefits.</w:t>
      </w:r>
    </w:p>
    <w:p>
      <w:pPr>
        <w:spacing w:after="0" w:line="194" w:lineRule="exact"/>
        <w:rPr>
          <w:sz w:val="20"/>
          <w:szCs w:val="20"/>
          <w:color w:val="auto"/>
        </w:rPr>
      </w:pPr>
    </w:p>
    <w:p>
      <w:pPr>
        <w:jc w:val="center"/>
        <w:ind w:left="780" w:right="380"/>
        <w:spacing w:after="0" w:line="440" w:lineRule="auto"/>
        <w:rPr>
          <w:sz w:val="20"/>
          <w:szCs w:val="20"/>
          <w:color w:val="auto"/>
        </w:rPr>
      </w:pPr>
      <w:r>
        <w:rPr>
          <w:rFonts w:ascii="Arial" w:cs="Arial" w:eastAsia="Arial" w:hAnsi="Arial"/>
          <w:sz w:val="18"/>
          <w:szCs w:val="18"/>
          <w:color w:val="auto"/>
        </w:rPr>
        <w:t>10.2.5. The Committee shall be deemed to have delegated its responsibilities for determining benefits and eligibility for benefits to a third party -56-</w:t>
      </w:r>
    </w:p>
    <w:p>
      <w:pPr>
        <w:sectPr>
          <w:pgSz w:w="11900" w:h="16838" w:orient="portrait"/>
          <w:cols w:equalWidth="0" w:num="1">
            <w:col w:w="11380"/>
          </w:cols>
          <w:pgMar w:left="240" w:top="280" w:right="279" w:bottom="1440" w:gutter="0" w:footer="0" w:header="0"/>
        </w:sectPr>
      </w:pPr>
    </w:p>
    <w:bookmarkStart w:id="297" w:name="page298"/>
    <w:bookmarkEnd w:id="297"/>
    <w:p>
      <w:pPr>
        <w:ind w:right="2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171"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17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10.4.1. allocate, from time-to- 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144"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 same manner to revoke any such delegation of responsibilities. Any action of the delegate in the exercise of such 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298" w:name="page299"/>
    <w:bookmarkEnd w:id="298"/>
    <w:p>
      <w:pPr>
        <w:ind w:right="1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132" w:lineRule="exact"/>
        <w:rPr>
          <w:sz w:val="20"/>
          <w:szCs w:val="20"/>
          <w:color w:val="auto"/>
        </w:rPr>
      </w:pPr>
    </w:p>
    <w:p>
      <w:pPr>
        <w:ind w:left="1740" w:hanging="248"/>
        <w:spacing w:after="0"/>
        <w:tabs>
          <w:tab w:leader="none" w:pos="17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 description of any additional information necessary for the claimant to perfect the claim and an explanation of why such information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necessary; and</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 appropriate information as to the steps to be taken if the claimant wishes to submit his claim for review.</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140"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 however, that in special circumstances the Committee may extend the response period for up to 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299" w:name="page300"/>
    <w:bookmarkEnd w:id="299"/>
    <w:p>
      <w:pPr>
        <w:ind w:right="40" w:firstLine="913"/>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10.7.3. </w:t>
      </w:r>
      <w:r>
        <w:rPr>
          <w:rFonts w:ascii="Arial" w:cs="Arial" w:eastAsia="Arial" w:hAnsi="Arial"/>
          <w:sz w:val="15"/>
          <w:szCs w:val="15"/>
          <w:u w:val="single" w:color="auto"/>
          <w:color w:val="auto"/>
        </w:rPr>
        <w:t>Exhaustion and Limitations Period</w:t>
      </w:r>
      <w:r>
        <w:rPr>
          <w:rFonts w:ascii="Arial" w:cs="Arial" w:eastAsia="Arial" w:hAnsi="Arial"/>
          <w:sz w:val="15"/>
          <w:szCs w:val="15"/>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w:t>
      </w:r>
    </w:p>
    <w:p>
      <w:pPr>
        <w:ind w:right="80" w:firstLine="8"/>
        <w:spacing w:after="0" w:line="255" w:lineRule="auto"/>
        <w:tabs>
          <w:tab w:leader="none" w:pos="2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300" w:name="page301"/>
    <w:bookmarkEnd w:id="300"/>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THE FUND</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Trustee</w:t>
      </w:r>
      <w:r>
        <w:rPr>
          <w:rFonts w:ascii="Arial" w:cs="Arial" w:eastAsia="Arial" w:hAnsi="Arial"/>
          <w:sz w:val="16"/>
          <w:szCs w:val="16"/>
          <w:color w:val="auto"/>
        </w:rPr>
        <w:t>. Except as otherwise provided in Section 11.5.8, the Trustee shall be the named fiduciary with respect to management and control of Plan assets held by it and shall have exclusive and sole responsibility for the custody and investment thereof in accordance with the Trust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11.5.1. Except as provided in Section 11.5.5, the Trustee shall invest all contributions that are paid to it and income thereon in such Investment Media as each Participant may select in accordance with this Section. Prior to January 1, 2016,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11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11.5.2. Except as provided in Sections 11.5.5 through 11.5.8,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301" w:name="page302"/>
    <w:bookmarkEnd w:id="301"/>
    <w:p>
      <w:pPr>
        <w:ind w:right="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11.5.3. Subject to Sections 11.5.7 and 11.5.8, a Participant may transfer, effective as of such dates determined by the Committee, such portion of the value of his interest in any Investment Medium to another Investment Medium, as may be permitted by the Committee.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11.5.4. The amounts contributed by all Participants to each Investment Medium shall be commingled for investment purposes.</w:t>
      </w:r>
    </w:p>
    <w:p>
      <w:pPr>
        <w:spacing w:after="0" w:line="171" w:lineRule="exact"/>
        <w:rPr>
          <w:sz w:val="20"/>
          <w:szCs w:val="20"/>
          <w:color w:val="auto"/>
        </w:rPr>
      </w:pPr>
    </w:p>
    <w:p>
      <w:pPr>
        <w:ind w:right="940" w:firstLine="913"/>
        <w:spacing w:after="0" w:line="268"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132"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11.5.6. The Committee may limit the right of a Participant (a) to increase or decrease his contribution to a particular Investment Medium, (b) 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14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11.5.6 and 11.5.8,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16"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11.5.8. Effective January 1, 2016, Company Stock is no longer available for new investments under the Plan. Effective beginning on or about January 1, 2017, (i) Company Stock and Investment Stock shall cease to be an Investment Medium under the Plan and (ii) all shares of Company Stock and Investment Stock held in the Plan shall be liquidated and the proceeds re-invested in an appropriate alternative investment to be determined by the Independent Fiduciary (as defined below). Beginning on January 1, 2016, all or a portion of the value of a Participant’s interest in Company Stock may be transferred to a different Investment Medium at the election of such Participant; however, a Participant may not transfer a portion of the value of his interest in any other Investment Medium to Company Stock and may not direct the investment of new Plan contributions in Company Stock. As soon as administratively practicable, the Committee shall appoint an independent fiduciary (the “Independent Fiduciary”) to manage the Company Stock and Investment Stock held in the Plan, including managing the freeze and liquidation of the Company Stock and Investment Stock, as provided for in this section. In such capacity, the Independent Fiduciary shall be the Plan’s “named fiduciary” with respect to its investment in Company Stock and Investment Stock.</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302" w:name="page303"/>
    <w:bookmarkEnd w:id="302"/>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AMENDMENT OR TERMINATION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12.1.2. In addition,</w:t>
      </w:r>
    </w:p>
    <w:p>
      <w:pPr>
        <w:spacing w:after="0" w:line="171" w:lineRule="exact"/>
        <w:rPr>
          <w:sz w:val="20"/>
          <w:szCs w:val="20"/>
          <w:color w:val="auto"/>
        </w:rPr>
      </w:pPr>
    </w:p>
    <w:p>
      <w:pPr>
        <w:ind w:left="1740" w:hanging="248"/>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EVP may approve any amendment to the Plan:</w:t>
      </w:r>
    </w:p>
    <w:p>
      <w:pPr>
        <w:spacing w:after="0" w:line="171" w:lineRule="exact"/>
        <w:rPr>
          <w:rFonts w:ascii="Arial" w:cs="Arial" w:eastAsia="Arial" w:hAnsi="Arial"/>
          <w:sz w:val="18"/>
          <w:szCs w:val="18"/>
          <w:color w:val="auto"/>
        </w:rPr>
      </w:pPr>
    </w:p>
    <w:p>
      <w:pPr>
        <w:ind w:right="80" w:firstLine="1948"/>
        <w:spacing w:after="0" w:line="268" w:lineRule="auto"/>
        <w:tabs>
          <w:tab w:leader="none" w:pos="215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that is required by law or necessary or appropriate to maintain the Plan as a plan meeting the requirements of Code section 401(a), retroactively if necessary or appropriate;</w:t>
      </w:r>
    </w:p>
    <w:p>
      <w:pPr>
        <w:spacing w:after="0" w:line="131" w:lineRule="exact"/>
        <w:rPr>
          <w:rFonts w:ascii="Arial" w:cs="Arial" w:eastAsia="Arial" w:hAnsi="Arial"/>
          <w:sz w:val="18"/>
          <w:szCs w:val="18"/>
          <w:color w:val="auto"/>
        </w:rPr>
      </w:pPr>
    </w:p>
    <w:p>
      <w:pPr>
        <w:ind w:left="2200" w:hanging="252"/>
        <w:spacing w:after="0"/>
        <w:tabs>
          <w:tab w:leader="none" w:pos="22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that is necessary to make clarifying changes or to correct a drafting error;</w:t>
      </w:r>
    </w:p>
    <w:p>
      <w:pPr>
        <w:spacing w:after="0" w:line="171" w:lineRule="exact"/>
        <w:rPr>
          <w:rFonts w:ascii="Arial" w:cs="Arial" w:eastAsia="Arial" w:hAnsi="Arial"/>
          <w:sz w:val="18"/>
          <w:szCs w:val="18"/>
          <w:color w:val="auto"/>
        </w:rPr>
      </w:pPr>
    </w:p>
    <w:p>
      <w:pPr>
        <w:jc w:val="both"/>
        <w:ind w:right="320" w:firstLine="1948"/>
        <w:spacing w:after="0" w:line="259" w:lineRule="auto"/>
        <w:tabs>
          <w:tab w:leader="none" w:pos="224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140" w:lineRule="exact"/>
        <w:rPr>
          <w:rFonts w:ascii="Arial" w:cs="Arial" w:eastAsia="Arial" w:hAnsi="Arial"/>
          <w:sz w:val="18"/>
          <w:szCs w:val="18"/>
          <w:color w:val="auto"/>
        </w:rPr>
      </w:pPr>
    </w:p>
    <w:p>
      <w:pPr>
        <w:ind w:right="40" w:firstLine="1948"/>
        <w:spacing w:after="0" w:line="259" w:lineRule="auto"/>
        <w:tabs>
          <w:tab w:leader="none" w:pos="223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140" w:lineRule="exact"/>
        <w:rPr>
          <w:rFonts w:ascii="Arial" w:cs="Arial" w:eastAsia="Arial" w:hAnsi="Arial"/>
          <w:sz w:val="18"/>
          <w:szCs w:val="18"/>
          <w:color w:val="auto"/>
        </w:rPr>
      </w:pPr>
    </w:p>
    <w:p>
      <w:pPr>
        <w:ind w:left="2200" w:hanging="252"/>
        <w:spacing w:after="0"/>
        <w:tabs>
          <w:tab w:leader="none" w:pos="220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that is not expected to increase the costs of the Plan by more than $10 million annually based on a reasonable actuarial or other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estimate.</w:t>
      </w:r>
    </w:p>
    <w:p>
      <w:pPr>
        <w:spacing w:after="0" w:line="16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 satisfaction of all liabilities with respect to the benefits provided under this Plan, no amendment or termination shall cause any part of the monies contributed hereunder to revert to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280" w:right="279" w:bottom="1440" w:gutter="0" w:footer="0" w:header="0"/>
        </w:sectPr>
      </w:pPr>
    </w:p>
    <w:bookmarkStart w:id="303" w:name="page304"/>
    <w:bookmarkEnd w:id="30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Merger</w:t>
      </w:r>
      <w:r>
        <w:rPr>
          <w:rFonts w:ascii="Arial" w:cs="Arial" w:eastAsia="Arial" w:hAnsi="Arial"/>
          <w:sz w:val="15"/>
          <w:szCs w:val="15"/>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280" w:right="339" w:bottom="144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TOP-HEAVY PROVISIONS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13.2.1. “</w:t>
      </w:r>
      <w:r>
        <w:rPr>
          <w:rFonts w:ascii="Arial" w:cs="Arial" w:eastAsia="Arial" w:hAnsi="Arial"/>
          <w:sz w:val="18"/>
          <w:szCs w:val="18"/>
          <w:u w:val="single" w:color="auto"/>
          <w:color w:val="auto"/>
        </w:rPr>
        <w:t>Aggregation Group</w:t>
      </w:r>
      <w:r>
        <w:rPr>
          <w:rFonts w:ascii="Arial" w:cs="Arial" w:eastAsia="Arial" w:hAnsi="Arial"/>
          <w:sz w:val="18"/>
          <w:szCs w:val="18"/>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132" w:lineRule="exact"/>
        <w:rPr>
          <w:sz w:val="20"/>
          <w:szCs w:val="20"/>
          <w:color w:val="auto"/>
        </w:rPr>
      </w:pPr>
    </w:p>
    <w:p>
      <w:pPr>
        <w:ind w:left="1740" w:hanging="248"/>
        <w:spacing w:after="0"/>
        <w:tabs>
          <w:tab w:leader="none" w:pos="17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which enables any plan in which a Key Employee participates to meet the requirements of sections 401(a)(4) or 410 of the Code; or</w:t>
      </w:r>
    </w:p>
    <w:p>
      <w:pPr>
        <w:spacing w:after="0" w:line="194" w:lineRule="exact"/>
        <w:rPr>
          <w:rFonts w:ascii="Arial" w:cs="Arial" w:eastAsia="Arial" w:hAnsi="Arial"/>
          <w:sz w:val="16"/>
          <w:szCs w:val="16"/>
          <w:color w:val="auto"/>
        </w:rPr>
      </w:pPr>
    </w:p>
    <w:p>
      <w:pPr>
        <w:ind w:right="400" w:firstLine="1492"/>
        <w:spacing w:after="0" w:line="332" w:lineRule="auto"/>
        <w:tabs>
          <w:tab w:leader="none" w:pos="1722"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13.2.3. “</w:t>
      </w:r>
      <w:r>
        <w:rPr>
          <w:rFonts w:ascii="Arial" w:cs="Arial" w:eastAsia="Arial" w:hAnsi="Arial"/>
          <w:sz w:val="16"/>
          <w:szCs w:val="16"/>
          <w:u w:val="single" w:color="auto"/>
          <w:color w:val="auto"/>
        </w:rPr>
        <w:t>Key Employee</w:t>
      </w:r>
      <w:r>
        <w:rPr>
          <w:rFonts w:ascii="Arial" w:cs="Arial" w:eastAsia="Arial" w:hAnsi="Arial"/>
          <w:sz w:val="16"/>
          <w:szCs w:val="16"/>
          <w:color w:val="auto"/>
        </w:rPr>
        <w:t>” means any Employee or former Employee (including any deceased Employee) who at any time during the Plan Year that includes the Determination Date was an officer of a Participating Company having Compensation for a Plan Year greater than $165,000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13.2.4. “</w:t>
      </w:r>
      <w:r>
        <w:rPr>
          <w:rFonts w:ascii="Arial" w:cs="Arial" w:eastAsia="Arial" w:hAnsi="Arial"/>
          <w:sz w:val="16"/>
          <w:szCs w:val="16"/>
          <w:u w:val="single" w:color="auto"/>
          <w:color w:val="auto"/>
        </w:rPr>
        <w:t>Key Employee Ratio</w:t>
      </w:r>
      <w:r>
        <w:rPr>
          <w:rFonts w:ascii="Arial" w:cs="Arial" w:eastAsia="Arial" w:hAnsi="Arial"/>
          <w:sz w:val="16"/>
          <w:szCs w:val="16"/>
          <w:color w:val="auto"/>
        </w:rPr>
        <w:t>” means, for any Determination Date, the ratio of the amount described in Section 13.2.4(a) to the amount described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13.2.4(b), after deducting from each such amount any portion thereof described in Section 13.2.4(c), where:</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the amount described in this Paragraph is the sum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9" w:right="239" w:bottom="1440" w:gutter="0" w:footer="0" w:header="0"/>
        </w:sectPr>
      </w:pPr>
    </w:p>
    <w:bookmarkStart w:id="305" w:name="page306"/>
    <w:bookmarkEnd w:id="305"/>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 the present value of all accrued benefits of Key Employees under all qualified defined benefit plans included in the Aggregation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16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(2) the balances in all of the accounts of Key Employees under all qualified defined contribution plans included in the Aggregation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Group; and</w:t>
      </w:r>
    </w:p>
    <w:p>
      <w:pPr>
        <w:spacing w:after="0" w:line="165" w:lineRule="exact"/>
        <w:rPr>
          <w:sz w:val="20"/>
          <w:szCs w:val="20"/>
          <w:color w:val="auto"/>
        </w:rPr>
      </w:pPr>
    </w:p>
    <w:p>
      <w:pPr>
        <w:ind w:right="180" w:firstLine="1948"/>
        <w:spacing w:after="0" w:line="306" w:lineRule="auto"/>
        <w:tabs>
          <w:tab w:leader="none" w:pos="2189"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left="2200" w:hanging="252"/>
        <w:spacing w:after="0"/>
        <w:tabs>
          <w:tab w:leader="none" w:pos="220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present value of all accrued benefits of all participants under all qualified defined benefit plans included in the Aggregation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164" w:lineRule="exact"/>
        <w:rPr>
          <w:rFonts w:ascii="Arial" w:cs="Arial" w:eastAsia="Arial" w:hAnsi="Arial"/>
          <w:sz w:val="16"/>
          <w:szCs w:val="16"/>
          <w:color w:val="auto"/>
        </w:rPr>
      </w:pPr>
    </w:p>
    <w:p>
      <w:pPr>
        <w:ind w:left="2200" w:hanging="252"/>
        <w:spacing w:after="0"/>
        <w:tabs>
          <w:tab w:leader="none" w:pos="220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balances in all of the accounts of all participants under all qualified defined contribution plans included in the Aggregation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 and</w:t>
      </w:r>
    </w:p>
    <w:p>
      <w:pPr>
        <w:spacing w:after="0" w:line="164" w:lineRule="exact"/>
        <w:rPr>
          <w:rFonts w:ascii="Arial" w:cs="Arial" w:eastAsia="Arial" w:hAnsi="Arial"/>
          <w:sz w:val="16"/>
          <w:szCs w:val="16"/>
          <w:color w:val="auto"/>
        </w:rPr>
      </w:pPr>
    </w:p>
    <w:p>
      <w:pPr>
        <w:ind w:right="140" w:firstLine="1948"/>
        <w:spacing w:after="0" w:line="259" w:lineRule="auto"/>
        <w:tabs>
          <w:tab w:leader="none" w:pos="218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171" w:lineRule="exact"/>
        <w:rPr>
          <w:rFonts w:ascii="Arial" w:cs="Arial" w:eastAsia="Arial" w:hAnsi="Arial"/>
          <w:sz w:val="18"/>
          <w:szCs w:val="18"/>
          <w:color w:val="auto"/>
        </w:rPr>
      </w:pPr>
    </w:p>
    <w:p>
      <w:pPr>
        <w:ind w:firstLine="1948"/>
        <w:spacing w:after="0" w:line="268" w:lineRule="auto"/>
        <w:tabs>
          <w:tab w:leader="none" w:pos="218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131" w:lineRule="exact"/>
        <w:rPr>
          <w:rFonts w:ascii="Arial" w:cs="Arial" w:eastAsia="Arial" w:hAnsi="Arial"/>
          <w:sz w:val="18"/>
          <w:szCs w:val="18"/>
          <w:color w:val="auto"/>
        </w:rPr>
      </w:pPr>
    </w:p>
    <w:p>
      <w:pPr>
        <w:ind w:right="380" w:firstLine="1948"/>
        <w:spacing w:after="0" w:line="268" w:lineRule="auto"/>
        <w:tabs>
          <w:tab w:leader="none" w:pos="218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131" w:lineRule="exact"/>
        <w:rPr>
          <w:rFonts w:ascii="Arial" w:cs="Arial" w:eastAsia="Arial" w:hAnsi="Arial"/>
          <w:sz w:val="18"/>
          <w:szCs w:val="18"/>
          <w:color w:val="auto"/>
        </w:rPr>
      </w:pPr>
    </w:p>
    <w:p>
      <w:pPr>
        <w:ind w:right="880" w:firstLine="1948"/>
        <w:spacing w:after="0" w:line="268" w:lineRule="auto"/>
        <w:tabs>
          <w:tab w:leader="none" w:pos="218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9" w:right="259" w:bottom="1440" w:gutter="0" w:footer="0" w:header="0"/>
        </w:sectPr>
      </w:pPr>
    </w:p>
    <w:bookmarkStart w:id="306" w:name="page307"/>
    <w:bookmarkEnd w:id="3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171" w:lineRule="exact"/>
        <w:rPr>
          <w:sz w:val="20"/>
          <w:szCs w:val="20"/>
          <w:color w:val="auto"/>
        </w:rPr>
      </w:pPr>
    </w:p>
    <w:p>
      <w:pPr>
        <w:ind w:left="1740" w:hanging="248"/>
        <w:spacing w:after="0"/>
        <w:tabs>
          <w:tab w:leader="none" w:pos="17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171" w:lineRule="exact"/>
        <w:rPr>
          <w:sz w:val="20"/>
          <w:szCs w:val="20"/>
          <w:color w:val="auto"/>
        </w:rPr>
      </w:pPr>
    </w:p>
    <w:p>
      <w:pPr>
        <w:ind w:right="880" w:firstLine="913"/>
        <w:spacing w:after="0" w:line="268"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140" w:lineRule="exact"/>
        <w:rPr>
          <w:sz w:val="20"/>
          <w:szCs w:val="20"/>
          <w:color w:val="auto"/>
        </w:rPr>
      </w:pPr>
    </w:p>
    <w:p>
      <w:pPr>
        <w:ind w:left="1740" w:hanging="248"/>
        <w:spacing w:after="0"/>
        <w:tabs>
          <w:tab w:leader="none" w:pos="17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Compensation for Plan Years after the close of the last Plan Year in which the Plan was a Top-Heavy Plan.</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13.2.9. “</w:t>
      </w:r>
      <w:r>
        <w:rPr>
          <w:rFonts w:ascii="Arial" w:cs="Arial" w:eastAsia="Arial" w:hAnsi="Arial"/>
          <w:sz w:val="16"/>
          <w:szCs w:val="16"/>
          <w:u w:val="single" w:color="auto"/>
          <w:color w:val="auto"/>
        </w:rPr>
        <w:t>Year of Top-Heavy Service</w:t>
      </w:r>
      <w:r>
        <w:rPr>
          <w:rFonts w:ascii="Arial" w:cs="Arial" w:eastAsia="Arial" w:hAnsi="Arial"/>
          <w:sz w:val="16"/>
          <w:szCs w:val="16"/>
          <w:color w:val="auto"/>
        </w:rPr>
        <w:t>” means, for any Participant, a Plan Year in which he completes 1,000 or more Hours of Service, excluding:</w:t>
      </w:r>
    </w:p>
    <w:p>
      <w:pPr>
        <w:spacing w:after="0" w:line="194" w:lineRule="exact"/>
        <w:rPr>
          <w:sz w:val="20"/>
          <w:szCs w:val="20"/>
          <w:color w:val="auto"/>
        </w:rPr>
      </w:pPr>
    </w:p>
    <w:p>
      <w:pPr>
        <w:ind w:left="1740" w:hanging="248"/>
        <w:spacing w:after="0"/>
        <w:tabs>
          <w:tab w:leader="none" w:pos="17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171" w:lineRule="exact"/>
        <w:rPr>
          <w:rFonts w:ascii="Arial" w:cs="Arial" w:eastAsia="Arial" w:hAnsi="Arial"/>
          <w:sz w:val="18"/>
          <w:szCs w:val="18"/>
          <w:color w:val="auto"/>
        </w:rPr>
      </w:pPr>
    </w:p>
    <w:p>
      <w:pPr>
        <w:ind w:left="460" w:right="5880" w:firstLine="1032"/>
        <w:spacing w:after="0" w:line="493" w:lineRule="auto"/>
        <w:tabs>
          <w:tab w:leader="none" w:pos="173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Plan Years in which the Plan is not a Top-Heavy Plan. Section 13.3. </w:t>
      </w:r>
      <w:r>
        <w:rPr>
          <w:rFonts w:ascii="Arial" w:cs="Arial" w:eastAsia="Arial" w:hAnsi="Arial"/>
          <w:sz w:val="16"/>
          <w:szCs w:val="16"/>
          <w:u w:val="single" w:color="auto"/>
          <w:color w:val="auto"/>
        </w:rPr>
        <w:t>Minimum Contribution for Non-Key Employees</w:t>
      </w:r>
      <w:r>
        <w:rPr>
          <w:rFonts w:ascii="Arial" w:cs="Arial" w:eastAsia="Arial" w:hAnsi="Arial"/>
          <w:sz w:val="16"/>
          <w:szCs w:val="16"/>
          <w:color w:val="auto"/>
        </w:rPr>
        <w:t>.</w:t>
      </w:r>
    </w:p>
    <w:p>
      <w:pPr>
        <w:ind w:firstLine="913"/>
        <w:spacing w:after="0" w:line="291" w:lineRule="auto"/>
        <w:rPr>
          <w:sz w:val="20"/>
          <w:szCs w:val="20"/>
          <w:color w:val="auto"/>
        </w:rPr>
      </w:pPr>
      <w:r>
        <w:rPr>
          <w:rFonts w:ascii="Arial" w:cs="Arial" w:eastAsia="Arial" w:hAnsi="Arial"/>
          <w:sz w:val="16"/>
          <w:szCs w:val="16"/>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 contribution requirements of section 416(c)(2) of the Code and the Plan. Employer matching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307" w:name="page308"/>
    <w:bookmarkEnd w:id="30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contributions that are used to satisfy the minimum contribution requirements shall be treated as matching contributions for purposes of the actual contribution percentage test and other requirements of section 401(m) of the Code.</w:t>
      </w:r>
    </w:p>
    <w:p>
      <w:pPr>
        <w:spacing w:after="0" w:line="132" w:lineRule="exact"/>
        <w:rPr>
          <w:sz w:val="20"/>
          <w:szCs w:val="20"/>
          <w:color w:val="auto"/>
        </w:rPr>
      </w:pPr>
    </w:p>
    <w:p>
      <w:pPr>
        <w:ind w:right="160" w:firstLine="913"/>
        <w:spacing w:after="0" w:line="318" w:lineRule="auto"/>
        <w:rPr>
          <w:sz w:val="20"/>
          <w:szCs w:val="20"/>
          <w:color w:val="auto"/>
        </w:rPr>
      </w:pPr>
      <w:r>
        <w:rPr>
          <w:rFonts w:ascii="Arial" w:cs="Arial" w:eastAsia="Arial" w:hAnsi="Arial"/>
          <w:sz w:val="15"/>
          <w:szCs w:val="15"/>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10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9" w:right="239" w:bottom="1440" w:gutter="0" w:footer="0" w:header="0"/>
        </w:sectPr>
      </w:pPr>
    </w:p>
    <w:bookmarkStart w:id="308" w:name="page309"/>
    <w:bookmarkEnd w:id="30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PROVISIONS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u w:val="single" w:color="auto"/>
          <w:color w:val="auto"/>
        </w:rPr>
        <w:t>Governing Law</w:t>
      </w:r>
      <w:r>
        <w:rPr>
          <w:rFonts w:ascii="Arial" w:cs="Arial" w:eastAsia="Arial" w:hAnsi="Arial"/>
          <w:sz w:val="16"/>
          <w:szCs w:val="16"/>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85"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14.6. </w:t>
      </w:r>
      <w:r>
        <w:rPr>
          <w:rFonts w:ascii="Arial" w:cs="Arial" w:eastAsia="Arial" w:hAnsi="Arial"/>
          <w:sz w:val="16"/>
          <w:szCs w:val="16"/>
          <w:u w:val="single" w:color="auto"/>
          <w:color w:val="auto"/>
        </w:rPr>
        <w:t>Incapacity</w:t>
      </w:r>
      <w:r>
        <w:rPr>
          <w:rFonts w:ascii="Arial" w:cs="Arial" w:eastAsia="Arial" w:hAnsi="Arial"/>
          <w:sz w:val="16"/>
          <w:szCs w:val="16"/>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309" w:name="page310"/>
    <w:bookmarkEnd w:id="309"/>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Missing Persons/Uncashed Checks</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14.8.1.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401(a)(9) of the Code and the regulations thereunder, the Plan shall forfeit the Account. If and when a claim for benefits is made after such forfeiture, the Account balance as of the date of forfeiture shall be subject to reinstatement.</w:t>
      </w:r>
    </w:p>
    <w:p>
      <w:pPr>
        <w:spacing w:after="0" w:line="11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14.8.2. </w:t>
      </w:r>
      <w:r>
        <w:rPr>
          <w:rFonts w:ascii="Arial" w:cs="Arial" w:eastAsia="Arial" w:hAnsi="Arial"/>
          <w:sz w:val="16"/>
          <w:szCs w:val="16"/>
          <w:u w:val="single" w:color="auto"/>
          <w:color w:val="auto"/>
        </w:rPr>
        <w:t>Uncashed Checks</w:t>
      </w:r>
      <w:r>
        <w:rPr>
          <w:rFonts w:ascii="Arial" w:cs="Arial" w:eastAsia="Arial" w:hAnsi="Arial"/>
          <w:sz w:val="16"/>
          <w:szCs w:val="16"/>
          <w:color w:val="auto"/>
        </w:rPr>
        <w:t>. If a Participant requests payment of his benefits or if the Participant is automatically cashed out pursuant to Section 5.6.1, and such Participant does not cash the distribution check,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2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 xml:space="preserve">Section 14.9. </w:t>
      </w:r>
      <w:r>
        <w:rPr>
          <w:rFonts w:ascii="Arial" w:cs="Arial" w:eastAsia="Arial" w:hAnsi="Arial"/>
          <w:sz w:val="16"/>
          <w:szCs w:val="16"/>
          <w:u w:val="single" w:color="auto"/>
          <w:color w:val="auto"/>
        </w:rPr>
        <w:t>Notice</w:t>
      </w:r>
      <w:r>
        <w:rPr>
          <w:rFonts w:ascii="Arial" w:cs="Arial" w:eastAsia="Arial" w:hAnsi="Arial"/>
          <w:sz w:val="16"/>
          <w:szCs w:val="16"/>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9" w:right="259" w:bottom="1440" w:gutter="0" w:footer="0" w:header="0"/>
        </w:sectPr>
      </w:pPr>
    </w:p>
    <w:bookmarkStart w:id="310" w:name="page311"/>
    <w:bookmarkEnd w:id="310"/>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ADDITIONAL SERVICE CREDIT FOR FORMER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0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Listed Employer</w:t>
      </w:r>
      <w:r>
        <w:rPr>
          <w:rFonts w:ascii="Arial" w:cs="Arial" w:eastAsia="Arial" w:hAnsi="Arial"/>
          <w:sz w:val="16"/>
          <w:szCs w:val="16"/>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 prior to the effective date of an entity being designated as a Listed Employer with which he was employed, unless he would have become a Participant at an earlier date without regard to this Article.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9" w:right="259" w:bottom="144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COMCAST SPORTS NETWORK (PHILADELPHIA) L.P.</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16.3.1. Each Covered Employee of CSN who was eligible to participate in the Comcast-Spectacor 401(k) Plan as of June 30, 2001 was eligible to participate in the Plan as of July 1, 2001.</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16.3.2. Each other CSN Covered Employee shall be eligible to participate in accordance with the provision of Article II.</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312" w:name="page313"/>
    <w:bookmarkEnd w:id="312"/>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on the 21</w:t>
      </w:r>
      <w:r>
        <w:rPr>
          <w:rFonts w:ascii="Arial" w:cs="Arial" w:eastAsia="Arial" w:hAnsi="Arial"/>
          <w:sz w:val="10"/>
          <w:szCs w:val="10"/>
          <w:color w:val="auto"/>
        </w:rPr>
        <w:t>st</w:t>
      </w:r>
      <w:r>
        <w:rPr>
          <w:rFonts w:ascii="Arial" w:cs="Arial" w:eastAsia="Arial" w:hAnsi="Arial"/>
          <w:sz w:val="15"/>
          <w:szCs w:val="15"/>
          <w:color w:val="auto"/>
        </w:rPr>
        <w:t xml:space="preserve"> day of October, 2014</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5660"/>
        <w:spacing w:after="0"/>
        <w:tabs>
          <w:tab w:leader="none" w:pos="66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4114165</wp:posOffset>
            </wp:positionH>
            <wp:positionV relativeFrom="paragraph">
              <wp:posOffset>10795</wp:posOffset>
            </wp:positionV>
            <wp:extent cx="23755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019"/>
          </w:cols>
          <w:pgMar w:left="1440" w:top="279" w:right="1440"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MINIMUM DISTRIBUTION REQUIREMENTS</w:t>
      </w:r>
    </w:p>
    <w:p>
      <w:pPr>
        <w:spacing w:after="0" w:line="165" w:lineRule="exact"/>
        <w:rPr>
          <w:sz w:val="20"/>
          <w:szCs w:val="20"/>
          <w:color w:val="auto"/>
        </w:rPr>
      </w:pPr>
    </w:p>
    <w:p>
      <w:pPr>
        <w:ind w:left="620" w:hanging="176"/>
        <w:spacing w:after="0"/>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360" w:firstLine="921"/>
        <w:spacing w:after="0" w:line="268" w:lineRule="auto"/>
        <w:tabs>
          <w:tab w:leader="none" w:pos="118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131" w:lineRule="exact"/>
        <w:rPr>
          <w:rFonts w:ascii="Arial" w:cs="Arial" w:eastAsia="Arial" w:hAnsi="Arial"/>
          <w:sz w:val="18"/>
          <w:szCs w:val="18"/>
          <w:color w:val="auto"/>
        </w:rPr>
      </w:pPr>
    </w:p>
    <w:p>
      <w:pPr>
        <w:ind w:left="1180" w:hanging="279"/>
        <w:spacing w:after="0"/>
        <w:tabs>
          <w:tab w:leader="none" w:pos="118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The requirements of this Schedule A will take precedence over any inconsistent provisions of the Plan.</w:t>
      </w:r>
    </w:p>
    <w:p>
      <w:pPr>
        <w:spacing w:after="0" w:line="171" w:lineRule="exact"/>
        <w:rPr>
          <w:rFonts w:ascii="Arial" w:cs="Arial" w:eastAsia="Arial" w:hAnsi="Arial"/>
          <w:sz w:val="18"/>
          <w:szCs w:val="18"/>
          <w:color w:val="auto"/>
        </w:rPr>
      </w:pPr>
    </w:p>
    <w:p>
      <w:pPr>
        <w:ind w:left="-20" w:firstLine="921"/>
        <w:spacing w:after="0" w:line="268" w:lineRule="auto"/>
        <w:tabs>
          <w:tab w:leader="none" w:pos="1171"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131" w:lineRule="exact"/>
        <w:rPr>
          <w:rFonts w:ascii="Arial" w:cs="Arial" w:eastAsia="Arial" w:hAnsi="Arial"/>
          <w:sz w:val="18"/>
          <w:szCs w:val="18"/>
          <w:color w:val="auto"/>
        </w:rPr>
      </w:pPr>
    </w:p>
    <w:p>
      <w:pPr>
        <w:ind w:left="-20" w:right="140" w:firstLine="921"/>
        <w:spacing w:after="0" w:line="259" w:lineRule="auto"/>
        <w:tabs>
          <w:tab w:leader="none" w:pos="118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480" w:firstLine="921"/>
        <w:spacing w:after="0" w:line="268" w:lineRule="auto"/>
        <w:tabs>
          <w:tab w:leader="none" w:pos="1180"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31" w:lineRule="exact"/>
        <w:rPr>
          <w:rFonts w:ascii="Arial" w:cs="Arial" w:eastAsia="Arial" w:hAnsi="Arial"/>
          <w:sz w:val="18"/>
          <w:szCs w:val="18"/>
          <w:color w:val="auto"/>
        </w:rPr>
      </w:pPr>
    </w:p>
    <w:p>
      <w:pPr>
        <w:ind w:left="-20" w:right="640" w:firstLine="921"/>
        <w:spacing w:after="0" w:line="268" w:lineRule="auto"/>
        <w:tabs>
          <w:tab w:leader="none" w:pos="1171" w:val="left"/>
        </w:tabs>
        <w:numPr>
          <w:ilvl w:val="1"/>
          <w:numId w:val="230"/>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131" w:lineRule="exact"/>
        <w:rPr>
          <w:rFonts w:ascii="Arial" w:cs="Arial" w:eastAsia="Arial" w:hAnsi="Arial"/>
          <w:sz w:val="18"/>
          <w:szCs w:val="18"/>
          <w:color w:val="auto"/>
        </w:rPr>
      </w:pPr>
    </w:p>
    <w:p>
      <w:pPr>
        <w:ind w:left="-20" w:firstLine="1492"/>
        <w:spacing w:after="0" w:line="259" w:lineRule="auto"/>
        <w:tabs>
          <w:tab w:leader="none" w:pos="1712" w:val="left"/>
        </w:tabs>
        <w:numPr>
          <w:ilvl w:val="2"/>
          <w:numId w:val="230"/>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if later.</w:t>
      </w:r>
    </w:p>
    <w:p>
      <w:pPr>
        <w:spacing w:after="0" w:line="140" w:lineRule="exact"/>
        <w:rPr>
          <w:rFonts w:ascii="Arial" w:cs="Arial" w:eastAsia="Arial" w:hAnsi="Arial"/>
          <w:sz w:val="18"/>
          <w:szCs w:val="18"/>
          <w:color w:val="auto"/>
        </w:rPr>
      </w:pPr>
    </w:p>
    <w:p>
      <w:pPr>
        <w:jc w:val="both"/>
        <w:ind w:left="-20" w:right="660" w:firstLine="1492"/>
        <w:spacing w:after="0" w:line="335" w:lineRule="auto"/>
        <w:tabs>
          <w:tab w:leader="none" w:pos="1712" w:val="left"/>
        </w:tabs>
        <w:numPr>
          <w:ilvl w:val="2"/>
          <w:numId w:val="230"/>
        </w:numPr>
        <w:rPr>
          <w:rFonts w:ascii="Arial" w:cs="Arial" w:eastAsia="Arial" w:hAnsi="Arial"/>
          <w:sz w:val="15"/>
          <w:szCs w:val="15"/>
          <w:color w:val="auto"/>
        </w:rPr>
      </w:pPr>
      <w:r>
        <w:rPr>
          <w:rFonts w:ascii="Arial" w:cs="Arial" w:eastAsia="Arial" w:hAnsi="Arial"/>
          <w:sz w:val="15"/>
          <w:szCs w:val="15"/>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88" w:lineRule="exact"/>
        <w:rPr>
          <w:rFonts w:ascii="Arial" w:cs="Arial" w:eastAsia="Arial" w:hAnsi="Arial"/>
          <w:sz w:val="15"/>
          <w:szCs w:val="15"/>
          <w:color w:val="auto"/>
        </w:rPr>
      </w:pPr>
    </w:p>
    <w:p>
      <w:pPr>
        <w:ind w:left="-20" w:right="80" w:firstLine="1492"/>
        <w:spacing w:after="0" w:line="268" w:lineRule="auto"/>
        <w:tabs>
          <w:tab w:leader="none" w:pos="1712" w:val="left"/>
        </w:tabs>
        <w:numPr>
          <w:ilvl w:val="2"/>
          <w:numId w:val="230"/>
        </w:numPr>
        <w:rPr>
          <w:rFonts w:ascii="Arial" w:cs="Arial" w:eastAsia="Arial" w:hAnsi="Arial"/>
          <w:sz w:val="18"/>
          <w:szCs w:val="18"/>
          <w:color w:val="auto"/>
        </w:rPr>
      </w:pPr>
      <w:r>
        <w:rPr>
          <w:rFonts w:ascii="Arial" w:cs="Arial" w:eastAsia="Arial" w:hAnsi="Arial"/>
          <w:sz w:val="18"/>
          <w:szCs w:val="18"/>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60" w:top="280" w:right="259" w:bottom="1440" w:gutter="0" w:footer="0" w:header="0"/>
        </w:sectPr>
      </w:pPr>
    </w:p>
    <w:bookmarkStart w:id="314" w:name="page315"/>
    <w:bookmarkEnd w:id="314"/>
    <w:p>
      <w:pPr>
        <w:ind w:right="160" w:firstLine="1492"/>
        <w:spacing w:after="0" w:line="370" w:lineRule="auto"/>
        <w:tabs>
          <w:tab w:leader="none" w:pos="1732" w:val="left"/>
        </w:tabs>
        <w:numPr>
          <w:ilvl w:val="0"/>
          <w:numId w:val="2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62" w:lineRule="exact"/>
        <w:rPr>
          <w:sz w:val="20"/>
          <w:szCs w:val="20"/>
          <w:color w:val="auto"/>
        </w:rPr>
      </w:pPr>
    </w:p>
    <w:p>
      <w:pPr>
        <w:ind w:right="120" w:firstLine="685"/>
        <w:spacing w:after="0" w:line="302" w:lineRule="auto"/>
        <w:rPr>
          <w:sz w:val="20"/>
          <w:szCs w:val="20"/>
          <w:color w:val="auto"/>
        </w:rPr>
      </w:pPr>
      <w:r>
        <w:rPr>
          <w:rFonts w:ascii="Arial" w:cs="Arial" w:eastAsia="Arial" w:hAnsi="Arial"/>
          <w:sz w:val="15"/>
          <w:szCs w:val="15"/>
          <w:color w:val="auto"/>
        </w:rPr>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the date distributions are considered to begin is the date distributions actually commence.</w:t>
      </w:r>
    </w:p>
    <w:p>
      <w:pPr>
        <w:spacing w:after="0" w:line="165" w:lineRule="exact"/>
        <w:rPr>
          <w:sz w:val="20"/>
          <w:szCs w:val="20"/>
          <w:color w:val="auto"/>
        </w:rPr>
      </w:pPr>
    </w:p>
    <w:p>
      <w:pPr>
        <w:ind w:right="40" w:firstLine="921"/>
        <w:spacing w:after="0" w:line="298" w:lineRule="auto"/>
        <w:tabs>
          <w:tab w:leader="none" w:pos="1191"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Forms of Distribution</w:t>
      </w:r>
      <w:r>
        <w:rPr>
          <w:rFonts w:ascii="Arial" w:cs="Arial" w:eastAsia="Arial" w:hAnsi="Arial"/>
          <w:sz w:val="16"/>
          <w:szCs w:val="16"/>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0" w:firstLine="921"/>
        <w:spacing w:after="0" w:line="268" w:lineRule="auto"/>
        <w:tabs>
          <w:tab w:leader="none" w:pos="120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131" w:lineRule="exact"/>
        <w:rPr>
          <w:rFonts w:ascii="Arial" w:cs="Arial" w:eastAsia="Arial" w:hAnsi="Arial"/>
          <w:sz w:val="18"/>
          <w:szCs w:val="18"/>
          <w:color w:val="auto"/>
        </w:rPr>
      </w:pPr>
    </w:p>
    <w:p>
      <w:pPr>
        <w:ind w:right="80" w:firstLine="1492"/>
        <w:spacing w:after="0" w:line="332" w:lineRule="auto"/>
        <w:tabs>
          <w:tab w:leader="none" w:pos="1732" w:val="left"/>
        </w:tabs>
        <w:numPr>
          <w:ilvl w:val="2"/>
          <w:numId w:val="233"/>
        </w:numPr>
        <w:rPr>
          <w:rFonts w:ascii="Arial" w:cs="Arial" w:eastAsia="Arial" w:hAnsi="Arial"/>
          <w:sz w:val="16"/>
          <w:szCs w:val="16"/>
          <w:color w:val="auto"/>
        </w:rPr>
      </w:pPr>
      <w:r>
        <w:rPr>
          <w:rFonts w:ascii="Arial" w:cs="Arial" w:eastAsia="Arial" w:hAnsi="Arial"/>
          <w:sz w:val="16"/>
          <w:szCs w:val="16"/>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85" w:lineRule="exact"/>
        <w:rPr>
          <w:rFonts w:ascii="Arial" w:cs="Arial" w:eastAsia="Arial" w:hAnsi="Arial"/>
          <w:sz w:val="16"/>
          <w:szCs w:val="16"/>
          <w:color w:val="auto"/>
        </w:rPr>
      </w:pPr>
    </w:p>
    <w:p>
      <w:pPr>
        <w:ind w:right="200" w:firstLine="1492"/>
        <w:spacing w:after="0" w:line="306" w:lineRule="auto"/>
        <w:tabs>
          <w:tab w:leader="none" w:pos="1732" w:val="left"/>
        </w:tabs>
        <w:numPr>
          <w:ilvl w:val="2"/>
          <w:numId w:val="233"/>
        </w:numPr>
        <w:rPr>
          <w:rFonts w:ascii="Arial" w:cs="Arial" w:eastAsia="Arial" w:hAnsi="Arial"/>
          <w:sz w:val="16"/>
          <w:szCs w:val="16"/>
          <w:color w:val="auto"/>
        </w:rPr>
      </w:pPr>
      <w:r>
        <w:rPr>
          <w:rFonts w:ascii="Arial" w:cs="Arial" w:eastAsia="Arial" w:hAnsi="Arial"/>
          <w:sz w:val="16"/>
          <w:szCs w:val="16"/>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06" w:lineRule="exact"/>
        <w:rPr>
          <w:rFonts w:ascii="Arial" w:cs="Arial" w:eastAsia="Arial" w:hAnsi="Arial"/>
          <w:sz w:val="16"/>
          <w:szCs w:val="16"/>
          <w:color w:val="auto"/>
        </w:rPr>
      </w:pPr>
    </w:p>
    <w:p>
      <w:pPr>
        <w:ind w:firstLine="921"/>
        <w:spacing w:after="0" w:line="259" w:lineRule="auto"/>
        <w:tabs>
          <w:tab w:leader="none" w:pos="1191"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After Participant’s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200" w:hanging="279"/>
        <w:spacing w:after="0"/>
        <w:tabs>
          <w:tab w:leader="none" w:pos="120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9" w:right="279" w:bottom="1440" w:gutter="0" w:footer="0" w:header="0"/>
        </w:sectPr>
      </w:pPr>
    </w:p>
    <w:bookmarkStart w:id="315" w:name="page316"/>
    <w:bookmarkEnd w:id="315"/>
    <w:p>
      <w:pPr>
        <w:jc w:val="both"/>
        <w:ind w:right="160" w:firstLine="1492"/>
        <w:spacing w:after="0" w:line="256" w:lineRule="auto"/>
        <w:tabs>
          <w:tab w:leader="none" w:pos="1732"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43" w:lineRule="exact"/>
        <w:rPr>
          <w:rFonts w:ascii="Arial" w:cs="Arial" w:eastAsia="Arial" w:hAnsi="Arial"/>
          <w:sz w:val="18"/>
          <w:szCs w:val="18"/>
          <w:color w:val="auto"/>
        </w:rPr>
      </w:pPr>
    </w:p>
    <w:p>
      <w:pPr>
        <w:ind w:left="2180" w:hanging="232"/>
        <w:spacing w:after="0"/>
        <w:tabs>
          <w:tab w:leader="none" w:pos="2180" w:val="left"/>
        </w:tabs>
        <w:numPr>
          <w:ilvl w:val="2"/>
          <w:numId w:val="234"/>
        </w:numPr>
        <w:rPr>
          <w:rFonts w:ascii="Arial" w:cs="Arial" w:eastAsia="Arial" w:hAnsi="Arial"/>
          <w:sz w:val="16"/>
          <w:szCs w:val="16"/>
          <w:color w:val="auto"/>
        </w:rPr>
      </w:pPr>
      <w:r>
        <w:rPr>
          <w:rFonts w:ascii="Arial" w:cs="Arial" w:eastAsia="Arial" w:hAnsi="Arial"/>
          <w:sz w:val="16"/>
          <w:szCs w:val="16"/>
          <w:color w:val="auto"/>
        </w:rPr>
        <w:t>The Participant’s remaining Life Expectancy is calculated using the Age of the Participant in the year of death, reduced by one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subsequent year.</w:t>
      </w:r>
    </w:p>
    <w:p>
      <w:pPr>
        <w:spacing w:after="0" w:line="164" w:lineRule="exact"/>
        <w:rPr>
          <w:rFonts w:ascii="Arial" w:cs="Arial" w:eastAsia="Arial" w:hAnsi="Arial"/>
          <w:sz w:val="16"/>
          <w:szCs w:val="16"/>
          <w:color w:val="auto"/>
        </w:rPr>
      </w:pPr>
    </w:p>
    <w:p>
      <w:pPr>
        <w:ind w:right="320" w:firstLine="1948"/>
        <w:spacing w:after="0" w:line="255" w:lineRule="auto"/>
        <w:tabs>
          <w:tab w:leader="none" w:pos="2189" w:val="left"/>
        </w:tabs>
        <w:numPr>
          <w:ilvl w:val="2"/>
          <w:numId w:val="234"/>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42" w:lineRule="exact"/>
        <w:rPr>
          <w:rFonts w:ascii="Arial" w:cs="Arial" w:eastAsia="Arial" w:hAnsi="Arial"/>
          <w:sz w:val="18"/>
          <w:szCs w:val="18"/>
          <w:color w:val="auto"/>
        </w:rPr>
      </w:pPr>
    </w:p>
    <w:p>
      <w:pPr>
        <w:jc w:val="both"/>
        <w:ind w:right="180" w:firstLine="1948"/>
        <w:spacing w:after="0" w:line="370" w:lineRule="auto"/>
        <w:tabs>
          <w:tab w:leader="none" w:pos="2179" w:val="left"/>
        </w:tabs>
        <w:numPr>
          <w:ilvl w:val="2"/>
          <w:numId w:val="234"/>
        </w:numPr>
        <w:rPr>
          <w:rFonts w:ascii="Arial" w:cs="Arial" w:eastAsia="Arial" w:hAnsi="Arial"/>
          <w:sz w:val="15"/>
          <w:szCs w:val="15"/>
          <w:color w:val="auto"/>
        </w:rPr>
      </w:pPr>
      <w:r>
        <w:rPr>
          <w:rFonts w:ascii="Arial" w:cs="Arial" w:eastAsia="Arial" w:hAnsi="Arial"/>
          <w:sz w:val="15"/>
          <w:szCs w:val="15"/>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62" w:lineRule="exact"/>
        <w:rPr>
          <w:rFonts w:ascii="Arial" w:cs="Arial" w:eastAsia="Arial" w:hAnsi="Arial"/>
          <w:sz w:val="15"/>
          <w:szCs w:val="15"/>
          <w:color w:val="auto"/>
        </w:rPr>
      </w:pPr>
    </w:p>
    <w:p>
      <w:pPr>
        <w:ind w:right="140" w:firstLine="1492"/>
        <w:spacing w:after="0" w:line="298" w:lineRule="auto"/>
        <w:tabs>
          <w:tab w:leader="none" w:pos="1732"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No Designated Beneficiary</w:t>
      </w:r>
      <w:r>
        <w:rPr>
          <w:rFonts w:ascii="Arial" w:cs="Arial" w:eastAsia="Arial" w:hAnsi="Arial"/>
          <w:sz w:val="16"/>
          <w:szCs w:val="16"/>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12" w:lineRule="exact"/>
        <w:rPr>
          <w:rFonts w:ascii="Arial" w:cs="Arial" w:eastAsia="Arial" w:hAnsi="Arial"/>
          <w:sz w:val="16"/>
          <w:szCs w:val="16"/>
          <w:color w:val="auto"/>
        </w:rPr>
      </w:pPr>
    </w:p>
    <w:p>
      <w:pPr>
        <w:ind w:left="1200" w:hanging="279"/>
        <w:spacing w:after="0"/>
        <w:tabs>
          <w:tab w:leader="none" w:pos="120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306" w:lineRule="auto"/>
        <w:tabs>
          <w:tab w:leader="none" w:pos="1732"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Participant Survived by Designated Beneficiary</w:t>
      </w:r>
      <w:r>
        <w:rPr>
          <w:rFonts w:ascii="Arial" w:cs="Arial" w:eastAsia="Arial" w:hAnsi="Arial"/>
          <w:sz w:val="16"/>
          <w:szCs w:val="16"/>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106" w:lineRule="exact"/>
        <w:rPr>
          <w:rFonts w:ascii="Arial" w:cs="Arial" w:eastAsia="Arial" w:hAnsi="Arial"/>
          <w:sz w:val="16"/>
          <w:szCs w:val="16"/>
          <w:color w:val="auto"/>
        </w:rPr>
      </w:pPr>
    </w:p>
    <w:p>
      <w:pPr>
        <w:ind w:right="300" w:firstLine="1492"/>
        <w:spacing w:after="0" w:line="259" w:lineRule="auto"/>
        <w:tabs>
          <w:tab w:leader="none" w:pos="1732"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9" w:right="239" w:bottom="1440" w:gutter="0" w:footer="0" w:header="0"/>
        </w:sectPr>
      </w:pPr>
    </w:p>
    <w:bookmarkStart w:id="316" w:name="page317"/>
    <w:bookmarkEnd w:id="316"/>
    <w:p>
      <w:pPr>
        <w:ind w:right="340" w:firstLine="1492"/>
        <w:spacing w:after="0" w:line="306" w:lineRule="auto"/>
        <w:tabs>
          <w:tab w:leader="none" w:pos="1732" w:val="left"/>
        </w:tabs>
        <w:numPr>
          <w:ilvl w:val="2"/>
          <w:numId w:val="2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 of Surviving Spouse Before Distributions to Surviving Spouse Are Required to Begin</w:t>
      </w:r>
      <w:r>
        <w:rPr>
          <w:rFonts w:ascii="Arial" w:cs="Arial" w:eastAsia="Arial" w:hAnsi="Arial"/>
          <w:sz w:val="16"/>
          <w:szCs w:val="16"/>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Schedule, the following definitions are used.</w:t>
      </w:r>
    </w:p>
    <w:p>
      <w:pPr>
        <w:spacing w:after="0" w:line="171" w:lineRule="exact"/>
        <w:rPr>
          <w:rFonts w:ascii="Arial" w:cs="Arial" w:eastAsia="Arial" w:hAnsi="Arial"/>
          <w:sz w:val="18"/>
          <w:szCs w:val="18"/>
          <w:color w:val="auto"/>
        </w:rPr>
      </w:pPr>
    </w:p>
    <w:p>
      <w:pPr>
        <w:ind w:right="60" w:firstLine="921"/>
        <w:spacing w:after="0" w:line="255" w:lineRule="auto"/>
        <w:tabs>
          <w:tab w:leader="none" w:pos="1200"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Account Balance</w:t>
      </w:r>
      <w:r>
        <w:rPr>
          <w:rFonts w:ascii="Arial" w:cs="Arial" w:eastAsia="Arial" w:hAnsi="Arial"/>
          <w:sz w:val="18"/>
          <w:szCs w:val="18"/>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42" w:lineRule="exact"/>
        <w:rPr>
          <w:rFonts w:ascii="Arial" w:cs="Arial" w:eastAsia="Arial" w:hAnsi="Arial"/>
          <w:sz w:val="18"/>
          <w:szCs w:val="18"/>
          <w:color w:val="auto"/>
        </w:rPr>
      </w:pPr>
    </w:p>
    <w:p>
      <w:pPr>
        <w:ind w:left="1200" w:hanging="279"/>
        <w:spacing w:after="0"/>
        <w:tabs>
          <w:tab w:leader="none" w:pos="1200" w:val="left"/>
        </w:tabs>
        <w:numPr>
          <w:ilvl w:val="1"/>
          <w:numId w:val="237"/>
        </w:numPr>
        <w:rPr>
          <w:rFonts w:ascii="Arial" w:cs="Arial" w:eastAsia="Arial" w:hAnsi="Arial"/>
          <w:sz w:val="16"/>
          <w:szCs w:val="16"/>
          <w:color w:val="auto"/>
        </w:rPr>
      </w:pPr>
      <w:r>
        <w:rPr>
          <w:rFonts w:ascii="Arial" w:cs="Arial" w:eastAsia="Arial" w:hAnsi="Arial"/>
          <w:sz w:val="16"/>
          <w:szCs w:val="16"/>
          <w:u w:val="single" w:color="auto"/>
          <w:color w:val="auto"/>
        </w:rPr>
        <w:t>Designated Beneficiary</w:t>
      </w:r>
      <w:r>
        <w:rPr>
          <w:rFonts w:ascii="Arial" w:cs="Arial" w:eastAsia="Arial" w:hAnsi="Arial"/>
          <w:sz w:val="16"/>
          <w:szCs w:val="16"/>
          <w:color w:val="auto"/>
        </w:rPr>
        <w:t>. The individual who is designated as the beneficiary under the Plan and is the designated beneficiary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401(a)(9) of the Code and section 1.401(a)(9)-1, Q&amp;A-4, of the Treasury Regulations.</w:t>
      </w:r>
    </w:p>
    <w:p>
      <w:pPr>
        <w:spacing w:after="0" w:line="165" w:lineRule="exact"/>
        <w:rPr>
          <w:sz w:val="20"/>
          <w:szCs w:val="20"/>
          <w:color w:val="auto"/>
        </w:rPr>
      </w:pPr>
    </w:p>
    <w:p>
      <w:pPr>
        <w:ind w:firstLine="921"/>
        <w:spacing w:after="0" w:line="291" w:lineRule="auto"/>
        <w:tabs>
          <w:tab w:leader="none" w:pos="1191"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Distribution Calendar Year</w:t>
      </w:r>
      <w:r>
        <w:rPr>
          <w:rFonts w:ascii="Arial" w:cs="Arial" w:eastAsia="Arial" w:hAnsi="Arial"/>
          <w:sz w:val="16"/>
          <w:szCs w:val="16"/>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20" w:lineRule="exact"/>
        <w:rPr>
          <w:rFonts w:ascii="Arial" w:cs="Arial" w:eastAsia="Arial" w:hAnsi="Arial"/>
          <w:sz w:val="16"/>
          <w:szCs w:val="16"/>
          <w:color w:val="auto"/>
        </w:rPr>
      </w:pPr>
    </w:p>
    <w:p>
      <w:pPr>
        <w:ind w:left="1200" w:hanging="279"/>
        <w:spacing w:after="0"/>
        <w:tabs>
          <w:tab w:leader="none" w:pos="120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Life Expectancy</w:t>
      </w:r>
      <w:r>
        <w:rPr>
          <w:rFonts w:ascii="Arial" w:cs="Arial" w:eastAsia="Arial" w:hAnsi="Arial"/>
          <w:sz w:val="16"/>
          <w:szCs w:val="16"/>
          <w:color w:val="auto"/>
        </w:rPr>
        <w:t>. Life expectancy as computed by use of the Single Life Table in section 1.401(a)(9)-9 of the Treasury Regulations.</w:t>
      </w:r>
    </w:p>
    <w:p>
      <w:pPr>
        <w:spacing w:after="0" w:line="194" w:lineRule="exact"/>
        <w:rPr>
          <w:rFonts w:ascii="Arial" w:cs="Arial" w:eastAsia="Arial" w:hAnsi="Arial"/>
          <w:sz w:val="16"/>
          <w:szCs w:val="16"/>
          <w:color w:val="auto"/>
        </w:rPr>
      </w:pPr>
    </w:p>
    <w:p>
      <w:pPr>
        <w:ind w:right="560" w:firstLine="921"/>
        <w:spacing w:after="0" w:line="268" w:lineRule="auto"/>
        <w:tabs>
          <w:tab w:leader="none" w:pos="1181"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280" w:right="29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9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gridSpan w:val="3"/>
          </w:tcPr>
          <w:p>
            <w:pPr>
              <w:ind w:left="300"/>
              <w:spacing w:after="0"/>
              <w:rPr>
                <w:sz w:val="20"/>
                <w:szCs w:val="20"/>
                <w:color w:val="auto"/>
              </w:rPr>
            </w:pPr>
            <w:r>
              <w:rPr>
                <w:rFonts w:ascii="Arial" w:cs="Arial" w:eastAsia="Arial" w:hAnsi="Arial"/>
                <w:sz w:val="14"/>
                <w:szCs w:val="14"/>
                <w:b w:val="1"/>
                <w:bCs w:val="1"/>
                <w:color w:val="auto"/>
              </w:rPr>
              <w:t>Date of Cessation of</w:t>
            </w:r>
          </w:p>
        </w:tc>
      </w:tr>
      <w:tr>
        <w:trPr>
          <w:trHeight w:val="16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Union Location</w:t>
            </w:r>
          </w:p>
        </w:tc>
        <w:tc>
          <w:tcPr>
            <w:tcW w:w="1760" w:type="dxa"/>
            <w:vAlign w:val="bottom"/>
            <w:gridSpan w:val="3"/>
          </w:tcPr>
          <w:p>
            <w:pPr>
              <w:ind w:left="460"/>
              <w:spacing w:after="0"/>
              <w:rPr>
                <w:sz w:val="20"/>
                <w:szCs w:val="20"/>
                <w:color w:val="auto"/>
              </w:rPr>
            </w:pPr>
            <w:r>
              <w:rPr>
                <w:rFonts w:ascii="Arial" w:cs="Arial" w:eastAsia="Arial" w:hAnsi="Arial"/>
                <w:sz w:val="14"/>
                <w:szCs w:val="14"/>
                <w:b w:val="1"/>
                <w:bCs w:val="1"/>
                <w:color w:val="auto"/>
              </w:rPr>
              <w:t>Union Code</w:t>
            </w:r>
          </w:p>
        </w:tc>
        <w:tc>
          <w:tcPr>
            <w:tcW w:w="10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w w:val="86"/>
              </w:rPr>
              <w:t>Eligible Union Employee Status</w:t>
            </w:r>
          </w:p>
        </w:tc>
      </w:tr>
      <w:tr>
        <w:trPr>
          <w:trHeight w:val="216"/>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Modesto, CA</w:t>
            </w: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P039</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August 17, 2003</w:t>
            </w:r>
          </w:p>
        </w:tc>
        <w:tc>
          <w:tcPr>
            <w:tcW w:w="20" w:type="dxa"/>
            <w:vAlign w:val="bottom"/>
          </w:tcPr>
          <w:p>
            <w:pPr>
              <w:spacing w:after="0"/>
              <w:rPr>
                <w:sz w:val="18"/>
                <w:szCs w:val="18"/>
                <w:color w:val="auto"/>
              </w:rPr>
            </w:pPr>
          </w:p>
        </w:tc>
      </w:tr>
      <w:tr>
        <w:trPr>
          <w:trHeight w:val="316"/>
        </w:trPr>
        <w:tc>
          <w:tcPr>
            <w:tcW w:w="2240" w:type="dxa"/>
            <w:vAlign w:val="bottom"/>
            <w:gridSpan w:val="2"/>
          </w:tcPr>
          <w:p>
            <w:pPr>
              <w:spacing w:after="0"/>
              <w:rPr>
                <w:sz w:val="20"/>
                <w:szCs w:val="20"/>
                <w:color w:val="auto"/>
              </w:rPr>
            </w:pPr>
            <w:r>
              <w:rPr>
                <w:rFonts w:ascii="Arial" w:cs="Arial" w:eastAsia="Arial" w:hAnsi="Arial"/>
                <w:sz w:val="18"/>
                <w:szCs w:val="18"/>
                <w:color w:val="auto"/>
              </w:rPr>
              <w:t>LA West/Bellflower</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P032</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Sacramento, CA</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P030</w:t>
            </w:r>
          </w:p>
        </w:tc>
        <w:tc>
          <w:tcPr>
            <w:tcW w:w="102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August 17, 2003</w:t>
            </w: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Needham, MA</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P028</w:t>
            </w:r>
          </w:p>
        </w:tc>
        <w:tc>
          <w:tcPr>
            <w:tcW w:w="102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July 25, 2003</w:t>
            </w: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Minneapolis (warehouse)</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P038</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Canonsburg (Techs)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P027</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Canonsburg (CSRs)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P040</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Coraopolis (Techs)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P024</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Corliss (CSRs)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P022</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Corliss (Techs)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P022</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East Hills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P033</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Pittsburgh (Call Center)</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P035</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South Hills (Techs)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P020</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South Hills (CSRs)</w:t>
            </w:r>
          </w:p>
        </w:tc>
        <w:tc>
          <w:tcPr>
            <w:tcW w:w="1760" w:type="dxa"/>
            <w:vAlign w:val="bottom"/>
            <w:gridSpan w:val="3"/>
          </w:tcPr>
          <w:p>
            <w:pPr>
              <w:ind w:left="460"/>
              <w:spacing w:after="0"/>
              <w:rPr>
                <w:sz w:val="20"/>
                <w:szCs w:val="20"/>
                <w:color w:val="auto"/>
              </w:rPr>
            </w:pPr>
            <w:r>
              <w:rPr>
                <w:rFonts w:ascii="Arial" w:cs="Arial" w:eastAsia="Arial" w:hAnsi="Arial"/>
                <w:sz w:val="18"/>
                <w:szCs w:val="18"/>
                <w:color w:val="auto"/>
              </w:rPr>
              <w:t>P021</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-77-</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279" w:right="1440" w:bottom="1440" w:gutter="0" w:footer="0" w:header="0"/>
        </w:sectPr>
      </w:pPr>
    </w:p>
    <w:bookmarkStart w:id="318" w:name="page319"/>
    <w:bookmarkEnd w:id="318"/>
    <w:p>
      <w:pPr>
        <w:ind w:left="4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Participating Collective Bargaining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and its participating subsidiaries (other than NBCU and its participating subsidiaries)</w:t>
      </w:r>
    </w:p>
    <w:p>
      <w:pPr>
        <w:spacing w:after="0" w:line="90" w:lineRule="exact"/>
        <w:rPr>
          <w:sz w:val="20"/>
          <w:szCs w:val="20"/>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Fairfield - IBEW</w:t>
      </w:r>
    </w:p>
    <w:p>
      <w:pPr>
        <w:spacing w:after="0" w:line="15"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Florence (Techs)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Florence Clerical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Fall River/Fairhaven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Cortland - I 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Alle-Kiske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Harrisburg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South Hills (Techs)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South Hills (CSSR’s)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Pleasantville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Toms River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Columbus Blvd.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Chicago West - IBEW</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Corliss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Oakland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Bay Area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Detroit - CWA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Port Huron - CWA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and its participating subsidiaries</w:t>
      </w:r>
    </w:p>
    <w:p>
      <w:pPr>
        <w:spacing w:after="0" w:line="90" w:lineRule="exact"/>
        <w:rPr>
          <w:sz w:val="20"/>
          <w:szCs w:val="20"/>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Washington (WRC) - AFTRA Core Local Reporters (pre 10/1/2000 hires)</w:t>
      </w:r>
    </w:p>
    <w:p>
      <w:pPr>
        <w:spacing w:after="0" w:line="15"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Washington (NBC) - AFTRA Core Network Producers &amp; WRC Content Prod. (pre 10/1/2000 hires)</w:t>
      </w:r>
    </w:p>
    <w:p>
      <w:pPr>
        <w:spacing w:after="0" w:line="32" w:lineRule="exact"/>
        <w:rPr>
          <w:rFonts w:ascii="Arial" w:cs="Arial" w:eastAsia="Arial" w:hAnsi="Arial"/>
          <w:sz w:val="16"/>
          <w:szCs w:val="16"/>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706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706 5A (05/12/04 - 12/11/2008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706 5A Delta (post 12/11/2008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706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“Scenic and Graphic”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“Scenic and Graphic” 5A (05/12/2004 - 04/16/2006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“Scenic and Graphic” Delta (post 04/16/2006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“Scenic and Graphic”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“Art Directors”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“Art Directors” 5A (05/12/2004 - 12/04/2005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“Art Directors” 5A Delta (post 12/04/2005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Burbank (NBC/KNBC) - IA 800 “Art Directors” 5A Delta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New York (NBC) - IA 700 CORE</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New York (NBC) - IA 700 (post JV close hires)</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9759"/>
          </w:cols>
          <w:pgMar w:left="700" w:top="280" w:right="1440" w:bottom="1440" w:gutter="0" w:footer="0" w:header="0"/>
        </w:sectPr>
      </w:pPr>
    </w:p>
    <w:bookmarkStart w:id="319" w:name="page320"/>
    <w:bookmarkEnd w:id="319"/>
    <w:p>
      <w:pPr>
        <w:ind w:left="47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65"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Participating Collective Bargaining Units (cont’d)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NBCUniversal and its participating subsidiaries (cont’d)</w:t>
      </w:r>
    </w:p>
    <w:p>
      <w:pPr>
        <w:spacing w:after="0" w:line="90" w:lineRule="exact"/>
        <w:rPr>
          <w:sz w:val="20"/>
          <w:szCs w:val="20"/>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IATSE - PROD - Local 804 Core (pre 05/12/2004 hires)</w:t>
      </w:r>
    </w:p>
    <w:p>
      <w:pPr>
        <w:spacing w:after="0" w:line="15"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IATSE - PROD - Local 804 5A (05/12/2004 - 10/14/2008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IATSE - PROD - Local 804 Delta (post 10/14/2008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IATSE - PROD - Local 804 Core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(Comcast SportsNet) - IBEW Local 98 (Event Technicians &amp; 1000+ hours daily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Philadelphia (Comcast SportsNet) - IBEW Local 98 (Event Technicians &amp; 1000+ hours daily hires) (post 01/01/2012 hires)</w:t>
      </w:r>
    </w:p>
    <w:p>
      <w:pPr>
        <w:spacing w:after="0" w:line="32" w:lineRule="exact"/>
        <w:rPr>
          <w:rFonts w:ascii="Arial" w:cs="Arial" w:eastAsia="Arial" w:hAnsi="Arial"/>
          <w:sz w:val="16"/>
          <w:szCs w:val="16"/>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(Comcast SportsNet) - IBEW Local 98 (Studio Technicians)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(Comcast SportsNet) - IBEW Local 98 (Studio Technicians) (post 01/01/2012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Hartford (WVIT) - IBEW (pay type 1)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Hartford (WVIT) - IBEW (pay type 1) 5A (post 05/11/2004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Hartford (WVIT) - IBEW (pay type 1) 5A Delta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Hartford (WVIT) - IBEW (pay type 1)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IBEW Local 1241 Technicians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IBEW Local 1241 Technicians 5A (post 05/11/2004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IBEW Local 1241 Technicians 5A Delta</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Philadelphia (WCAU) - IBEW Local 1241 Technicians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Washington (WRC) - IOUE 99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Washington (WRC) - IOUE 99 5A (05/12/2004 - 06/30/2009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Washington (WRC) - IOUE 99 5A Delta (post 06/30/2009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Washington (WRC) - IOUE 99 5A Delta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Chicago (ALL) - NABET Regular Core (pre 08/28/2006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Chicago (ALL) - NABET Regular 5A Delta (post 08/27/2006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Chicago (ALL) - NABET Regular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Chicago (WSNS Telemundo) - NABET Local 41 Staff Core (pre 07/01/2005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Chicago (WSNS Telemundo) - NABET Local 41 Staff Delta (post 06/30/2005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Chicago (WSNS Telemundo) - NABET Local 41 Staff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Core (pre 05/12/2004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5A (05/12/2004 - 02/01/2010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5A Delta (post 01/31/2010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Los Angeles (KVEA/KWHY Telemundo) - NABET Local 53 Staff (post JV close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New York (WNBC) - WGA Core (pre 08/14/2006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New York (WNBC) - WGA Delta (post 08/13/2006 hires)</w:t>
      </w:r>
    </w:p>
    <w:p>
      <w:pPr>
        <w:spacing w:after="0" w:line="9" w:lineRule="exact"/>
        <w:rPr>
          <w:rFonts w:ascii="Arial" w:cs="Arial" w:eastAsia="Arial" w:hAnsi="Arial"/>
          <w:sz w:val="18"/>
          <w:szCs w:val="18"/>
          <w:color w:val="auto"/>
        </w:rPr>
      </w:pPr>
    </w:p>
    <w:p>
      <w:pPr>
        <w:ind w:left="440" w:hanging="325"/>
        <w:spacing w:after="0"/>
        <w:tabs>
          <w:tab w:leader="none" w:pos="4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New York (WNBC) - WGA Delta (post JV close hires)</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9759"/>
          </w:cols>
          <w:pgMar w:left="700" w:top="280" w:right="1440" w:bottom="1440" w:gutter="0" w:footer="0" w:header="0"/>
        </w:sectPr>
      </w:pPr>
    </w:p>
    <w:bookmarkStart w:id="320" w:name="page321"/>
    <w:bookmarkEnd w:id="320"/>
    <w:p>
      <w:pPr>
        <w:jc w:val="center"/>
        <w:ind w:right="-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u w:val="single" w:color="auto"/>
          <w:color w:val="auto"/>
        </w:rPr>
        <w:t>PARTICIPATING COMPANIES/LISTED EMPLOYERS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Name of Entity</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Participating Company</w:t>
            </w:r>
          </w:p>
        </w:tc>
        <w:tc>
          <w:tcPr>
            <w:tcW w:w="164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Listed Employer</w:t>
            </w:r>
          </w:p>
        </w:tc>
        <w:tc>
          <w:tcPr>
            <w:tcW w:w="184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Effective Date</w:t>
            </w:r>
          </w:p>
        </w:tc>
      </w:tr>
      <w:tr>
        <w:trPr>
          <w:trHeight w:val="201"/>
        </w:trPr>
        <w:tc>
          <w:tcPr>
            <w:tcW w:w="1040" w:type="dxa"/>
            <w:vAlign w:val="bottom"/>
          </w:tcPr>
          <w:p>
            <w:pPr>
              <w:spacing w:after="0" w:line="201" w:lineRule="exact"/>
              <w:rPr>
                <w:sz w:val="20"/>
                <w:szCs w:val="20"/>
                <w:color w:val="auto"/>
              </w:rPr>
            </w:pPr>
            <w:r>
              <w:rPr>
                <w:rFonts w:ascii="Arial" w:cs="Arial" w:eastAsia="Arial" w:hAnsi="Arial"/>
                <w:sz w:val="18"/>
                <w:szCs w:val="18"/>
                <w:color w:val="auto"/>
              </w:rPr>
              <w:t>Ad Sales</w:t>
            </w: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ind w:left="200"/>
              <w:spacing w:after="0" w:line="201" w:lineRule="exact"/>
              <w:rPr>
                <w:sz w:val="20"/>
                <w:szCs w:val="20"/>
                <w:color w:val="auto"/>
              </w:rPr>
            </w:pPr>
            <w:r>
              <w:rPr>
                <w:rFonts w:ascii="Arial" w:cs="Arial" w:eastAsia="Arial" w:hAnsi="Arial"/>
                <w:sz w:val="18"/>
                <w:szCs w:val="18"/>
                <w:color w:val="auto"/>
              </w:rPr>
              <w:t>YES</w:t>
            </w:r>
          </w:p>
        </w:tc>
        <w:tc>
          <w:tcPr>
            <w:tcW w:w="1440" w:type="dxa"/>
            <w:vAlign w:val="bottom"/>
          </w:tcPr>
          <w:p>
            <w:pPr>
              <w:spacing w:after="0"/>
              <w:rPr>
                <w:sz w:val="17"/>
                <w:szCs w:val="17"/>
                <w:color w:val="auto"/>
              </w:rPr>
            </w:pPr>
          </w:p>
        </w:tc>
        <w:tc>
          <w:tcPr>
            <w:tcW w:w="1640" w:type="dxa"/>
            <w:vAlign w:val="bottom"/>
          </w:tcPr>
          <w:p>
            <w:pPr>
              <w:ind w:left="840"/>
              <w:spacing w:after="0" w:line="201" w:lineRule="exact"/>
              <w:rPr>
                <w:sz w:val="20"/>
                <w:szCs w:val="20"/>
                <w:color w:val="auto"/>
              </w:rPr>
            </w:pPr>
            <w:r>
              <w:rPr>
                <w:rFonts w:ascii="Arial" w:cs="Arial" w:eastAsia="Arial" w:hAnsi="Arial"/>
                <w:sz w:val="18"/>
                <w:szCs w:val="18"/>
                <w:color w:val="auto"/>
              </w:rPr>
              <w:t>YES</w:t>
            </w:r>
          </w:p>
        </w:tc>
        <w:tc>
          <w:tcPr>
            <w:tcW w:w="1020" w:type="dxa"/>
            <w:vAlign w:val="bottom"/>
          </w:tcPr>
          <w:p>
            <w:pPr>
              <w:spacing w:after="0"/>
              <w:rPr>
                <w:sz w:val="17"/>
                <w:szCs w:val="17"/>
                <w:color w:val="auto"/>
              </w:rPr>
            </w:pPr>
          </w:p>
        </w:tc>
        <w:tc>
          <w:tcPr>
            <w:tcW w:w="2700" w:type="dxa"/>
            <w:vAlign w:val="bottom"/>
            <w:gridSpan w:val="2"/>
          </w:tcPr>
          <w:p>
            <w:pPr>
              <w:ind w:left="1020"/>
              <w:spacing w:after="0" w:line="201" w:lineRule="exact"/>
              <w:rPr>
                <w:sz w:val="20"/>
                <w:szCs w:val="20"/>
                <w:color w:val="auto"/>
              </w:rPr>
            </w:pPr>
            <w:r>
              <w:rPr>
                <w:rFonts w:ascii="Arial" w:cs="Arial" w:eastAsia="Arial" w:hAnsi="Arial"/>
                <w:sz w:val="18"/>
                <w:szCs w:val="18"/>
                <w:color w:val="auto"/>
              </w:rPr>
              <w:t>December 29, 2003</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 TeleMedia</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 Charter Communications</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 Mediacom</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 Cox Communications</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46"/>
        </w:trPr>
        <w:tc>
          <w:tcPr>
            <w:tcW w:w="3000" w:type="dxa"/>
            <w:vAlign w:val="bottom"/>
            <w:gridSpan w:val="3"/>
          </w:tcPr>
          <w:p>
            <w:pPr>
              <w:spacing w:after="0"/>
              <w:rPr>
                <w:sz w:val="20"/>
                <w:szCs w:val="20"/>
                <w:color w:val="auto"/>
              </w:rPr>
            </w:pPr>
            <w:r>
              <w:rPr>
                <w:rFonts w:ascii="Arial" w:cs="Arial" w:eastAsia="Arial" w:hAnsi="Arial"/>
                <w:sz w:val="18"/>
                <w:szCs w:val="18"/>
                <w:color w:val="auto"/>
              </w:rPr>
              <w:t>Gemstar TV Guide</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April 1, 2004</w:t>
            </w:r>
          </w:p>
        </w:tc>
      </w:tr>
      <w:tr>
        <w:trPr>
          <w:trHeight w:val="426"/>
        </w:trPr>
        <w:tc>
          <w:tcPr>
            <w:tcW w:w="3000" w:type="dxa"/>
            <w:vAlign w:val="bottom"/>
            <w:gridSpan w:val="3"/>
          </w:tcPr>
          <w:p>
            <w:pPr>
              <w:spacing w:after="0"/>
              <w:rPr>
                <w:sz w:val="20"/>
                <w:szCs w:val="20"/>
                <w:color w:val="auto"/>
              </w:rPr>
            </w:pPr>
            <w:r>
              <w:rPr>
                <w:rFonts w:ascii="Arial" w:cs="Arial" w:eastAsia="Arial" w:hAnsi="Arial"/>
                <w:sz w:val="18"/>
                <w:szCs w:val="18"/>
                <w:color w:val="auto"/>
                <w:w w:val="93"/>
              </w:rPr>
              <w:t>US Cable Coastal of Texas LP (Georgia</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May 1, 2004</w:t>
            </w: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and South Carolina properties only)</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w w:val="99"/>
              </w:rPr>
              <w:t>Tech TV, Inc. (formerly Tech TV LLC)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May 10, 2004</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Insight Communications</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August 1, 2004</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The International Channel</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August 1, 2004</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Target TV</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January 1, 2005</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Motorola</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April 1, 2005</w:t>
            </w:r>
          </w:p>
        </w:tc>
      </w:tr>
      <w:tr>
        <w:trPr>
          <w:trHeight w:val="426"/>
        </w:trPr>
        <w:tc>
          <w:tcPr>
            <w:tcW w:w="3000" w:type="dxa"/>
            <w:vAlign w:val="bottom"/>
            <w:gridSpan w:val="3"/>
          </w:tcPr>
          <w:p>
            <w:pPr>
              <w:spacing w:after="0"/>
              <w:rPr>
                <w:sz w:val="20"/>
                <w:szCs w:val="20"/>
                <w:color w:val="auto"/>
              </w:rPr>
            </w:pPr>
            <w:r>
              <w:rPr>
                <w:rFonts w:ascii="Arial" w:cs="Arial" w:eastAsia="Arial" w:hAnsi="Arial"/>
                <w:sz w:val="18"/>
                <w:szCs w:val="18"/>
                <w:color w:val="auto"/>
              </w:rPr>
              <w:t>Liberate Technologies (California</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2700" w:type="dxa"/>
            <w:vAlign w:val="bottom"/>
            <w:gridSpan w:val="2"/>
          </w:tcPr>
          <w:p>
            <w:pPr>
              <w:ind w:left="1020"/>
              <w:spacing w:after="0"/>
              <w:rPr>
                <w:sz w:val="20"/>
                <w:szCs w:val="20"/>
                <w:color w:val="auto"/>
              </w:rPr>
            </w:pPr>
            <w:r>
              <w:rPr>
                <w:rFonts w:ascii="Arial" w:cs="Arial" w:eastAsia="Arial" w:hAnsi="Arial"/>
                <w:sz w:val="18"/>
                <w:szCs w:val="18"/>
                <w:color w:val="auto"/>
              </w:rPr>
              <w:t>April 8, 2005</w:t>
            </w:r>
          </w:p>
        </w:tc>
      </w:tr>
      <w:tr>
        <w:trPr>
          <w:trHeight w:val="222"/>
        </w:trPr>
        <w:tc>
          <w:tcPr>
            <w:tcW w:w="3000" w:type="dxa"/>
            <w:vAlign w:val="bottom"/>
            <w:gridSpan w:val="3"/>
          </w:tcPr>
          <w:p>
            <w:pPr>
              <w:spacing w:after="0"/>
              <w:rPr>
                <w:sz w:val="20"/>
                <w:szCs w:val="20"/>
                <w:color w:val="auto"/>
              </w:rPr>
            </w:pPr>
            <w:r>
              <w:rPr>
                <w:rFonts w:ascii="Arial" w:cs="Arial" w:eastAsia="Arial" w:hAnsi="Arial"/>
                <w:sz w:val="18"/>
                <w:szCs w:val="18"/>
                <w:color w:val="auto"/>
              </w:rPr>
              <w:t>employees only)</w:t>
            </w: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65"/>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Arial" w:cs="Arial" w:eastAsia="Arial" w:hAnsi="Arial"/>
                <w:sz w:val="18"/>
                <w:szCs w:val="18"/>
                <w:color w:val="auto"/>
              </w:rPr>
              <w:t>-80-</w:t>
            </w: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600"/>
          </w:cols>
          <w:pgMar w:left="240" w:top="274" w:right="1059" w:bottom="1440" w:gutter="0" w:footer="0" w:header="0"/>
        </w:sectPr>
      </w:pPr>
    </w:p>
    <w:bookmarkStart w:id="321" w:name="page322"/>
    <w:bookmarkEnd w:id="3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Entity</w:t>
            </w:r>
          </w:p>
        </w:tc>
        <w:tc>
          <w:tcPr>
            <w:tcW w:w="80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4"/>
                <w:szCs w:val="14"/>
                <w:b w:val="1"/>
                <w:bCs w:val="1"/>
                <w:color w:val="auto"/>
                <w:w w:val="90"/>
              </w:rPr>
              <w:t>Participating Company</w:t>
            </w:r>
          </w:p>
        </w:tc>
        <w:tc>
          <w:tcPr>
            <w:tcW w:w="164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w w:val="89"/>
              </w:rPr>
              <w:t>Listed Employer</w:t>
            </w:r>
          </w:p>
        </w:tc>
        <w:tc>
          <w:tcPr>
            <w:tcW w:w="1840" w:type="dxa"/>
            <w:vAlign w:val="bottom"/>
          </w:tcPr>
          <w:p>
            <w:pPr>
              <w:spacing w:after="0"/>
              <w:rPr>
                <w:sz w:val="14"/>
                <w:szCs w:val="14"/>
                <w:color w:val="auto"/>
              </w:rPr>
            </w:pPr>
          </w:p>
        </w:tc>
        <w:tc>
          <w:tcPr>
            <w:tcW w:w="16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Effective Date</w:t>
            </w:r>
          </w:p>
        </w:tc>
      </w:tr>
      <w:tr>
        <w:trPr>
          <w:trHeight w:val="201"/>
        </w:trPr>
        <w:tc>
          <w:tcPr>
            <w:tcW w:w="1040" w:type="dxa"/>
            <w:vAlign w:val="bottom"/>
          </w:tcPr>
          <w:p>
            <w:pPr>
              <w:spacing w:after="0" w:line="201" w:lineRule="exact"/>
              <w:rPr>
                <w:sz w:val="20"/>
                <w:szCs w:val="20"/>
                <w:color w:val="auto"/>
              </w:rPr>
            </w:pPr>
            <w:r>
              <w:rPr>
                <w:rFonts w:ascii="Arial" w:cs="Arial" w:eastAsia="Arial" w:hAnsi="Arial"/>
                <w:sz w:val="18"/>
                <w:szCs w:val="18"/>
                <w:color w:val="auto"/>
                <w:w w:val="91"/>
              </w:rPr>
              <w:t>Susquehanna</w:t>
            </w: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Cable Co.</w:t>
            </w:r>
          </w:p>
        </w:tc>
        <w:tc>
          <w:tcPr>
            <w:tcW w:w="1040" w:type="dxa"/>
            <w:vAlign w:val="bottom"/>
          </w:tcPr>
          <w:p>
            <w:pPr>
              <w:spacing w:after="0"/>
              <w:rPr>
                <w:sz w:val="17"/>
                <w:szCs w:val="17"/>
                <w:color w:val="auto"/>
              </w:rPr>
            </w:pPr>
          </w:p>
        </w:tc>
        <w:tc>
          <w:tcPr>
            <w:tcW w:w="800" w:type="dxa"/>
            <w:vAlign w:val="bottom"/>
          </w:tcPr>
          <w:p>
            <w:pPr>
              <w:ind w:left="200"/>
              <w:spacing w:after="0" w:line="201" w:lineRule="exact"/>
              <w:rPr>
                <w:sz w:val="20"/>
                <w:szCs w:val="20"/>
                <w:color w:val="auto"/>
              </w:rPr>
            </w:pPr>
            <w:r>
              <w:rPr>
                <w:rFonts w:ascii="Arial" w:cs="Arial" w:eastAsia="Arial" w:hAnsi="Arial"/>
                <w:sz w:val="18"/>
                <w:szCs w:val="18"/>
                <w:color w:val="auto"/>
              </w:rPr>
              <w:t>NO</w:t>
            </w:r>
          </w:p>
        </w:tc>
        <w:tc>
          <w:tcPr>
            <w:tcW w:w="1440" w:type="dxa"/>
            <w:vAlign w:val="bottom"/>
            <w:tcBorders>
              <w:top w:val="single" w:sz="8" w:color="auto"/>
            </w:tcBorders>
          </w:tcPr>
          <w:p>
            <w:pPr>
              <w:spacing w:after="0"/>
              <w:rPr>
                <w:sz w:val="17"/>
                <w:szCs w:val="17"/>
                <w:color w:val="auto"/>
              </w:rPr>
            </w:pPr>
          </w:p>
        </w:tc>
        <w:tc>
          <w:tcPr>
            <w:tcW w:w="1640" w:type="dxa"/>
            <w:vAlign w:val="bottom"/>
          </w:tcPr>
          <w:p>
            <w:pPr>
              <w:ind w:left="840"/>
              <w:spacing w:after="0" w:line="201" w:lineRule="exact"/>
              <w:rPr>
                <w:sz w:val="20"/>
                <w:szCs w:val="20"/>
                <w:color w:val="auto"/>
              </w:rPr>
            </w:pPr>
            <w:r>
              <w:rPr>
                <w:rFonts w:ascii="Arial" w:cs="Arial" w:eastAsia="Arial" w:hAnsi="Arial"/>
                <w:sz w:val="18"/>
                <w:szCs w:val="18"/>
                <w:color w:val="auto"/>
              </w:rPr>
              <w:t>YES</w:t>
            </w:r>
          </w:p>
        </w:tc>
        <w:tc>
          <w:tcPr>
            <w:tcW w:w="1020" w:type="dxa"/>
            <w:vAlign w:val="bottom"/>
            <w:tcBorders>
              <w:top w:val="single" w:sz="8" w:color="auto"/>
            </w:tcBorders>
          </w:tcPr>
          <w:p>
            <w:pPr>
              <w:spacing w:after="0"/>
              <w:rPr>
                <w:sz w:val="17"/>
                <w:szCs w:val="17"/>
                <w:color w:val="auto"/>
              </w:rPr>
            </w:pPr>
          </w:p>
        </w:tc>
        <w:tc>
          <w:tcPr>
            <w:tcW w:w="1840" w:type="dxa"/>
            <w:vAlign w:val="bottom"/>
          </w:tcPr>
          <w:p>
            <w:pPr>
              <w:ind w:left="1020"/>
              <w:spacing w:after="0" w:line="201" w:lineRule="exact"/>
              <w:rPr>
                <w:sz w:val="20"/>
                <w:szCs w:val="20"/>
                <w:color w:val="auto"/>
              </w:rPr>
            </w:pPr>
            <w:r>
              <w:rPr>
                <w:rFonts w:ascii="Arial" w:cs="Arial" w:eastAsia="Arial" w:hAnsi="Arial"/>
                <w:sz w:val="18"/>
                <w:szCs w:val="18"/>
                <w:color w:val="auto"/>
                <w:w w:val="92"/>
              </w:rPr>
              <w:t>The period</w:t>
            </w:r>
          </w:p>
        </w:tc>
        <w:tc>
          <w:tcPr>
            <w:tcW w:w="8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3"/>
              </w:rPr>
              <w:t>beginning on</w:t>
            </w:r>
          </w:p>
        </w:tc>
        <w:tc>
          <w:tcPr>
            <w:tcW w:w="8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w w:val="92"/>
              </w:rPr>
              <w:t>February 20, 2006 and ending on</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w w:val="90"/>
              </w:rPr>
              <w:t>the date immediately following the</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date on which the transaction</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contemplated under the</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Susquehanna APA becomes</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w w:val="89"/>
              </w:rPr>
              <w:t>effective (or December 31, 2006, if</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w w:val="92"/>
              </w:rPr>
              <w:t>such transaction is not completed</w:t>
            </w:r>
          </w:p>
        </w:tc>
      </w:tr>
      <w:tr>
        <w:trPr>
          <w:trHeight w:val="222"/>
        </w:trPr>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by that date.</w:t>
            </w:r>
          </w:p>
        </w:tc>
      </w:tr>
      <w:tr>
        <w:trPr>
          <w:trHeight w:val="426"/>
        </w:trPr>
        <w:tc>
          <w:tcPr>
            <w:tcW w:w="3000" w:type="dxa"/>
            <w:vAlign w:val="bottom"/>
            <w:gridSpan w:val="3"/>
          </w:tcPr>
          <w:p>
            <w:pPr>
              <w:spacing w:after="0"/>
              <w:rPr>
                <w:sz w:val="20"/>
                <w:szCs w:val="20"/>
                <w:color w:val="auto"/>
              </w:rPr>
            </w:pPr>
            <w:r>
              <w:rPr>
                <w:rFonts w:ascii="Arial" w:cs="Arial" w:eastAsia="Arial" w:hAnsi="Arial"/>
                <w:sz w:val="18"/>
                <w:szCs w:val="18"/>
                <w:color w:val="auto"/>
                <w:w w:val="96"/>
              </w:rPr>
              <w:t>Adelphia Communications Corporation</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The period beginning on the</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Closing Date of the Adelphia</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w w:val="88"/>
              </w:rPr>
              <w:t>Transaction and ending on the first</w:t>
            </w:r>
          </w:p>
        </w:tc>
      </w:tr>
      <w:tr>
        <w:trPr>
          <w:trHeight w:val="222"/>
        </w:trPr>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anniversary thereof.</w:t>
            </w:r>
          </w:p>
        </w:tc>
      </w:tr>
      <w:tr>
        <w:trPr>
          <w:trHeight w:val="426"/>
        </w:trPr>
        <w:tc>
          <w:tcPr>
            <w:tcW w:w="3000" w:type="dxa"/>
            <w:vAlign w:val="bottom"/>
            <w:gridSpan w:val="3"/>
          </w:tcPr>
          <w:p>
            <w:pPr>
              <w:spacing w:after="0"/>
              <w:rPr>
                <w:sz w:val="20"/>
                <w:szCs w:val="20"/>
                <w:color w:val="auto"/>
              </w:rPr>
            </w:pPr>
            <w:r>
              <w:rPr>
                <w:rFonts w:ascii="Arial" w:cs="Arial" w:eastAsia="Arial" w:hAnsi="Arial"/>
                <w:sz w:val="18"/>
                <w:szCs w:val="18"/>
                <w:color w:val="auto"/>
              </w:rPr>
              <w:t>Time Warner NY Cable LLC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w w:val="99"/>
              </w:rPr>
              <w:t>The date immediately following</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the Closing Date of the Time</w:t>
            </w:r>
          </w:p>
        </w:tc>
      </w:tr>
      <w:tr>
        <w:trPr>
          <w:trHeight w:val="222"/>
        </w:trPr>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Warner Transaction</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thePlatform for Media, Inc.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December 18, 2006</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Insight Media</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January 1, 2008</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E! Entertainment Television, Inc.</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NO</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January 1, 2008</w:t>
            </w: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color w:val="auto"/>
              </w:rPr>
              <w:t>New England Cable News</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rPr>
              <w:t>YES</w:t>
            </w:r>
          </w:p>
        </w:tc>
        <w:tc>
          <w:tcPr>
            <w:tcW w:w="2660" w:type="dxa"/>
            <w:vAlign w:val="bottom"/>
            <w:gridSpan w:val="2"/>
          </w:tcPr>
          <w:p>
            <w:pPr>
              <w:ind w:left="840"/>
              <w:spacing w:after="0"/>
              <w:rPr>
                <w:sz w:val="20"/>
                <w:szCs w:val="20"/>
                <w:color w:val="auto"/>
              </w:rPr>
            </w:pPr>
            <w:r>
              <w:rPr>
                <w:rFonts w:ascii="Arial" w:cs="Arial" w:eastAsia="Arial" w:hAnsi="Arial"/>
                <w:sz w:val="18"/>
                <w:szCs w:val="18"/>
                <w:color w:val="auto"/>
              </w:rPr>
              <w:t>YES</w:t>
            </w:r>
          </w:p>
        </w:tc>
        <w:tc>
          <w:tcPr>
            <w:tcW w:w="3500" w:type="dxa"/>
            <w:vAlign w:val="bottom"/>
            <w:gridSpan w:val="3"/>
          </w:tcPr>
          <w:p>
            <w:pPr>
              <w:ind w:left="1020"/>
              <w:spacing w:after="0"/>
              <w:rPr>
                <w:sz w:val="20"/>
                <w:szCs w:val="20"/>
                <w:color w:val="auto"/>
              </w:rPr>
            </w:pPr>
            <w:r>
              <w:rPr>
                <w:rFonts w:ascii="Arial" w:cs="Arial" w:eastAsia="Arial" w:hAnsi="Arial"/>
                <w:sz w:val="18"/>
                <w:szCs w:val="18"/>
                <w:color w:val="auto"/>
              </w:rPr>
              <w:t>January 1, 2010</w:t>
            </w:r>
          </w:p>
        </w:tc>
      </w:tr>
      <w:tr>
        <w:trPr>
          <w:trHeight w:val="365"/>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Arial" w:cs="Arial" w:eastAsia="Arial" w:hAnsi="Arial"/>
                <w:sz w:val="18"/>
                <w:szCs w:val="18"/>
                <w:color w:val="auto"/>
              </w:rPr>
              <w:t>-81-</w:t>
            </w: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00"/>
          </w:cols>
          <w:pgMar w:left="240" w:top="275" w:right="259" w:bottom="1440" w:gutter="0" w:footer="0" w:header="0"/>
        </w:sectPr>
      </w:pPr>
    </w:p>
    <w:bookmarkStart w:id="322" w:name="page323"/>
    <w:bookmarkEnd w:id="322"/>
    <w:p>
      <w:pPr>
        <w:ind w:left="1060"/>
        <w:spacing w:after="0"/>
        <w:tabs>
          <w:tab w:leader="none" w:pos="3820" w:val="left"/>
          <w:tab w:leader="none" w:pos="6880" w:val="left"/>
          <w:tab w:leader="none" w:pos="97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Entity</w:t>
      </w:r>
      <w:r>
        <w:rPr>
          <w:sz w:val="20"/>
          <w:szCs w:val="20"/>
          <w:color w:val="auto"/>
        </w:rPr>
        <w:tab/>
      </w:r>
      <w:r>
        <w:rPr>
          <w:rFonts w:ascii="Arial" w:cs="Arial" w:eastAsia="Arial" w:hAnsi="Arial"/>
          <w:sz w:val="14"/>
          <w:szCs w:val="14"/>
          <w:b w:val="1"/>
          <w:bCs w:val="1"/>
          <w:color w:val="auto"/>
        </w:rPr>
        <w:t>Participating Company</w:t>
      </w:r>
      <w:r>
        <w:rPr>
          <w:sz w:val="20"/>
          <w:szCs w:val="20"/>
          <w:color w:val="auto"/>
        </w:rPr>
        <w:tab/>
      </w:r>
      <w:r>
        <w:rPr>
          <w:rFonts w:ascii="Arial" w:cs="Arial" w:eastAsia="Arial" w:hAnsi="Arial"/>
          <w:sz w:val="14"/>
          <w:szCs w:val="14"/>
          <w:b w:val="1"/>
          <w:bCs w:val="1"/>
          <w:u w:val="single" w:color="auto"/>
          <w:color w:val="auto"/>
        </w:rPr>
        <w:t>Listed Employer</w:t>
      </w:r>
      <w:r>
        <w:rPr>
          <w:sz w:val="20"/>
          <w:szCs w:val="20"/>
          <w:color w:val="auto"/>
        </w:rPr>
        <w:tab/>
      </w:r>
      <w:r>
        <w:rPr>
          <w:rFonts w:ascii="Arial" w:cs="Arial" w:eastAsia="Arial" w:hAnsi="Arial"/>
          <w:sz w:val="12"/>
          <w:szCs w:val="12"/>
          <w:b w:val="1"/>
          <w:bCs w:val="1"/>
          <w:u w:val="single" w:color="auto"/>
          <w:color w:val="auto"/>
        </w:rPr>
        <w:t>Effective Date</w:t>
      </w:r>
    </w:p>
    <w:p>
      <w:pPr>
        <w:sectPr>
          <w:pgSz w:w="11900" w:h="16838" w:orient="portrait"/>
          <w:cols w:equalWidth="0" w:num="1">
            <w:col w:w="11340"/>
          </w:cols>
          <w:pgMar w:left="240" w:top="275" w:right="31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1"/>
        </w:trPr>
        <w:tc>
          <w:tcPr>
            <w:tcW w:w="3200" w:type="dxa"/>
            <w:vAlign w:val="bottom"/>
            <w:gridSpan w:val="3"/>
          </w:tcPr>
          <w:p>
            <w:pPr>
              <w:spacing w:after="0" w:line="182" w:lineRule="exact"/>
              <w:rPr>
                <w:sz w:val="20"/>
                <w:szCs w:val="20"/>
                <w:color w:val="auto"/>
              </w:rPr>
            </w:pPr>
            <w:r>
              <w:rPr>
                <w:rFonts w:ascii="Arial" w:cs="Arial" w:eastAsia="Arial" w:hAnsi="Arial"/>
                <w:sz w:val="18"/>
                <w:szCs w:val="18"/>
                <w:color w:val="auto"/>
              </w:rPr>
              <w:t>NBCUniversal, LLC and its subsidiaries</w:t>
            </w:r>
          </w:p>
        </w:tc>
        <w:tc>
          <w:tcPr>
            <w:tcW w:w="2680" w:type="dxa"/>
            <w:vAlign w:val="bottom"/>
            <w:gridSpan w:val="6"/>
          </w:tcPr>
          <w:p>
            <w:pPr>
              <w:spacing w:after="0" w:line="182" w:lineRule="exact"/>
              <w:rPr>
                <w:sz w:val="20"/>
                <w:szCs w:val="20"/>
                <w:color w:val="auto"/>
              </w:rPr>
            </w:pPr>
            <w:r>
              <w:rPr>
                <w:rFonts w:ascii="Arial" w:cs="Arial" w:eastAsia="Arial" w:hAnsi="Arial"/>
                <w:sz w:val="18"/>
                <w:szCs w:val="18"/>
                <w:color w:val="auto"/>
              </w:rPr>
              <w:t>NO, except with respect to</w:t>
            </w:r>
          </w:p>
        </w:tc>
        <w:tc>
          <w:tcPr>
            <w:tcW w:w="520" w:type="dxa"/>
            <w:vAlign w:val="bottom"/>
          </w:tcPr>
          <w:p>
            <w:pPr>
              <w:ind w:left="200"/>
              <w:spacing w:after="0" w:line="182" w:lineRule="exact"/>
              <w:rPr>
                <w:sz w:val="20"/>
                <w:szCs w:val="20"/>
                <w:color w:val="auto"/>
              </w:rPr>
            </w:pPr>
            <w:r>
              <w:rPr>
                <w:rFonts w:ascii="Arial" w:cs="Arial" w:eastAsia="Arial" w:hAnsi="Arial"/>
                <w:sz w:val="18"/>
                <w:szCs w:val="18"/>
                <w:color w:val="auto"/>
                <w:w w:val="83"/>
              </w:rPr>
              <w:t>YES</w:t>
            </w: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employees who are on a payroll</w:t>
            </w:r>
          </w:p>
        </w:tc>
        <w:tc>
          <w:tcPr>
            <w:tcW w:w="5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administered by Comcast</w:t>
            </w:r>
          </w:p>
        </w:tc>
        <w:tc>
          <w:tcPr>
            <w:tcW w:w="5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Corporation (as determined by</w:t>
            </w:r>
          </w:p>
        </w:tc>
        <w:tc>
          <w:tcPr>
            <w:tcW w:w="520" w:type="dxa"/>
            <w:vAlign w:val="bottom"/>
          </w:tcPr>
          <w:p>
            <w:pPr>
              <w:spacing w:after="0"/>
              <w:rPr>
                <w:sz w:val="18"/>
                <w:szCs w:val="18"/>
                <w:color w:val="auto"/>
              </w:rPr>
            </w:pPr>
          </w:p>
        </w:tc>
      </w:tr>
      <w:tr>
        <w:trPr>
          <w:trHeight w:val="222"/>
        </w:trPr>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Committee or its delegate).</w:t>
            </w:r>
          </w:p>
        </w:tc>
        <w:tc>
          <w:tcPr>
            <w:tcW w:w="520" w:type="dxa"/>
            <w:vAlign w:val="bottom"/>
          </w:tcPr>
          <w:p>
            <w:pPr>
              <w:spacing w:after="0"/>
              <w:rPr>
                <w:sz w:val="19"/>
                <w:szCs w:val="19"/>
                <w:color w:val="auto"/>
              </w:rPr>
            </w:pPr>
          </w:p>
        </w:tc>
      </w:tr>
      <w:tr>
        <w:trPr>
          <w:trHeight w:val="412"/>
        </w:trPr>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Notwithstanding the foregoing,</w:t>
            </w:r>
          </w:p>
        </w:tc>
        <w:tc>
          <w:tcPr>
            <w:tcW w:w="52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NBCUniversal shall be a</w:t>
            </w:r>
          </w:p>
        </w:tc>
        <w:tc>
          <w:tcPr>
            <w:tcW w:w="5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w w:val="96"/>
              </w:rPr>
              <w:t>Participating Company pursuant to</w:t>
            </w:r>
          </w:p>
        </w:tc>
        <w:tc>
          <w:tcPr>
            <w:tcW w:w="520" w:type="dxa"/>
            <w:vAlign w:val="bottom"/>
          </w:tcPr>
          <w:p>
            <w:pPr>
              <w:spacing w:after="0"/>
              <w:rPr>
                <w:sz w:val="18"/>
                <w:szCs w:val="18"/>
                <w:color w:val="auto"/>
              </w:rPr>
            </w:pPr>
          </w:p>
        </w:tc>
      </w:tr>
      <w:tr>
        <w:trPr>
          <w:trHeight w:val="184"/>
        </w:trPr>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80" w:type="dxa"/>
            <w:vAlign w:val="bottom"/>
            <w:gridSpan w:val="6"/>
          </w:tcPr>
          <w:p>
            <w:pPr>
              <w:spacing w:after="0" w:line="184" w:lineRule="exact"/>
              <w:rPr>
                <w:sz w:val="20"/>
                <w:szCs w:val="20"/>
                <w:color w:val="auto"/>
              </w:rPr>
            </w:pPr>
            <w:r>
              <w:rPr>
                <w:rFonts w:ascii="Arial" w:cs="Arial" w:eastAsia="Arial" w:hAnsi="Arial"/>
                <w:sz w:val="18"/>
                <w:szCs w:val="18"/>
                <w:color w:val="auto"/>
                <w:w w:val="96"/>
              </w:rPr>
              <w:t>the terms and conditions of Exhibit</w:t>
            </w:r>
          </w:p>
        </w:tc>
        <w:tc>
          <w:tcPr>
            <w:tcW w:w="52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60" w:type="dxa"/>
            <w:vAlign w:val="bottom"/>
            <w:gridSpan w:val="3"/>
          </w:tcPr>
          <w:p>
            <w:pPr>
              <w:spacing w:after="0" w:line="196" w:lineRule="exact"/>
              <w:rPr>
                <w:sz w:val="20"/>
                <w:szCs w:val="20"/>
                <w:color w:val="auto"/>
              </w:rPr>
            </w:pPr>
            <w:r>
              <w:rPr>
                <w:rFonts w:ascii="Arial" w:cs="Arial" w:eastAsia="Arial" w:hAnsi="Arial"/>
                <w:sz w:val="18"/>
                <w:szCs w:val="18"/>
                <w:color w:val="auto"/>
              </w:rPr>
              <w:t>B.</w:t>
            </w:r>
          </w:p>
        </w:tc>
        <w:tc>
          <w:tcPr>
            <w:tcW w:w="520" w:type="dxa"/>
            <w:vAlign w:val="bottom"/>
            <w:tcBorders>
              <w:top w:val="single" w:sz="8" w:color="auto"/>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day after the closing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contemplated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Master Agreement, dated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 2009,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Company, a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York corporation, NBC Universal,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and Navy, LLC,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provisions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January 1, 2013.</w:t>
      </w:r>
    </w:p>
    <w:p>
      <w:pPr>
        <w:spacing w:after="0" w:line="200" w:lineRule="exact"/>
        <w:rPr>
          <w:sz w:val="20"/>
          <w:szCs w:val="20"/>
          <w:color w:val="auto"/>
        </w:rPr>
      </w:pPr>
    </w:p>
    <w:p>
      <w:pPr>
        <w:sectPr>
          <w:pgSz w:w="11900" w:h="16838" w:orient="portrait"/>
          <w:cols w:equalWidth="0" w:num="2">
            <w:col w:w="8200" w:space="720"/>
            <w:col w:w="2420"/>
          </w:cols>
          <w:pgMar w:left="240" w:top="275" w:right="319" w:bottom="1440" w:gutter="0" w:footer="0" w:header="0"/>
          <w:type w:val="continuous"/>
        </w:sectPr>
      </w:pP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NON-PARTICIPATING COMPANIES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Company</w:t>
            </w: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Effective Date</w:t>
            </w:r>
          </w:p>
        </w:tc>
        <w:tc>
          <w:tcPr>
            <w:tcW w:w="140" w:type="dxa"/>
            <w:vAlign w:val="bottom"/>
          </w:tcPr>
          <w:p>
            <w:pPr>
              <w:spacing w:after="0"/>
              <w:rPr>
                <w:sz w:val="14"/>
                <w:szCs w:val="14"/>
                <w:color w:val="auto"/>
              </w:rPr>
            </w:pPr>
          </w:p>
        </w:tc>
      </w:tr>
      <w:tr>
        <w:trPr>
          <w:trHeight w:val="216"/>
        </w:trPr>
        <w:tc>
          <w:tcPr>
            <w:tcW w:w="3700" w:type="dxa"/>
            <w:vAlign w:val="bottom"/>
          </w:tcPr>
          <w:p>
            <w:pPr>
              <w:ind w:left="3100"/>
              <w:spacing w:after="0"/>
              <w:rPr>
                <w:sz w:val="20"/>
                <w:szCs w:val="20"/>
                <w:color w:val="auto"/>
              </w:rPr>
            </w:pPr>
            <w:r>
              <w:rPr>
                <w:rFonts w:ascii="Arial" w:cs="Arial" w:eastAsia="Arial" w:hAnsi="Arial"/>
                <w:sz w:val="18"/>
                <w:szCs w:val="18"/>
                <w:color w:val="auto"/>
              </w:rPr>
              <w:t>THOG</w:t>
            </w:r>
          </w:p>
        </w:tc>
        <w:tc>
          <w:tcPr>
            <w:tcW w:w="580" w:type="dxa"/>
            <w:vAlign w:val="bottom"/>
          </w:tcPr>
          <w:p>
            <w:pPr>
              <w:spacing w:after="0"/>
              <w:rPr>
                <w:sz w:val="20"/>
                <w:szCs w:val="20"/>
                <w:color w:val="auto"/>
              </w:rPr>
            </w:pPr>
            <w:r>
              <w:rPr>
                <w:rFonts w:ascii="Arial" w:cs="Arial" w:eastAsia="Arial" w:hAnsi="Arial"/>
                <w:sz w:val="14"/>
                <w:szCs w:val="14"/>
                <w:color w:val="auto"/>
                <w:w w:val="71"/>
              </w:rPr>
              <w:t>Productions,</w:t>
            </w:r>
          </w:p>
        </w:tc>
        <w:tc>
          <w:tcPr>
            <w:tcW w:w="940" w:type="dxa"/>
            <w:vAlign w:val="bottom"/>
          </w:tcPr>
          <w:p>
            <w:pPr>
              <w:ind w:left="260"/>
              <w:spacing w:after="0"/>
              <w:rPr>
                <w:sz w:val="20"/>
                <w:szCs w:val="20"/>
                <w:color w:val="auto"/>
              </w:rPr>
            </w:pPr>
            <w:r>
              <w:rPr>
                <w:rFonts w:ascii="Arial" w:cs="Arial" w:eastAsia="Arial" w:hAnsi="Arial"/>
                <w:sz w:val="18"/>
                <w:szCs w:val="18"/>
                <w:color w:val="auto"/>
              </w:rPr>
              <w:t>LLC</w:t>
            </w:r>
          </w:p>
        </w:tc>
        <w:tc>
          <w:tcPr>
            <w:tcW w:w="2980" w:type="dxa"/>
            <w:vAlign w:val="bottom"/>
            <w:gridSpan w:val="3"/>
          </w:tcPr>
          <w:p>
            <w:pPr>
              <w:jc w:val="center"/>
              <w:ind w:left="1732"/>
              <w:spacing w:after="0"/>
              <w:rPr>
                <w:sz w:val="20"/>
                <w:szCs w:val="20"/>
                <w:color w:val="auto"/>
              </w:rPr>
            </w:pPr>
            <w:r>
              <w:rPr>
                <w:rFonts w:ascii="Arial" w:cs="Arial" w:eastAsia="Arial" w:hAnsi="Arial"/>
                <w:sz w:val="18"/>
                <w:szCs w:val="18"/>
                <w:color w:val="auto"/>
                <w:w w:val="90"/>
              </w:rPr>
              <w:t>August 1, 2002*</w:t>
            </w:r>
          </w:p>
        </w:tc>
      </w:tr>
      <w:tr>
        <w:trPr>
          <w:trHeight w:val="370"/>
        </w:trPr>
        <w:tc>
          <w:tcPr>
            <w:tcW w:w="5220" w:type="dxa"/>
            <w:vAlign w:val="bottom"/>
            <w:gridSpan w:val="3"/>
          </w:tcPr>
          <w:p>
            <w:pPr>
              <w:spacing w:after="0"/>
              <w:rPr>
                <w:sz w:val="20"/>
                <w:szCs w:val="20"/>
                <w:color w:val="auto"/>
              </w:rPr>
            </w:pPr>
            <w:r>
              <w:rPr>
                <w:rFonts w:ascii="Arial" w:cs="Arial" w:eastAsia="Arial" w:hAnsi="Arial"/>
                <w:sz w:val="18"/>
                <w:szCs w:val="18"/>
                <w:color w:val="auto"/>
              </w:rPr>
              <w:t>*Previously excluded by action of the Board.</w:t>
            </w: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jc w:val="right"/>
              <w:ind w:right="1252"/>
              <w:spacing w:after="0"/>
              <w:rPr>
                <w:sz w:val="20"/>
                <w:szCs w:val="20"/>
                <w:color w:val="auto"/>
              </w:rPr>
            </w:pPr>
            <w:r>
              <w:rPr>
                <w:rFonts w:ascii="Arial" w:cs="Arial" w:eastAsia="Arial" w:hAnsi="Arial"/>
                <w:sz w:val="18"/>
                <w:szCs w:val="18"/>
                <w:color w:val="auto"/>
              </w:rPr>
              <w:t>-82-</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40"/>
          </w:cols>
          <w:pgMar w:left="240" w:top="275" w:right="319" w:bottom="1440" w:gutter="0" w:footer="0" w:header="0"/>
          <w:type w:val="continuous"/>
        </w:sectPr>
      </w:pPr>
    </w:p>
    <w:bookmarkStart w:id="323" w:name="page324"/>
    <w:bookmarkEnd w:id="3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NBCUNIVERSAL, LLC</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NBCUniversal, LLC, a Delaware limited liability company (“NBCUniversal”) and each of its subsidiaries that are members of the controlled group of trades or businesses that includes NBCUniversal (within the meaning of section 414(b) and section 414(c) of the Code), shall become a Participating Company hereunder effective January 1, 2013. The terms and conditions of the Plan shall generally apply to Covered Employees of NBCUniversal and its participating subsidiaries, except to the extent such provisions contradict with the terms and conditions set forth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For avoidance of doubt, the provisions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only apply to Covered Employees of NBCUniversal and its participating subsidiaries.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2.1. Each Covered Employee as of the Restatement Date who was eligible to participate in the NBCU CAP immediately prior to the Restatement Date shall be an Eligible Employee as of the Restatement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Each other Covered Employee shall become an Eligible Employee on the Entry Date next following:</w:t>
      </w:r>
    </w:p>
    <w:p>
      <w:pPr>
        <w:spacing w:after="0" w:line="171" w:lineRule="exact"/>
        <w:rPr>
          <w:sz w:val="20"/>
          <w:szCs w:val="20"/>
          <w:color w:val="auto"/>
        </w:rPr>
      </w:pPr>
    </w:p>
    <w:p>
      <w:pPr>
        <w:ind w:left="1740" w:hanging="248"/>
        <w:spacing w:after="0"/>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upon his Employment Commencement Date, if he is other than a Temporary Employee or a Paid Intern;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his completion of a Period of Service of three (3) months, if he is a Temporary Employee (other than a Paid Intern).</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2.3 If an individual is not a Covered Employee on the Entry Date next following the date he meets the requirements of Section 2.2., he shall become an Eligible Employee as of the first date thereafter on which he is a Covered Employee.</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2.4. If a Covered Employee does not satisfy the requirements of Section 2.2. prior to incurring a Severance from Service Date, but is rehired prior to incurring a One-Year Period of Severance, the prior Period of Service shall be considered for purposes of satisfying the requirements of Section 2.2. If the Covered Employee incurs a One-Year Period of Severance, his prior Period of Service shall not be considered upon a subsequent Reemployment Commencement Date.</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2.5. Notwithstanding anything herein to the contrary and for avoidance of doubt, Employees who are Paid Interns and Employees who are eligible to participate in the following plans (including any Employee who would be eligible but for the fact that such Employee has not yet met the plan’s age and/or service eligibility requirements) shall not be eligible to participate in the Plan: (i) E! Entertainment Television, Inc. Profit Sharing/401(k) Plan, (ii) NBCUniversal Capital Accumulation Plan, (iii) Universal Studios Hollywood 401(k) Plan, (iv) Wet N’ Wild 401(k) Plan, (v) Savings Plan for WNJU Union Employees of Telemundo, or (vi) Universal Orlando 401(k) Plan.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73" w:right="279" w:bottom="1440" w:gutter="0" w:footer="0" w:header="0"/>
        </w:sectPr>
      </w:pPr>
    </w:p>
    <w:bookmarkStart w:id="324" w:name="page325"/>
    <w:bookmarkEnd w:id="324"/>
    <w:p>
      <w:pPr>
        <w:ind w:right="8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For purposes of this </w:t>
      </w:r>
      <w:r>
        <w:rPr>
          <w:rFonts w:ascii="Arial" w:cs="Arial" w:eastAsia="Arial" w:hAnsi="Arial"/>
          <w:sz w:val="16"/>
          <w:szCs w:val="16"/>
          <w:u w:val="single" w:color="auto"/>
          <w:color w:val="auto"/>
        </w:rPr>
        <w:t>Exhibit B</w:t>
      </w:r>
      <w:r>
        <w:rPr>
          <w:rFonts w:ascii="Arial" w:cs="Arial" w:eastAsia="Arial" w:hAnsi="Arial"/>
          <w:sz w:val="16"/>
          <w:szCs w:val="16"/>
          <w:color w:val="auto"/>
        </w:rPr>
        <w:t>, (a) “Temporary Employee” means an Employee whose employment is classified by the Participating Company to which such Employee is employed as “temporary” or “intermittent,” both in accordance with uniformly applied personnel policies; (b) “Paid Intern” means an Employee whose employment is classified by the Participating Company to which such Employee is employed as pursuant to an internship and such Employee receives regular wages from the Participating Company in consideration for such employment; and (c) “Entry Date” means the first day of each Payroll Period.</w:t>
      </w:r>
    </w:p>
    <w:p>
      <w:pPr>
        <w:spacing w:after="0" w:line="11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Automatic Enrollment</w:t>
      </w:r>
      <w:r>
        <w:rPr>
          <w:rFonts w:ascii="Arial" w:cs="Arial" w:eastAsia="Arial" w:hAnsi="Arial"/>
          <w:sz w:val="16"/>
          <w:szCs w:val="16"/>
          <w:color w:val="auto"/>
        </w:rPr>
        <w:t xml:space="preserve">. Each Covered Employee who does not affirmatively elect to make Pre-Tax Contributions or Roth Contributions and become an Active Participant pursuant to Section 2.3 of the Plan (and does not affirmatively elect to decline to make Pre-Tax Contributions or Roth Contributions and become an Active Participant) will be automatically enrolled in the Plan on the Entry Date next following the date on which such Covered Employee meets the eligibility requirements of Section 2.2 of this </w:t>
      </w:r>
      <w:r>
        <w:rPr>
          <w:rFonts w:ascii="Arial" w:cs="Arial" w:eastAsia="Arial" w:hAnsi="Arial"/>
          <w:sz w:val="16"/>
          <w:szCs w:val="16"/>
          <w:u w:val="single" w:color="auto"/>
          <w:color w:val="auto"/>
        </w:rPr>
        <w:t>Exhibit B</w:t>
      </w:r>
      <w:r>
        <w:rPr>
          <w:rFonts w:ascii="Arial" w:cs="Arial" w:eastAsia="Arial" w:hAnsi="Arial"/>
          <w:sz w:val="16"/>
          <w:szCs w:val="16"/>
          <w:color w:val="auto"/>
        </w:rPr>
        <w:t>, provided that such automatic enrollment will not occur until the expiration of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such Covered Employee is provided notice of his rights and obligations under the Plan as required by Treas. Reg. 1.401(k)-3(d). Covered Employees who are designated by the Committee or its delegate as having been reemployed by a Participating Company following a One-Year Period of Severance are considered newly Eligible Employees for purposes of the automatic enrollment provisions described in this Section 2.7. Covered Employees who are designated by the Committee or its delegate as having been reemployed by a Participating Company prior to having incurred a One-Year Period of Severance will be automatically re-enrolled in the Plan at the Pre-Tax Contribution rate in effect for such Employee on his Severance from Service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171" w:lineRule="exact"/>
        <w:rPr>
          <w:sz w:val="20"/>
          <w:szCs w:val="20"/>
          <w:color w:val="auto"/>
        </w:rPr>
      </w:pPr>
    </w:p>
    <w:p>
      <w:pPr>
        <w:ind w:firstLine="1492"/>
        <w:spacing w:after="0" w:line="286" w:lineRule="auto"/>
        <w:tabs>
          <w:tab w:leader="none" w:pos="1722"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Pre-Tax Contributions</w:t>
      </w:r>
      <w:r>
        <w:rPr>
          <w:rFonts w:ascii="Arial" w:cs="Arial" w:eastAsia="Arial" w:hAnsi="Arial"/>
          <w:sz w:val="16"/>
          <w:szCs w:val="16"/>
          <w:color w:val="auto"/>
        </w:rPr>
        <w:t xml:space="preserve">. When an Eligible Employee files an election under Section 2.3 of the Plan to have Pre-Tax Contributions made on his behalf, he shall elect the percentage by which his Compensation shall be reduced on account of such Pre-Tax Contributions. Subject to Section 3.10 of the Plan, this percentage may be between one percent (1%) and fifty percent (50%) of such Compensation, rounded to the nearer one-half percentage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An automatically enrolled Eligible Employee’s Pre-Tax Contributions will, unless and until changed or discontinued by the Eligible Employee in accordance with Sections 3.2 or 3.3 of the Plan and subject to Section 3.10 of the Plan, be equal to three percent (3%) of the Eligible Employee’s Compensation in the first Plan Year in which such Eligible Employee is automatically enrolled in the Plan (the contribution percentages of Participants that were automatically enrolled in the NBCU CAP with an initial contribution percentage 3.5% will not change unless and until changed or discontinued by the Participants). An Eligible Employee’s Pre-Tax Contribution percentage will, unless otherwise elected by the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Contribution Account.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80" w:right="259" w:bottom="1440" w:gutter="0" w:footer="0" w:header="0"/>
        </w:sectPr>
      </w:pPr>
    </w:p>
    <w:bookmarkStart w:id="325" w:name="page326"/>
    <w:bookmarkEnd w:id="325"/>
    <w:p>
      <w:pPr>
        <w:ind w:right="240" w:firstLine="1492"/>
        <w:spacing w:after="0" w:line="289" w:lineRule="auto"/>
        <w:tabs>
          <w:tab w:leader="none" w:pos="1732"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Catch-Up Contributions</w:t>
      </w:r>
      <w:r>
        <w:rPr>
          <w:rFonts w:ascii="Arial" w:cs="Arial" w:eastAsia="Arial" w:hAnsi="Arial"/>
          <w:sz w:val="16"/>
          <w:szCs w:val="16"/>
          <w:color w:val="auto"/>
        </w:rPr>
        <w:t xml:space="preserve">. Eligible Employees who have attained Age 50 before the close of any Plan Year and who have previously contributed at least 4.5% of their Compensation as Pre-Tax Contributions or Roth Contributions during such Plan Year shall be eligible to make Catch-Up Contributions during that Plan Year. Catch-Up Contributions shall be expressed as a percentage of Compensation between one percent (1%) and thirty percent (30%) (rounded to the nearer one-half percentage (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2</w:t>
      </w:r>
      <w:r>
        <w:rPr>
          <w:rFonts w:ascii="Arial" w:cs="Arial" w:eastAsia="Arial" w:hAnsi="Arial"/>
          <w:sz w:val="16"/>
          <w:szCs w:val="16"/>
          <w:color w:val="auto"/>
        </w:rPr>
        <w:t xml:space="preserve">%)) and may be designated as either Pre-Tax Catch-Up Contributions or Roth Catch-Up Contributions.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3.2 of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firstLine="1492"/>
        <w:spacing w:after="0" w:line="287" w:lineRule="auto"/>
        <w:tabs>
          <w:tab w:leader="none" w:pos="1722"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Pre-Tax Catch-Up Contributions the Participant is otherwise eligible to make under the Plan, Roth Contributions and/or Roth Catch-Up Contributions to the Plan. Such Roth Contributions and Roth Catch-Up Contributions shall be allocated to the Eligible Employee’s Roth Contribution Account or Roth Catch-Up Contribution Account, as applicable. Roth Contributions and Roth Catch-Up Contributions shall be: (i) irrevocably designated as such by the Eligible Employee at the time of the election described in Sections 3.1(a) or (b) that is being made in lieu of all or a portion of the Pre-Tax Contribution and/or Pre-Tax Catch-Up Contributions the Eligible Employee is otherwise eligible to make under the Plan; and (ii) treated by the Participating Company as includible in the Eligible Employee’s income at the time the Participant would have received that amount in cash if the Eligible Employee had not made an election described in Sections 3.1(a) or (b). Unless specifically stated otherwise, Roth Contributions shall be treated as Pre-Tax Contributions for all purposes of the Plan (including, without limitation, Matching Contributions under Section 3.2) and Roth Catch-Up Contributions shall be treated as Pre-Tax Catch-Up Contributions for all purposes of the Plan.</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Matching Contributions</w:t>
      </w:r>
      <w:r>
        <w:rPr>
          <w:rFonts w:ascii="Arial" w:cs="Arial" w:eastAsia="Arial" w:hAnsi="Arial"/>
          <w:sz w:val="16"/>
          <w:szCs w:val="16"/>
          <w:color w:val="auto"/>
        </w:rPr>
        <w:t>. Subject to Sections 3.2(b) below and 3.10 of the Plan, the Participating Company shall contribute to the Fund for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Payroll Period:</w:t>
      </w:r>
    </w:p>
    <w:p>
      <w:pPr>
        <w:spacing w:after="0" w:line="165" w:lineRule="exact"/>
        <w:rPr>
          <w:sz w:val="20"/>
          <w:szCs w:val="20"/>
          <w:color w:val="auto"/>
        </w:rPr>
      </w:pPr>
    </w:p>
    <w:p>
      <w:pPr>
        <w:ind w:right="120" w:firstLine="1492"/>
        <w:spacing w:after="0" w:line="268" w:lineRule="auto"/>
        <w:tabs>
          <w:tab w:leader="none" w:pos="172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with respect to each Active Participant, an amount equal to one hundred percent (100%) of such Participant’s Pre-Tax Contributions for such Payroll Period not in excess of four and one-half percent (4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 of his Compensation for such Payroll Period.</w:t>
      </w:r>
    </w:p>
    <w:p>
      <w:pPr>
        <w:spacing w:after="0" w:line="131" w:lineRule="exact"/>
        <w:rPr>
          <w:rFonts w:ascii="Arial" w:cs="Arial" w:eastAsia="Arial" w:hAnsi="Arial"/>
          <w:sz w:val="18"/>
          <w:szCs w:val="18"/>
          <w:color w:val="auto"/>
        </w:rPr>
      </w:pPr>
    </w:p>
    <w:p>
      <w:pPr>
        <w:ind w:firstLine="1492"/>
        <w:spacing w:after="0" w:line="298" w:lineRule="auto"/>
        <w:tabs>
          <w:tab w:leader="none" w:pos="1732"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True-Up Contribution</w:t>
      </w:r>
      <w:r>
        <w:rPr>
          <w:rFonts w:ascii="Arial" w:cs="Arial" w:eastAsia="Arial" w:hAnsi="Arial"/>
          <w:sz w:val="16"/>
          <w:szCs w:val="16"/>
          <w:color w:val="auto"/>
        </w:rPr>
        <w:t>. Notwithstanding Section 3.2(a),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Contributions, a Participating Company shall make an additional Matching Contribution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80" w:right="279" w:bottom="1440" w:gutter="0" w:footer="0" w:header="0"/>
        </w:sectPr>
      </w:pPr>
    </w:p>
    <w:bookmarkStart w:id="326" w:name="page327"/>
    <w:bookmarkEnd w:id="326"/>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benefit of such Participant for such Plan Year in an amount equal to the amount which, when added to the Matching Contributions made pursuant to Section 3.2(a), would have been contributed had the Matching Contribution been based on the amount of the Participant’s annual Pre-Tax Contributions and annual Compensation.</w:t>
      </w:r>
    </w:p>
    <w:p>
      <w:pPr>
        <w:spacing w:after="0" w:line="140" w:lineRule="exact"/>
        <w:rPr>
          <w:sz w:val="20"/>
          <w:szCs w:val="20"/>
          <w:color w:val="auto"/>
        </w:rPr>
      </w:pPr>
    </w:p>
    <w:p>
      <w:pPr>
        <w:ind w:firstLine="1492"/>
        <w:spacing w:after="0" w:line="254" w:lineRule="auto"/>
        <w:tabs>
          <w:tab w:leader="none" w:pos="172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Notwithstanding the forgoing, the maximum total Matching Contribution for any Plan Year shall be $10,000 for any Participant who (i) is a Highly Compensated Employee and (ii) and is either (A) eligible to participate in the Comcast Corporation 2005 Deferred Compensation Plan or (B) a Committee Member. For purposes of Sections 3.2(c) and 3.3 of this </w:t>
      </w:r>
      <w:r>
        <w:rPr>
          <w:rFonts w:ascii="Arial" w:cs="Arial" w:eastAsia="Arial" w:hAnsi="Arial"/>
          <w:sz w:val="18"/>
          <w:szCs w:val="18"/>
          <w:u w:val="single" w:color="auto"/>
          <w:color w:val="auto"/>
        </w:rPr>
        <w:t>Exhibit B</w:t>
      </w:r>
      <w:r>
        <w:rPr>
          <w:rFonts w:ascii="Arial" w:cs="Arial" w:eastAsia="Arial" w:hAnsi="Arial"/>
          <w:sz w:val="18"/>
          <w:szCs w:val="18"/>
          <w:color w:val="auto"/>
        </w:rPr>
        <w:t>, a “Committee Member” means any Employee who is a member of the group of senior management employees of the NBCUniversal and its subsidiaries who have been appointed as members of the NBCUniversal Executive Committee, NBCUniversal Management Committee or NBCUniversal Operating Committee by the Chief Executive Officer of NBCUniversal, LLC and whose membership has been approved by the EVP.</w:t>
      </w:r>
    </w:p>
    <w:p>
      <w:pPr>
        <w:spacing w:after="0" w:line="144"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NBCU Retirement Contributions</w:t>
      </w:r>
      <w:r>
        <w:rPr>
          <w:rFonts w:ascii="Arial" w:cs="Arial" w:eastAsia="Arial" w:hAnsi="Arial"/>
          <w:sz w:val="16"/>
          <w:szCs w:val="16"/>
          <w:color w:val="auto"/>
        </w:rPr>
        <w:t>. With respect to each Plan Year, the Participating Companies will, subject to the limitations of Section 3.11 of the Plan, contribute to the Fund for each Eligible Employee who is an Employee on the last day of the applicable Plan Year an additional amount equal to 3% of such Eligible Employee’s Compensation for that Plan Year. In the event that an Employee is eligible to receive an allocation of the NBCU Retirement Contribution for a particular Plan Year and such Employee is employed by the Company or one of its subsidiaries (other than NBCUniversal and its subsidiaries) as of the last day of the Plan Year due to a transfer of employment from NBCUniversal or one of its subsidiaries during such Plan Year, such eligible Employee’s allocation of the NBCU Retirement Contribution will be limited to 3% of such Eligible Employee’s Compensation for the portion of the Plan Year he or she was employed by NBCUniversal or one of its subsidiaries. Notwithstanding the foregoing, no Eligible Employee shall be eligible to receive an NBCU Retirement Contribution pursuant to this Section 3.3 if such Employee is either (i) eligible to participate in the Comcast Corporation 2005 Deferred Compensation Plan or (B) a Committee Member.</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the foregoing, an Employee who is otherwise eligible to receive an allocation of the NBCU Retirement Contribution for a Plan Year may elect to not receive such allocation provided (i) such Employee has a sincere religious objection to receiving such contribution and (ii) not later than the last day of the Plan Year to which such contribution relates, such Employee executes a waiver in a form provided by the Committee pursuant to which such Employee elects not to receive an allocation of the Comcast Retirement Contribution and releases the Plan, the Company and their respective affiliates from any and all claims related to not receiving such allocation.</w:t>
      </w:r>
    </w:p>
    <w:p>
      <w:pPr>
        <w:spacing w:after="0" w:line="14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For avoidance of doubt, the provisions of Sections 3.1.2, 3.3, 3.4, 3.7, 3.8, 3.9, 3.10, 3.11, 3.12 and 3.13 of the Plan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Vesting</w:t>
      </w:r>
      <w:r>
        <w:rPr>
          <w:rFonts w:ascii="Arial" w:cs="Arial" w:eastAsia="Arial" w:hAnsi="Arial"/>
          <w:sz w:val="18"/>
          <w:szCs w:val="18"/>
          <w:color w:val="auto"/>
        </w:rPr>
        <w:t>. Each Participant shall become vested in that portion of his NBCU Retirement Contribution Account in accordance with the following schedule: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327" w:name="page328"/>
    <w:bookmarkEnd w:id="327"/>
    <w:tbl>
      <w:tblPr>
        <w:tblLayout w:type="fixed"/>
        <w:tblInd w:w="3900" w:type="dxa"/>
        <w:tblCellMar>
          <w:top w:w="0" w:type="dxa"/>
          <w:left w:w="0" w:type="dxa"/>
          <w:bottom w:w="0" w:type="dxa"/>
          <w:right w:w="0" w:type="dxa"/>
        </w:tblCellMar>
      </w:tblPr>
      <w:tr>
        <w:trPr>
          <w:trHeight w:val="244"/>
        </w:trPr>
        <w:tc>
          <w:tcPr>
            <w:tcW w:w="2160" w:type="dxa"/>
            <w:vAlign w:val="bottom"/>
            <w:gridSpan w:val="2"/>
          </w:tcPr>
          <w:p>
            <w:pPr>
              <w:spacing w:after="0"/>
              <w:rPr>
                <w:sz w:val="20"/>
                <w:szCs w:val="20"/>
                <w:color w:val="auto"/>
              </w:rPr>
            </w:pPr>
            <w:r>
              <w:rPr>
                <w:rFonts w:ascii="Arial" w:cs="Arial" w:eastAsia="Arial" w:hAnsi="Arial"/>
                <w:sz w:val="18"/>
                <w:szCs w:val="18"/>
                <w:color w:val="auto"/>
              </w:rPr>
              <w:t>Years of Service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5"/>
              </w:rPr>
              <w:t>Vested Percentage</w:t>
            </w:r>
          </w:p>
        </w:tc>
      </w:tr>
      <w:tr>
        <w:trPr>
          <w:trHeight w:val="195"/>
        </w:trPr>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1"/>
              </w:rPr>
              <w:t>Less than 2 years</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ind w:right="352"/>
              <w:spacing w:after="0" w:line="195" w:lineRule="exact"/>
              <w:rPr>
                <w:sz w:val="20"/>
                <w:szCs w:val="20"/>
                <w:color w:val="auto"/>
              </w:rPr>
            </w:pPr>
            <w:r>
              <w:rPr>
                <w:rFonts w:ascii="Arial" w:cs="Arial" w:eastAsia="Arial" w:hAnsi="Arial"/>
                <w:sz w:val="18"/>
                <w:szCs w:val="18"/>
                <w:color w:val="auto"/>
              </w:rPr>
              <w:t>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2 years but less than 3 years</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20%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3 years but less than 4 years</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40%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4 years but less than 5 years</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60%</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w w:val="92"/>
              </w:rPr>
              <w:t>5 years but less than 6 years</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80%</w:t>
            </w: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100%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firstLine="456"/>
        <w:spacing w:after="0" w:line="255" w:lineRule="auto"/>
        <w:rPr>
          <w:sz w:val="20"/>
          <w:szCs w:val="20"/>
          <w:color w:val="auto"/>
        </w:rPr>
      </w:pPr>
      <w:r>
        <w:rPr>
          <w:rFonts w:ascii="Arial" w:cs="Arial" w:eastAsia="Arial" w:hAnsi="Arial"/>
          <w:sz w:val="18"/>
          <w:szCs w:val="18"/>
          <w:color w:val="auto"/>
        </w:rPr>
        <w:t xml:space="preserve">Notwithstanding the foregoing, a Participant shall have a 100% nonforfeitable interest in his NBCU Retirement Contribution Account upon his attainment of his Normal Retirement Date, his death or his Total Disability, provided the Participant is an Active Participant at the time of the occurrence of such event. Amounts forfeited from a Participant’s NBCU Retirement Contribution Account under Section 6 of the Plan shall be used to reduce future Matching Contributions and/or NBCU Retirement Contributions or to pay plan expenses. The remaining provisions of Article VI of the Plan (to the extent not contradicted by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Withdrawals</w:t>
      </w:r>
      <w:r>
        <w:rPr>
          <w:rFonts w:ascii="Arial" w:cs="Arial" w:eastAsia="Arial" w:hAnsi="Arial"/>
          <w:sz w:val="16"/>
          <w:szCs w:val="16"/>
          <w:color w:val="auto"/>
        </w:rPr>
        <w:t xml:space="preserve">. In addition to Active Participants, the following Participants (as determined by the Committee) shall be eligible to receive withdrawals pursuant to Article VIII of the Plan (provided such Participant otherwise meets the eligibility requirements for such withdrawals set forth in the applicable subsection of Article VIII of the Plan): (1) any Participant who is on an unpaid leave of absence without pay; (2) any Participant who is a leave of absence as a result of pregnancy; (3) any Participant who is on a leave of absence while receiving workers’ compensation benefits; (4) any Participant who is on a leave of absence as a result of performing active duty service in the uniformed services (as defined in chapter 43 of title 38, United States Code); (5) any Participant who is not actively employed with a Participating Company as a result of an involuntary layoff; and (6) any Participant who is no longer eligible to actively participate in the Plan solely as a result of transferring to a collectively bargained unit that does not participate in the Plan. The remaining provisions of Article VIII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Loans to Participants</w:t>
      </w:r>
      <w:r>
        <w:rPr>
          <w:rFonts w:ascii="Arial" w:cs="Arial" w:eastAsia="Arial" w:hAnsi="Arial"/>
          <w:sz w:val="16"/>
          <w:szCs w:val="16"/>
          <w:color w:val="auto"/>
        </w:rPr>
        <w:t xml:space="preserve">. In addition to Active Participants, the following Participants (as determined by the Committee) shall be eligible to apply for a loan from the Plan pursuant to Article IX of the Plan: (1) any Participant who is on a paid or unpaid leave of absence; and (2) any Participant who is no longer eligible to actively participate in the Plan solely as a result of transferring to a collectively bargained unit that does not participate in the Plan. Notwithstanding Section 9.3.1 to the contrary, a Participant who has more than one loan transferred from his account under the NBCU CAP may continue have both loans outstanding under the Plan but may not take a new loan from the Plan until all outstanding loans are paid in full. The remaining provisions of Article IX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NBCUniversal and all entities which are Affiliated Companies with respect to NBCUniversal shall be treated, to the extent required by law, as a separate part of a multiple employer plan, unless and until NBCUniversal and its Affiliated Companies become members of the controlled group of employers (within the meaning of section 414(b) and section 414(c) of the Code) that includes the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9" w:right="25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212" w:lineRule="exact"/>
        <w:rPr>
          <w:sz w:val="20"/>
          <w:szCs w:val="20"/>
          <w:color w:val="auto"/>
        </w:rPr>
      </w:pPr>
    </w:p>
    <w:p>
      <w:pPr>
        <w:ind w:left="460" w:hanging="452"/>
        <w:spacing w:after="0"/>
        <w:tabs>
          <w:tab w:leader="none" w:pos="4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COMCAST CORPORATION, a Pennsylvania corporation, hereby amends and restates the Comcast Corporation 2002 Employee Stock Purchase Plan (the “Plan”).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177" w:lineRule="exact"/>
        <w:rPr>
          <w:sz w:val="20"/>
          <w:szCs w:val="20"/>
          <w:color w:val="auto"/>
        </w:rPr>
      </w:pPr>
    </w:p>
    <w:p>
      <w:pPr>
        <w:ind w:left="460" w:hanging="452"/>
        <w:spacing w:after="0"/>
        <w:tabs>
          <w:tab w:leader="none" w:pos="4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5" w:right="239" w:bottom="1440" w:gutter="0" w:footer="0" w:header="0"/>
        </w:sectPr>
      </w:pPr>
    </w:p>
    <w:bookmarkStart w:id="329" w:name="page330"/>
    <w:bookmarkEnd w:id="329"/>
    <w:p>
      <w:pPr>
        <w:ind w:firstLine="464"/>
        <w:spacing w:after="0" w:line="255" w:lineRule="auto"/>
        <w:tabs>
          <w:tab w:leader="none" w:pos="666"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right="580" w:firstLine="464"/>
        <w:spacing w:after="0" w:line="268" w:lineRule="auto"/>
        <w:tabs>
          <w:tab w:leader="none" w:pos="66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71"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30" w:name="page331"/>
    <w:bookmarkEnd w:id="330"/>
    <w:p>
      <w:pPr>
        <w:ind w:left="720" w:hanging="256"/>
        <w:spacing w:after="0"/>
        <w:tabs>
          <w:tab w:leader="none" w:pos="7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firstLine="464"/>
        <w:spacing w:after="0" w:line="332" w:lineRule="auto"/>
        <w:tabs>
          <w:tab w:leader="none" w:pos="67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the period extending from an Offering Commencement Date through the following Offering Termination Date.</w:t>
      </w:r>
    </w:p>
    <w:p>
      <w:pPr>
        <w:spacing w:after="0" w:line="194" w:lineRule="exact"/>
        <w:rPr>
          <w:rFonts w:ascii="Arial" w:cs="Arial" w:eastAsia="Arial" w:hAnsi="Arial"/>
          <w:sz w:val="16"/>
          <w:szCs w:val="16"/>
          <w:color w:val="auto"/>
        </w:rPr>
      </w:pPr>
    </w:p>
    <w:p>
      <w:pPr>
        <w:ind w:right="140" w:firstLine="464"/>
        <w:spacing w:after="0" w:line="268" w:lineRule="auto"/>
        <w:tabs>
          <w:tab w:leader="none" w:pos="66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ind w:firstLine="464"/>
        <w:spacing w:after="0" w:line="294" w:lineRule="auto"/>
        <w:tabs>
          <w:tab w:leader="none" w:pos="70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2(v) to an officer of the Company or committee of two or more officers of the Company.</w:t>
      </w:r>
    </w:p>
    <w:p>
      <w:pPr>
        <w:spacing w:after="0" w:line="115" w:lineRule="exact"/>
        <w:rPr>
          <w:rFonts w:ascii="Arial" w:cs="Arial" w:eastAsia="Arial" w:hAnsi="Arial"/>
          <w:sz w:val="16"/>
          <w:szCs w:val="16"/>
          <w:color w:val="auto"/>
        </w:rPr>
      </w:pPr>
    </w:p>
    <w:p>
      <w:pPr>
        <w:ind w:left="760" w:hanging="296"/>
        <w:spacing w:after="0"/>
        <w:tabs>
          <w:tab w:leader="none" w:pos="7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205" w:lineRule="exact"/>
        <w:rPr>
          <w:rFonts w:ascii="Arial" w:cs="Arial" w:eastAsia="Arial" w:hAnsi="Arial"/>
          <w:sz w:val="15"/>
          <w:szCs w:val="15"/>
          <w:color w:val="auto"/>
        </w:rPr>
      </w:pPr>
    </w:p>
    <w:p>
      <w:pPr>
        <w:ind w:left="700" w:hanging="236"/>
        <w:spacing w:after="0"/>
        <w:tabs>
          <w:tab w:leader="none" w:pos="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64" w:lineRule="exact"/>
        <w:rPr>
          <w:rFonts w:ascii="Arial" w:cs="Arial" w:eastAsia="Arial" w:hAnsi="Arial"/>
          <w:sz w:val="16"/>
          <w:szCs w:val="16"/>
          <w:color w:val="auto"/>
        </w:rPr>
      </w:pPr>
    </w:p>
    <w:p>
      <w:pPr>
        <w:ind w:left="1160" w:hanging="239"/>
        <w:spacing w:after="0"/>
        <w:tabs>
          <w:tab w:leader="none" w:pos="11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sz w:val="20"/>
          <w:szCs w:val="20"/>
          <w:color w:val="auto"/>
        </w:rPr>
      </w:pPr>
    </w:p>
    <w:p>
      <w:pPr>
        <w:ind w:right="40" w:firstLine="464"/>
        <w:spacing w:after="0" w:line="332" w:lineRule="auto"/>
        <w:tabs>
          <w:tab w:leader="none" w:pos="77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31" w:name="page332"/>
    <w:bookmarkEnd w:id="331"/>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trading day thereafter or (2) the Fair Market Value per Share on the Offering Termination Date, or if such date is not a trading day, then on the trading day immediately preceding the Offering Termination Date.</w:t>
      </w:r>
    </w:p>
    <w:p>
      <w:pPr>
        <w:spacing w:after="0" w:line="132" w:lineRule="exact"/>
        <w:rPr>
          <w:sz w:val="20"/>
          <w:szCs w:val="20"/>
          <w:color w:val="auto"/>
        </w:rPr>
      </w:pPr>
    </w:p>
    <w:p>
      <w:pPr>
        <w:ind w:left="800" w:hanging="336"/>
        <w:spacing w:after="0"/>
        <w:tabs>
          <w:tab w:leader="none" w:pos="8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firstLine="464"/>
        <w:spacing w:after="0" w:line="268" w:lineRule="auto"/>
        <w:tabs>
          <w:tab w:leader="none" w:pos="773"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60" w:firstLine="464"/>
        <w:spacing w:after="0" w:line="332" w:lineRule="auto"/>
        <w:tabs>
          <w:tab w:leader="none" w:pos="773" w:val="left"/>
        </w:tabs>
        <w:numPr>
          <w:ilvl w:val="1"/>
          <w:numId w:val="2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firstLine="464"/>
        <w:spacing w:after="0" w:line="268" w:lineRule="auto"/>
        <w:tabs>
          <w:tab w:leader="none" w:pos="73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94" w:lineRule="exact"/>
        <w:rPr>
          <w:rFonts w:ascii="Arial" w:cs="Arial" w:eastAsia="Arial" w:hAnsi="Arial"/>
          <w:sz w:val="16"/>
          <w:szCs w:val="16"/>
          <w:color w:val="auto"/>
        </w:rPr>
      </w:pPr>
    </w:p>
    <w:p>
      <w:pPr>
        <w:ind w:right="560" w:firstLine="464"/>
        <w:spacing w:after="0" w:line="268" w:lineRule="auto"/>
        <w:tabs>
          <w:tab w:leader="none" w:pos="705"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253"/>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71" w:lineRule="exact"/>
        <w:rPr>
          <w:rFonts w:ascii="Arial" w:cs="Arial" w:eastAsia="Arial" w:hAnsi="Arial"/>
          <w:sz w:val="18"/>
          <w:szCs w:val="18"/>
          <w:color w:val="auto"/>
        </w:rPr>
      </w:pPr>
    </w:p>
    <w:p>
      <w:pPr>
        <w:ind w:right="100" w:firstLine="921"/>
        <w:spacing w:after="0" w:line="259" w:lineRule="auto"/>
        <w:tabs>
          <w:tab w:leader="none" w:pos="1162"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40" w:lineRule="exact"/>
        <w:rPr>
          <w:rFonts w:ascii="Arial" w:cs="Arial" w:eastAsia="Arial" w:hAnsi="Arial"/>
          <w:sz w:val="18"/>
          <w:szCs w:val="18"/>
          <w:color w:val="auto"/>
        </w:rPr>
      </w:pPr>
    </w:p>
    <w:p>
      <w:pPr>
        <w:jc w:val="both"/>
        <w:ind w:firstLine="464"/>
        <w:spacing w:after="0" w:line="298" w:lineRule="auto"/>
        <w:tabs>
          <w:tab w:leader="none" w:pos="695"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32" w:name="page333"/>
    <w:bookmarkEnd w:id="332"/>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54"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20" w:firstLine="464"/>
        <w:spacing w:after="0" w:line="256" w:lineRule="auto"/>
        <w:tabs>
          <w:tab w:leader="none" w:pos="695"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shall not exceed $12,500. The rules established by the Committee regarding Payroll Deductions, as reflected on the Election Form, shall be consistent with section 423(b)(5) of the Code.</w:t>
      </w:r>
    </w:p>
    <w:p>
      <w:pPr>
        <w:spacing w:after="0" w:line="143"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xml:space="preserve"> . All Payroll Deductions with respect to a Participant pursuant to Paragraph 5(a) shall be credited to the Participant’s Account under the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95"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140" w:firstLine="464"/>
        <w:spacing w:after="0" w:line="256" w:lineRule="auto"/>
        <w:tabs>
          <w:tab w:leader="none" w:pos="695"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33" w:name="page334"/>
    <w:bookmarkEnd w:id="333"/>
    <w:p>
      <w:pPr>
        <w:ind w:left="-8" w:right="280" w:firstLine="464"/>
        <w:spacing w:after="0" w:line="306" w:lineRule="auto"/>
        <w:tabs>
          <w:tab w:leader="none" w:pos="697"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left="-8" w:right="140" w:firstLine="464"/>
        <w:spacing w:after="0" w:line="306" w:lineRule="auto"/>
        <w:tabs>
          <w:tab w:leader="none" w:pos="687"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106" w:lineRule="exact"/>
        <w:rPr>
          <w:rFonts w:ascii="Arial" w:cs="Arial" w:eastAsia="Arial" w:hAnsi="Arial"/>
          <w:sz w:val="16"/>
          <w:szCs w:val="16"/>
          <w:color w:val="auto"/>
        </w:rPr>
      </w:pPr>
    </w:p>
    <w:p>
      <w:pPr>
        <w:ind w:left="-8" w:right="140" w:firstLine="464"/>
        <w:spacing w:after="0" w:line="259" w:lineRule="auto"/>
        <w:tabs>
          <w:tab w:leader="none" w:pos="697"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left="692" w:hanging="236"/>
        <w:spacing w:after="0"/>
        <w:tabs>
          <w:tab w:leader="none" w:pos="692"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71" w:lineRule="exact"/>
        <w:rPr>
          <w:rFonts w:ascii="Arial" w:cs="Arial" w:eastAsia="Arial" w:hAnsi="Arial"/>
          <w:sz w:val="18"/>
          <w:szCs w:val="18"/>
          <w:color w:val="auto"/>
        </w:rPr>
      </w:pPr>
    </w:p>
    <w:p>
      <w:pPr>
        <w:ind w:left="-8" w:firstLine="464"/>
        <w:spacing w:after="0" w:line="286" w:lineRule="auto"/>
        <w:tabs>
          <w:tab w:leader="none" w:pos="69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whose Payroll Deductions are suspended during an Offering Period because of a hardship withdrawal under the rules of the Comcast Corporation Retirement-Investment Plan or any other plan, 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9" w:right="259" w:bottom="1440" w:gutter="0" w:footer="0" w:header="0"/>
        </w:sectPr>
      </w:pPr>
    </w:p>
    <w:bookmarkStart w:id="334" w:name="page335"/>
    <w:bookmarkEnd w:id="334"/>
    <w:p>
      <w:pPr>
        <w:ind w:left="-8" w:right="180" w:firstLine="464"/>
        <w:spacing w:after="0" w:line="268" w:lineRule="auto"/>
        <w:tabs>
          <w:tab w:leader="none" w:pos="687"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66" w:lineRule="exact"/>
        <w:rPr>
          <w:rFonts w:ascii="Arial" w:cs="Arial" w:eastAsia="Arial" w:hAnsi="Arial"/>
          <w:sz w:val="18"/>
          <w:szCs w:val="18"/>
          <w:color w:val="auto"/>
        </w:rPr>
      </w:pPr>
    </w:p>
    <w:p>
      <w:pPr>
        <w:ind w:left="452" w:hanging="452"/>
        <w:spacing w:after="0"/>
        <w:tabs>
          <w:tab w:leader="none" w:pos="4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8" w:firstLine="464"/>
        <w:spacing w:after="0" w:line="301" w:lineRule="auto"/>
        <w:tabs>
          <w:tab w:leader="none" w:pos="687" w:val="left"/>
        </w:tabs>
        <w:numPr>
          <w:ilvl w:val="1"/>
          <w:numId w:val="259"/>
        </w:numPr>
        <w:rPr>
          <w:rFonts w:ascii="Arial" w:cs="Arial" w:eastAsia="Arial" w:hAnsi="Arial"/>
          <w:sz w:val="15"/>
          <w:szCs w:val="15"/>
          <w:color w:val="auto"/>
        </w:rPr>
      </w:pPr>
      <w:r>
        <w:rPr>
          <w:rFonts w:ascii="Arial" w:cs="Arial" w:eastAsia="Arial" w:hAnsi="Arial"/>
          <w:sz w:val="15"/>
          <w:szCs w:val="15"/>
          <w:u w:val="single" w:color="auto"/>
          <w:color w:val="auto"/>
        </w:rPr>
        <w:t>Maximum Number of Shares; Adjustments</w:t>
      </w:r>
      <w:r>
        <w:rPr>
          <w:rFonts w:ascii="Arial" w:cs="Arial" w:eastAsia="Arial" w:hAnsi="Arial"/>
          <w:sz w:val="15"/>
          <w:szCs w:val="15"/>
          <w:color w:val="auto"/>
        </w:rPr>
        <w:t>. Subject to adjustment as provided in this Paragraph 9, not more than 35,500,000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w:t>
      </w:r>
    </w:p>
    <w:p>
      <w:pPr>
        <w:spacing w:after="0" w:line="4" w:lineRule="exact"/>
        <w:rPr>
          <w:rFonts w:ascii="Arial" w:cs="Arial" w:eastAsia="Arial" w:hAnsi="Arial"/>
          <w:sz w:val="15"/>
          <w:szCs w:val="15"/>
          <w:color w:val="auto"/>
        </w:rPr>
      </w:pPr>
    </w:p>
    <w:p>
      <w:pPr>
        <w:ind w:left="-8" w:right="180" w:firstLine="8"/>
        <w:spacing w:after="0" w:line="261" w:lineRule="auto"/>
        <w:tabs>
          <w:tab w:leader="none" w:pos="16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Board’s or the Committee’s adjustment shall be effective and binding for all purposes of this Plan. All Shares issued pursuant to the Plan shall be validly issued, fully paid and nonassessable.</w:t>
      </w:r>
    </w:p>
    <w:p>
      <w:pPr>
        <w:spacing w:after="0" w:line="137" w:lineRule="exact"/>
        <w:rPr>
          <w:rFonts w:ascii="Arial" w:cs="Arial" w:eastAsia="Arial" w:hAnsi="Arial"/>
          <w:sz w:val="18"/>
          <w:szCs w:val="18"/>
          <w:color w:val="auto"/>
        </w:rPr>
      </w:pPr>
    </w:p>
    <w:p>
      <w:pPr>
        <w:ind w:left="-8" w:right="600" w:firstLine="464"/>
        <w:spacing w:after="0" w:line="268" w:lineRule="auto"/>
        <w:tabs>
          <w:tab w:leader="none" w:pos="697"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left="-8" w:right="640" w:firstLine="464"/>
        <w:spacing w:after="0" w:line="268" w:lineRule="auto"/>
        <w:tabs>
          <w:tab w:leader="none" w:pos="687"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left="-8" w:right="260" w:firstLine="464"/>
        <w:spacing w:after="0" w:line="332" w:lineRule="auto"/>
        <w:tabs>
          <w:tab w:leader="none" w:pos="697"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left="-8" w:right="120" w:firstLine="464"/>
        <w:spacing w:after="0" w:line="306" w:lineRule="auto"/>
        <w:tabs>
          <w:tab w:leader="none" w:pos="687"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Restrictions on Sale of Shares</w:t>
      </w:r>
      <w:r>
        <w:rPr>
          <w:rFonts w:ascii="Arial" w:cs="Arial" w:eastAsia="Arial" w:hAnsi="Arial"/>
          <w:sz w:val="16"/>
          <w:szCs w:val="16"/>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335" w:name="page336"/>
    <w:bookmarkEnd w:id="33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Brokerage Accounts may be sold or otherwise transferred, provided that such holding period, if any, shall not apply to Shares credited to the Brokerage Account of a Participant who has terminated employment on account of death or disability.</w:t>
      </w:r>
    </w:p>
    <w:p>
      <w:pPr>
        <w:spacing w:after="0" w:line="166"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75"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178"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47"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36" w:name="page337"/>
    <w:bookmarkEnd w:id="336"/>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original effective date of the Plan was December 20, 2000.</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660" w:firstLine="464"/>
        <w:spacing w:after="0" w:line="268" w:lineRule="auto"/>
        <w:tabs>
          <w:tab w:leader="none" w:pos="695"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260" w:firstLine="464"/>
        <w:spacing w:after="0" w:line="306" w:lineRule="auto"/>
        <w:tabs>
          <w:tab w:leader="none" w:pos="705"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41" w:lineRule="exact"/>
        <w:rPr>
          <w:rFonts w:ascii="Arial" w:cs="Arial" w:eastAsia="Arial" w:hAnsi="Arial"/>
          <w:sz w:val="16"/>
          <w:szCs w:val="16"/>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75"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171" w:lineRule="exact"/>
        <w:rPr>
          <w:sz w:val="20"/>
          <w:szCs w:val="20"/>
          <w:color w:val="auto"/>
        </w:rPr>
      </w:pPr>
    </w:p>
    <w:p>
      <w:pPr>
        <w:ind w:left="1340" w:right="1700"/>
        <w:spacing w:after="0" w:line="259" w:lineRule="auto"/>
        <w:rPr>
          <w:sz w:val="20"/>
          <w:szCs w:val="20"/>
          <w:color w:val="auto"/>
        </w:rPr>
      </w:pPr>
      <w:r>
        <w:rPr>
          <w:rFonts w:ascii="Arial" w:cs="Arial" w:eastAsia="Arial" w:hAnsi="Arial"/>
          <w:sz w:val="18"/>
          <w:szCs w:val="18"/>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74" w:right="419" w:bottom="1440" w:gutter="0" w:footer="0" w:header="0"/>
        </w:sectPr>
      </w:pPr>
    </w:p>
    <w:bookmarkStart w:id="337" w:name="page338"/>
    <w:bookmarkEnd w:id="337"/>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66"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66"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right="6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on the 21st day of October, 2014.</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88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273" w:right="47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COMCAST-NBCUNIVERSAL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225" w:lineRule="exact"/>
        <w:rPr>
          <w:sz w:val="20"/>
          <w:szCs w:val="20"/>
          <w:color w:val="auto"/>
        </w:rPr>
      </w:pPr>
    </w:p>
    <w:p>
      <w:pPr>
        <w:ind w:left="320" w:hanging="312"/>
        <w:spacing w:after="0"/>
        <w:tabs>
          <w:tab w:leader="none" w:pos="32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COMCAST CORPORATION, a Pennsylvania corporation, hereby amends and restates the Comcast-NBCUniversal 2011 Employee Stock Purchase Plan (the “Plan”). The Plan is intended to encourage and facilitate the purchase of shares of common stock of Comcast Corporation by Eligible Employees of NBCUniversal and any Participating Companies, thereby providing such Eligible Employees with a personal stake in the Company and a long-range inducement to remain in the employ of NBCUniversal and Participating Companies. It is the intention of the Company that the Plan not qualify as an “employee stock purchase plan” within the meaning of section 423 of the Code.</w:t>
      </w:r>
    </w:p>
    <w:p>
      <w:pPr>
        <w:spacing w:after="0" w:line="184" w:lineRule="exact"/>
        <w:rPr>
          <w:sz w:val="20"/>
          <w:szCs w:val="20"/>
          <w:color w:val="auto"/>
        </w:rPr>
      </w:pPr>
    </w:p>
    <w:p>
      <w:pPr>
        <w:ind w:left="320" w:hanging="312"/>
        <w:spacing w:after="0"/>
        <w:tabs>
          <w:tab w:leader="none" w:pos="32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40" w:hanging="376"/>
        <w:spacing w:after="0"/>
        <w:tabs>
          <w:tab w:leader="none" w:pos="8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225" w:lineRule="exact"/>
        <w:rPr>
          <w:rFonts w:ascii="Arial" w:cs="Arial" w:eastAsia="Arial" w:hAnsi="Arial"/>
          <w:sz w:val="18"/>
          <w:szCs w:val="18"/>
          <w:color w:val="auto"/>
        </w:rPr>
      </w:pPr>
    </w:p>
    <w:p>
      <w:pPr>
        <w:ind w:right="100" w:firstLine="464"/>
        <w:spacing w:after="0" w:line="259" w:lineRule="auto"/>
        <w:tabs>
          <w:tab w:leader="none" w:pos="84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left="840" w:hanging="376"/>
        <w:spacing w:after="0"/>
        <w:tabs>
          <w:tab w:leader="none" w:pos="8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right="220" w:firstLine="464"/>
        <w:spacing w:after="0" w:line="277" w:lineRule="auto"/>
        <w:tabs>
          <w:tab w:leader="none" w:pos="84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70" w:lineRule="exact"/>
        <w:rPr>
          <w:rFonts w:ascii="Arial" w:cs="Arial" w:eastAsia="Arial" w:hAnsi="Arial"/>
          <w:sz w:val="18"/>
          <w:szCs w:val="18"/>
          <w:color w:val="auto"/>
        </w:rPr>
      </w:pPr>
    </w:p>
    <w:p>
      <w:pPr>
        <w:ind w:right="60" w:firstLine="464"/>
        <w:spacing w:after="0" w:line="259" w:lineRule="auto"/>
        <w:tabs>
          <w:tab w:leader="none" w:pos="83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6" w:lineRule="exact"/>
        <w:rPr>
          <w:rFonts w:ascii="Arial" w:cs="Arial" w:eastAsia="Arial" w:hAnsi="Arial"/>
          <w:sz w:val="18"/>
          <w:szCs w:val="18"/>
          <w:color w:val="auto"/>
        </w:rPr>
      </w:pPr>
    </w:p>
    <w:p>
      <w:pPr>
        <w:ind w:left="820" w:hanging="356"/>
        <w:spacing w:after="0"/>
        <w:tabs>
          <w:tab w:leader="none" w:pos="8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right="80" w:firstLine="464"/>
        <w:spacing w:after="0" w:line="277" w:lineRule="auto"/>
        <w:tabs>
          <w:tab w:leader="none" w:pos="84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1" w:right="239" w:bottom="1440" w:gutter="0" w:footer="0" w:header="0"/>
        </w:sectPr>
      </w:pPr>
    </w:p>
    <w:bookmarkStart w:id="339" w:name="page340"/>
    <w:bookmarkEnd w:id="339"/>
    <w:p>
      <w:pPr>
        <w:ind w:left="-8" w:firstLine="464"/>
        <w:spacing w:after="0" w:line="291" w:lineRule="auto"/>
        <w:tabs>
          <w:tab w:leader="none" w:pos="798" w:val="left"/>
        </w:tabs>
        <w:numPr>
          <w:ilvl w:val="1"/>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an Eligible Employee’s wages as reported on Form W-2 (</w:t>
      </w:r>
      <w:r>
        <w:rPr>
          <w:rFonts w:ascii="Arial" w:cs="Arial" w:eastAsia="Arial" w:hAnsi="Arial"/>
          <w:sz w:val="16"/>
          <w:szCs w:val="16"/>
          <w:u w:val="single" w:color="auto"/>
          <w:color w:val="auto"/>
        </w:rPr>
        <w:t>i.e.</w:t>
      </w:r>
      <w:r>
        <w:rPr>
          <w:rFonts w:ascii="Arial" w:cs="Arial" w:eastAsia="Arial" w:hAnsi="Arial"/>
          <w:sz w:val="16"/>
          <w:szCs w:val="16"/>
          <w:color w:val="auto"/>
        </w:rPr>
        <w:t>, wages as defined in section 3401(a) of the Code and all other payments of compensation for which the Participating Company is required to furnish the employee a written statement under sections 6041(d) and 6051(a)</w:t>
      </w:r>
    </w:p>
    <w:p>
      <w:pPr>
        <w:ind w:left="-8" w:right="80" w:firstLine="8"/>
        <w:spacing w:after="0" w:line="255" w:lineRule="auto"/>
        <w:tabs>
          <w:tab w:leader="none" w:pos="2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90" w:lineRule="exact"/>
        <w:rPr>
          <w:rFonts w:ascii="Arial" w:cs="Arial" w:eastAsia="Arial" w:hAnsi="Arial"/>
          <w:sz w:val="18"/>
          <w:szCs w:val="18"/>
          <w:color w:val="auto"/>
        </w:rPr>
      </w:pPr>
    </w:p>
    <w:p>
      <w:pPr>
        <w:ind w:left="812" w:hanging="356"/>
        <w:spacing w:after="0"/>
        <w:tabs>
          <w:tab w:leader="none" w:pos="81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referenced in Paragraph 15.</w:t>
      </w:r>
    </w:p>
    <w:p>
      <w:pPr>
        <w:spacing w:after="0" w:line="225" w:lineRule="exact"/>
        <w:rPr>
          <w:rFonts w:ascii="Arial" w:cs="Arial" w:eastAsia="Arial" w:hAnsi="Arial"/>
          <w:sz w:val="18"/>
          <w:szCs w:val="18"/>
          <w:color w:val="auto"/>
        </w:rPr>
      </w:pPr>
    </w:p>
    <w:p>
      <w:pPr>
        <w:ind w:left="-8" w:right="180" w:firstLine="464"/>
        <w:spacing w:after="0" w:line="277" w:lineRule="auto"/>
        <w:tabs>
          <w:tab w:leader="none" w:pos="83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70" w:lineRule="exact"/>
        <w:rPr>
          <w:rFonts w:ascii="Arial" w:cs="Arial" w:eastAsia="Arial" w:hAnsi="Arial"/>
          <w:sz w:val="18"/>
          <w:szCs w:val="18"/>
          <w:color w:val="auto"/>
        </w:rPr>
      </w:pPr>
    </w:p>
    <w:p>
      <w:pPr>
        <w:ind w:left="812" w:hanging="356"/>
        <w:spacing w:after="0"/>
        <w:tabs>
          <w:tab w:leader="none" w:pos="81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225" w:lineRule="exact"/>
        <w:rPr>
          <w:rFonts w:ascii="Arial" w:cs="Arial" w:eastAsia="Arial" w:hAnsi="Arial"/>
          <w:sz w:val="18"/>
          <w:szCs w:val="18"/>
          <w:color w:val="auto"/>
        </w:rPr>
      </w:pPr>
    </w:p>
    <w:p>
      <w:pPr>
        <w:ind w:left="892" w:hanging="436"/>
        <w:spacing w:after="0"/>
        <w:tabs>
          <w:tab w:leader="none" w:pos="892"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NBCUniversal and any Subsidiary of NBCUniversal other than:</w:t>
      </w:r>
    </w:p>
    <w:p>
      <w:pPr>
        <w:spacing w:after="0" w:line="225" w:lineRule="exact"/>
        <w:rPr>
          <w:rFonts w:ascii="Arial" w:cs="Arial" w:eastAsia="Arial" w:hAnsi="Arial"/>
          <w:sz w:val="18"/>
          <w:szCs w:val="18"/>
          <w:color w:val="auto"/>
        </w:rPr>
      </w:pPr>
    </w:p>
    <w:p>
      <w:pPr>
        <w:ind w:left="-8" w:right="240" w:firstLine="921"/>
        <w:spacing w:after="0" w:line="277" w:lineRule="auto"/>
        <w:tabs>
          <w:tab w:leader="none" w:pos="1295"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 Subsidiary that is organized under the laws of a jurisdiction outside of the United States of America, other than a Subsidiary referenced pursuant to Section 2(p)(1)(iii); or</w:t>
      </w:r>
    </w:p>
    <w:p>
      <w:pPr>
        <w:spacing w:after="0" w:line="170" w:lineRule="exact"/>
        <w:rPr>
          <w:rFonts w:ascii="Arial" w:cs="Arial" w:eastAsia="Arial" w:hAnsi="Arial"/>
          <w:sz w:val="18"/>
          <w:szCs w:val="18"/>
          <w:color w:val="auto"/>
        </w:rPr>
      </w:pPr>
    </w:p>
    <w:p>
      <w:pPr>
        <w:ind w:left="-8" w:right="380" w:firstLine="921"/>
        <w:spacing w:after="0" w:line="277" w:lineRule="auto"/>
        <w:tabs>
          <w:tab w:leader="none" w:pos="1295" w:val="left"/>
        </w:tabs>
        <w:numPr>
          <w:ilvl w:val="2"/>
          <w:numId w:val="273"/>
        </w:numPr>
        <w:rPr>
          <w:rFonts w:ascii="Arial" w:cs="Arial" w:eastAsia="Arial" w:hAnsi="Arial"/>
          <w:sz w:val="18"/>
          <w:szCs w:val="18"/>
          <w:color w:val="auto"/>
        </w:rPr>
      </w:pPr>
      <w:r>
        <w:rPr>
          <w:rFonts w:ascii="Arial" w:cs="Arial" w:eastAsia="Arial" w:hAnsi="Arial"/>
          <w:sz w:val="18"/>
          <w:szCs w:val="18"/>
          <w:color w:val="auto"/>
        </w:rPr>
        <w:t>except as otherwise provided by the Committee, a Subsidiary that is a “Participating Company” as defined in the Comcast Corporation 2002 Employee Stock Purchase Plan.</w:t>
      </w:r>
    </w:p>
    <w:p>
      <w:pPr>
        <w:spacing w:after="0" w:line="170" w:lineRule="exact"/>
        <w:rPr>
          <w:rFonts w:ascii="Arial" w:cs="Arial" w:eastAsia="Arial" w:hAnsi="Arial"/>
          <w:sz w:val="18"/>
          <w:szCs w:val="18"/>
          <w:color w:val="auto"/>
        </w:rPr>
      </w:pPr>
    </w:p>
    <w:p>
      <w:pPr>
        <w:ind w:left="-8" w:right="240" w:firstLine="464"/>
        <w:spacing w:after="0" w:line="277" w:lineRule="auto"/>
        <w:tabs>
          <w:tab w:leader="none" w:pos="838" w:val="left"/>
        </w:tabs>
        <w:numPr>
          <w:ilvl w:val="1"/>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who is employed by a Participating Company and designated on the books and records of such Participating Company as an employee, provided that the term “Employee” shall not include:</w:t>
      </w:r>
    </w:p>
    <w:p>
      <w:pPr>
        <w:spacing w:after="0" w:line="170" w:lineRule="exact"/>
        <w:rPr>
          <w:rFonts w:ascii="Arial" w:cs="Arial" w:eastAsia="Arial" w:hAnsi="Arial"/>
          <w:sz w:val="18"/>
          <w:szCs w:val="18"/>
          <w:color w:val="auto"/>
        </w:rPr>
      </w:pPr>
    </w:p>
    <w:p>
      <w:pPr>
        <w:ind w:left="1312" w:hanging="399"/>
        <w:spacing w:after="0"/>
        <w:tabs>
          <w:tab w:leader="none" w:pos="1312" w:val="left"/>
        </w:tabs>
        <w:numPr>
          <w:ilvl w:val="2"/>
          <w:numId w:val="273"/>
        </w:numPr>
        <w:rPr>
          <w:rFonts w:ascii="Arial" w:cs="Arial" w:eastAsia="Arial" w:hAnsi="Arial"/>
          <w:sz w:val="17"/>
          <w:szCs w:val="17"/>
          <w:color w:val="auto"/>
        </w:rPr>
      </w:pPr>
      <w:r>
        <w:rPr>
          <w:rFonts w:ascii="Arial" w:cs="Arial" w:eastAsia="Arial" w:hAnsi="Arial"/>
          <w:sz w:val="17"/>
          <w:szCs w:val="17"/>
          <w:color w:val="auto"/>
        </w:rPr>
        <w:t>an individual covered by a collective bargaining agreement, unless such agreement specifically provides for participation hereunder;</w:t>
      </w:r>
    </w:p>
    <w:p>
      <w:pPr>
        <w:spacing w:after="0" w:line="236" w:lineRule="exact"/>
        <w:rPr>
          <w:rFonts w:ascii="Arial" w:cs="Arial" w:eastAsia="Arial" w:hAnsi="Arial"/>
          <w:sz w:val="17"/>
          <w:szCs w:val="17"/>
          <w:color w:val="auto"/>
        </w:rPr>
      </w:pPr>
    </w:p>
    <w:p>
      <w:pPr>
        <w:ind w:left="-8" w:right="400" w:firstLine="921"/>
        <w:spacing w:after="0" w:line="342" w:lineRule="auto"/>
        <w:tabs>
          <w:tab w:leader="none" w:pos="1295" w:val="left"/>
        </w:tabs>
        <w:numPr>
          <w:ilvl w:val="2"/>
          <w:numId w:val="273"/>
        </w:numPr>
        <w:rPr>
          <w:rFonts w:ascii="Arial" w:cs="Arial" w:eastAsia="Arial" w:hAnsi="Arial"/>
          <w:sz w:val="16"/>
          <w:szCs w:val="16"/>
          <w:color w:val="auto"/>
        </w:rPr>
      </w:pPr>
      <w:r>
        <w:rPr>
          <w:rFonts w:ascii="Arial" w:cs="Arial" w:eastAsia="Arial" w:hAnsi="Arial"/>
          <w:sz w:val="16"/>
          <w:szCs w:val="16"/>
          <w:color w:val="auto"/>
        </w:rPr>
        <w:t>except as otherwise provided by Paragraph 2(p)(1)(iii), an individual who is not on a United States employee payroll of a Participating Company or an individual with respect to whom the Participating Company does not report such individual’s compensation as wages on Form W-2;</w:t>
      </w:r>
    </w:p>
    <w:p>
      <w:pPr>
        <w:spacing w:after="0" w:line="123" w:lineRule="exact"/>
        <w:rPr>
          <w:rFonts w:ascii="Arial" w:cs="Arial" w:eastAsia="Arial" w:hAnsi="Arial"/>
          <w:sz w:val="16"/>
          <w:szCs w:val="16"/>
          <w:color w:val="auto"/>
        </w:rPr>
      </w:pPr>
    </w:p>
    <w:p>
      <w:pPr>
        <w:ind w:left="-8" w:right="140" w:firstLine="921"/>
        <w:spacing w:after="0" w:line="264" w:lineRule="auto"/>
        <w:tabs>
          <w:tab w:leader="none" w:pos="1295"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340" w:name="page341"/>
    <w:bookmarkEnd w:id="340"/>
    <w:p>
      <w:pPr>
        <w:ind w:firstLine="921"/>
        <w:spacing w:after="0" w:line="277" w:lineRule="auto"/>
        <w:tabs>
          <w:tab w:leader="none" w:pos="1303" w:val="left"/>
        </w:tabs>
        <w:numPr>
          <w:ilvl w:val="1"/>
          <w:numId w:val="2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individual who is not classified by the Participating Company as an employee, even if such individual is retroactively re-characterized as an employee by a third party or a Participating Company.</w:t>
      </w:r>
    </w:p>
    <w:p>
      <w:pPr>
        <w:spacing w:after="0" w:line="170" w:lineRule="exact"/>
        <w:rPr>
          <w:rFonts w:ascii="Arial" w:cs="Arial" w:eastAsia="Arial" w:hAnsi="Arial"/>
          <w:sz w:val="18"/>
          <w:szCs w:val="18"/>
          <w:color w:val="auto"/>
        </w:rPr>
      </w:pPr>
    </w:p>
    <w:p>
      <w:pPr>
        <w:ind w:right="80" w:firstLine="464"/>
        <w:spacing w:after="0" w:line="259" w:lineRule="auto"/>
        <w:tabs>
          <w:tab w:leader="none" w:pos="8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86" w:lineRule="exact"/>
        <w:rPr>
          <w:rFonts w:ascii="Arial" w:cs="Arial" w:eastAsia="Arial" w:hAnsi="Arial"/>
          <w:sz w:val="18"/>
          <w:szCs w:val="18"/>
          <w:color w:val="auto"/>
        </w:rPr>
      </w:pPr>
    </w:p>
    <w:p>
      <w:pPr>
        <w:ind w:left="860" w:hanging="396"/>
        <w:spacing w:after="0"/>
        <w:tabs>
          <w:tab w:leader="none" w:pos="8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For an Employee of any Participating Employer other than Universal Orlando, an Employee who, as of an Offering Commencement Date:</w:t>
      </w:r>
    </w:p>
    <w:p>
      <w:pPr>
        <w:spacing w:after="0" w:line="248" w:lineRule="exact"/>
        <w:rPr>
          <w:rFonts w:ascii="Arial" w:cs="Arial" w:eastAsia="Arial" w:hAnsi="Arial"/>
          <w:sz w:val="16"/>
          <w:szCs w:val="16"/>
          <w:color w:val="auto"/>
        </w:rPr>
      </w:pPr>
    </w:p>
    <w:p>
      <w:pPr>
        <w:ind w:left="1760" w:hanging="268"/>
        <w:spacing w:after="0"/>
        <w:tabs>
          <w:tab w:leader="none" w:pos="176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225" w:lineRule="exact"/>
        <w:rPr>
          <w:rFonts w:ascii="Arial" w:cs="Arial" w:eastAsia="Arial" w:hAnsi="Arial"/>
          <w:sz w:val="18"/>
          <w:szCs w:val="18"/>
          <w:color w:val="auto"/>
        </w:rPr>
      </w:pPr>
    </w:p>
    <w:p>
      <w:pPr>
        <w:ind w:left="1820" w:hanging="328"/>
        <w:spacing w:after="0"/>
        <w:tabs>
          <w:tab w:leader="none" w:pos="182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w:t>
      </w:r>
    </w:p>
    <w:p>
      <w:pPr>
        <w:spacing w:after="0" w:line="225" w:lineRule="exact"/>
        <w:rPr>
          <w:rFonts w:ascii="Arial" w:cs="Arial" w:eastAsia="Arial" w:hAnsi="Arial"/>
          <w:sz w:val="18"/>
          <w:szCs w:val="18"/>
          <w:color w:val="auto"/>
        </w:rPr>
      </w:pPr>
    </w:p>
    <w:p>
      <w:pPr>
        <w:ind w:right="100" w:firstLine="1492"/>
        <w:spacing w:after="0" w:line="277" w:lineRule="auto"/>
        <w:tabs>
          <w:tab w:leader="none" w:pos="1859" w:val="left"/>
        </w:tabs>
        <w:numPr>
          <w:ilvl w:val="2"/>
          <w:numId w:val="275"/>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70" w:lineRule="exact"/>
        <w:rPr>
          <w:rFonts w:ascii="Arial" w:cs="Arial" w:eastAsia="Arial" w:hAnsi="Arial"/>
          <w:sz w:val="18"/>
          <w:szCs w:val="18"/>
          <w:color w:val="auto"/>
        </w:rPr>
      </w:pPr>
    </w:p>
    <w:p>
      <w:pPr>
        <w:ind w:right="740" w:firstLine="1492"/>
        <w:spacing w:after="0" w:line="277" w:lineRule="auto"/>
        <w:tabs>
          <w:tab w:leader="none" w:pos="1837" w:val="left"/>
        </w:tabs>
        <w:numPr>
          <w:ilvl w:val="2"/>
          <w:numId w:val="275"/>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or “intermittent,” all in accordance with uniformly applied personnel policies.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purposes of this Paragraph 2(p)(1),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124" w:lineRule="exact"/>
        <w:rPr>
          <w:sz w:val="20"/>
          <w:szCs w:val="20"/>
          <w:color w:val="auto"/>
        </w:rPr>
      </w:pPr>
    </w:p>
    <w:p>
      <w:pPr>
        <w:ind w:left="1320" w:hanging="399"/>
        <w:spacing w:after="0"/>
        <w:tabs>
          <w:tab w:leader="none" w:pos="13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For an Employee of Universal Orlando, an employee who, as of an Offering Commencement Date: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225" w:lineRule="exact"/>
        <w:rPr>
          <w:rFonts w:ascii="Arial" w:cs="Arial" w:eastAsia="Arial" w:hAnsi="Arial"/>
          <w:sz w:val="18"/>
          <w:szCs w:val="18"/>
          <w:color w:val="auto"/>
        </w:rPr>
      </w:pPr>
    </w:p>
    <w:p>
      <w:pPr>
        <w:ind w:left="1820" w:hanging="328"/>
        <w:spacing w:after="0"/>
        <w:tabs>
          <w:tab w:leader="none" w:pos="182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w:t>
      </w:r>
    </w:p>
    <w:p>
      <w:pPr>
        <w:spacing w:after="0" w:line="225" w:lineRule="exact"/>
        <w:rPr>
          <w:rFonts w:ascii="Arial" w:cs="Arial" w:eastAsia="Arial" w:hAnsi="Arial"/>
          <w:sz w:val="18"/>
          <w:szCs w:val="18"/>
          <w:color w:val="auto"/>
        </w:rPr>
      </w:pPr>
    </w:p>
    <w:p>
      <w:pPr>
        <w:ind w:right="100" w:firstLine="1492"/>
        <w:spacing w:after="0" w:line="277" w:lineRule="auto"/>
        <w:tabs>
          <w:tab w:leader="none" w:pos="1859"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41" w:name="page342"/>
    <w:bookmarkEnd w:id="341"/>
    <w:p>
      <w:pPr>
        <w:ind w:right="640" w:firstLine="1492"/>
        <w:spacing w:after="0" w:line="277" w:lineRule="auto"/>
        <w:tabs>
          <w:tab w:leader="none" w:pos="1837"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an individual whose employment is classified by the Participating Company to which such individual is employed as an internship, or as “temporary,” “intermittent” or “seasonal,” all in accordance with uniformly applied personnel policies.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 purposes of this Paragraph 2(p)(2), an Employee is employed on a part-time basis if Universal Orlando has classified the Employee as a “Casual Employee.” For purposes of this Paragraph 2(p)(2) an Employee is employed on a full-time basis if Universal Orlando has classified the Employee as a Regular Employee.</w:t>
      </w:r>
    </w:p>
    <w:p>
      <w:pPr>
        <w:spacing w:after="0" w:line="181" w:lineRule="exact"/>
        <w:rPr>
          <w:sz w:val="20"/>
          <w:szCs w:val="20"/>
          <w:color w:val="auto"/>
        </w:rPr>
      </w:pPr>
    </w:p>
    <w:p>
      <w:pPr>
        <w:ind w:left="860" w:hanging="396"/>
        <w:spacing w:after="0"/>
        <w:tabs>
          <w:tab w:leader="none" w:pos="8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 Delaware limited liability company.</w:t>
      </w:r>
    </w:p>
    <w:p>
      <w:pPr>
        <w:spacing w:after="0" w:line="225" w:lineRule="exact"/>
        <w:rPr>
          <w:rFonts w:ascii="Arial" w:cs="Arial" w:eastAsia="Arial" w:hAnsi="Arial"/>
          <w:sz w:val="18"/>
          <w:szCs w:val="18"/>
          <w:color w:val="auto"/>
        </w:rPr>
      </w:pPr>
    </w:p>
    <w:p>
      <w:pPr>
        <w:ind w:left="820" w:hanging="356"/>
        <w:spacing w:after="0"/>
        <w:tabs>
          <w:tab w:leader="none" w:pos="8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225" w:lineRule="exact"/>
        <w:rPr>
          <w:rFonts w:ascii="Arial" w:cs="Arial" w:eastAsia="Arial" w:hAnsi="Arial"/>
          <w:sz w:val="18"/>
          <w:szCs w:val="18"/>
          <w:color w:val="auto"/>
        </w:rPr>
      </w:pPr>
    </w:p>
    <w:p>
      <w:pPr>
        <w:ind w:right="20" w:firstLine="464"/>
        <w:spacing w:after="0" w:line="277" w:lineRule="auto"/>
        <w:tabs>
          <w:tab w:leader="none" w:pos="82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July 1, 2011 until the Plan Termination Date.</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Period</w:t>
      </w:r>
      <w:r>
        <w:rPr>
          <w:rFonts w:ascii="Arial" w:cs="Arial" w:eastAsia="Arial" w:hAnsi="Arial"/>
          <w:sz w:val="17"/>
          <w:szCs w:val="17"/>
          <w:color w:val="auto"/>
        </w:rPr>
        <w:t>” means the period extending from an Offering Commencement Date through the following Offering Termination Date.</w:t>
      </w:r>
    </w:p>
    <w:p>
      <w:pPr>
        <w:spacing w:after="0" w:line="236" w:lineRule="exact"/>
        <w:rPr>
          <w:rFonts w:ascii="Arial" w:cs="Arial" w:eastAsia="Arial" w:hAnsi="Arial"/>
          <w:sz w:val="17"/>
          <w:szCs w:val="17"/>
          <w:color w:val="auto"/>
        </w:rPr>
      </w:pPr>
    </w:p>
    <w:p>
      <w:pPr>
        <w:ind w:right="40" w:firstLine="464"/>
        <w:spacing w:after="0" w:line="277" w:lineRule="auto"/>
        <w:tabs>
          <w:tab w:leader="none" w:pos="8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70" w:lineRule="exact"/>
        <w:rPr>
          <w:rFonts w:ascii="Arial" w:cs="Arial" w:eastAsia="Arial" w:hAnsi="Arial"/>
          <w:sz w:val="18"/>
          <w:szCs w:val="18"/>
          <w:color w:val="auto"/>
        </w:rPr>
      </w:pPr>
    </w:p>
    <w:p>
      <w:pPr>
        <w:ind w:right="680" w:firstLine="464"/>
        <w:spacing w:after="0" w:line="277" w:lineRule="auto"/>
        <w:tabs>
          <w:tab w:leader="none" w:pos="8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70" w:lineRule="exact"/>
        <w:rPr>
          <w:rFonts w:ascii="Arial" w:cs="Arial" w:eastAsia="Arial" w:hAnsi="Arial"/>
          <w:sz w:val="18"/>
          <w:szCs w:val="18"/>
          <w:color w:val="auto"/>
        </w:rPr>
      </w:pPr>
    </w:p>
    <w:p>
      <w:pPr>
        <w:jc w:val="both"/>
        <w:ind w:right="60" w:firstLine="464"/>
        <w:spacing w:after="0" w:line="312" w:lineRule="auto"/>
        <w:tabs>
          <w:tab w:leader="none" w:pos="88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2(w) to an officer of the Company or committee of two or more officers of the Company.</w:t>
      </w:r>
    </w:p>
    <w:p>
      <w:pPr>
        <w:spacing w:after="0" w:line="146" w:lineRule="exact"/>
        <w:rPr>
          <w:rFonts w:ascii="Arial" w:cs="Arial" w:eastAsia="Arial" w:hAnsi="Arial"/>
          <w:sz w:val="16"/>
          <w:szCs w:val="16"/>
          <w:color w:val="auto"/>
        </w:rPr>
      </w:pPr>
    </w:p>
    <w:p>
      <w:pPr>
        <w:ind w:left="860" w:hanging="396"/>
        <w:spacing w:after="0"/>
        <w:tabs>
          <w:tab w:leader="none" w:pos="8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Payroll Deductions</w:t>
      </w:r>
      <w:r>
        <w:rPr>
          <w:rFonts w:ascii="Arial" w:cs="Arial" w:eastAsia="Arial" w:hAnsi="Arial"/>
          <w:sz w:val="17"/>
          <w:szCs w:val="17"/>
          <w:color w:val="auto"/>
        </w:rPr>
        <w:t>” means amounts withheld from a Participant’s Compensation pursuant to the Plan, as described in Paragraph 5.</w:t>
      </w:r>
    </w:p>
    <w:p>
      <w:pPr>
        <w:spacing w:after="0" w:line="236" w:lineRule="exact"/>
        <w:rPr>
          <w:rFonts w:ascii="Arial" w:cs="Arial" w:eastAsia="Arial" w:hAnsi="Arial"/>
          <w:sz w:val="17"/>
          <w:szCs w:val="17"/>
          <w:color w:val="auto"/>
        </w:rPr>
      </w:pPr>
    </w:p>
    <w:p>
      <w:pPr>
        <w:ind w:left="860" w:hanging="396"/>
        <w:spacing w:after="0"/>
        <w:tabs>
          <w:tab w:leader="none" w:pos="8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Comcast-NBCUniversal 2011 Employee Stock Purchase Plan, as set forth in this document, and as may be amended from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211" w:lineRule="exact"/>
        <w:rPr>
          <w:sz w:val="20"/>
          <w:szCs w:val="20"/>
          <w:color w:val="auto"/>
        </w:rPr>
      </w:pPr>
    </w:p>
    <w:p>
      <w:pPr>
        <w:ind w:left="920" w:hanging="456"/>
        <w:spacing w:after="0"/>
        <w:tabs>
          <w:tab w:leader="none" w:pos="9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earliest of:</w:t>
      </w:r>
    </w:p>
    <w:p>
      <w:pPr>
        <w:spacing w:after="0" w:line="225" w:lineRule="exact"/>
        <w:rPr>
          <w:rFonts w:ascii="Arial" w:cs="Arial" w:eastAsia="Arial" w:hAnsi="Arial"/>
          <w:sz w:val="18"/>
          <w:szCs w:val="18"/>
          <w:color w:val="auto"/>
        </w:rPr>
      </w:pPr>
    </w:p>
    <w:p>
      <w:pPr>
        <w:ind w:right="520" w:firstLine="921"/>
        <w:spacing w:after="0" w:line="277" w:lineRule="auto"/>
        <w:tabs>
          <w:tab w:leader="none" w:pos="1303"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342" w:name="page343"/>
    <w:bookmarkEnd w:id="342"/>
    <w:p>
      <w:pPr>
        <w:ind w:left="1352" w:hanging="439"/>
        <w:spacing w:after="0"/>
        <w:tabs>
          <w:tab w:leader="none" w:pos="1352" w:val="left"/>
        </w:tabs>
        <w:numPr>
          <w:ilvl w:val="2"/>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as of which the Board or the Committee chooses to terminate the Plan as provided in Paragraph 14.</w:t>
      </w:r>
    </w:p>
    <w:p>
      <w:pPr>
        <w:spacing w:after="0" w:line="225" w:lineRule="exact"/>
        <w:rPr>
          <w:rFonts w:ascii="Arial" w:cs="Arial" w:eastAsia="Arial" w:hAnsi="Arial"/>
          <w:sz w:val="18"/>
          <w:szCs w:val="18"/>
          <w:color w:val="auto"/>
        </w:rPr>
      </w:pPr>
    </w:p>
    <w:p>
      <w:pPr>
        <w:ind w:left="-8" w:right="120" w:firstLine="464"/>
        <w:spacing w:after="0" w:line="264" w:lineRule="auto"/>
        <w:tabs>
          <w:tab w:leader="none" w:pos="92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81" w:lineRule="exact"/>
        <w:rPr>
          <w:rFonts w:ascii="Arial" w:cs="Arial" w:eastAsia="Arial" w:hAnsi="Arial"/>
          <w:sz w:val="18"/>
          <w:szCs w:val="18"/>
          <w:color w:val="auto"/>
        </w:rPr>
      </w:pPr>
    </w:p>
    <w:p>
      <w:pPr>
        <w:ind w:left="912" w:hanging="456"/>
        <w:spacing w:after="0"/>
        <w:tabs>
          <w:tab w:leader="none" w:pos="91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225" w:lineRule="exact"/>
        <w:rPr>
          <w:rFonts w:ascii="Arial" w:cs="Arial" w:eastAsia="Arial" w:hAnsi="Arial"/>
          <w:sz w:val="18"/>
          <w:szCs w:val="18"/>
          <w:color w:val="auto"/>
        </w:rPr>
      </w:pPr>
    </w:p>
    <w:p>
      <w:pPr>
        <w:ind w:left="932" w:hanging="476"/>
        <w:spacing w:after="0"/>
        <w:tabs>
          <w:tab w:leader="none" w:pos="93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NBCUniversal that is controlled by NBCUniversal.</w:t>
      </w:r>
    </w:p>
    <w:p>
      <w:pPr>
        <w:spacing w:after="0" w:line="225" w:lineRule="exact"/>
        <w:rPr>
          <w:rFonts w:ascii="Arial" w:cs="Arial" w:eastAsia="Arial" w:hAnsi="Arial"/>
          <w:sz w:val="18"/>
          <w:szCs w:val="18"/>
          <w:color w:val="auto"/>
        </w:rPr>
      </w:pPr>
    </w:p>
    <w:p>
      <w:pPr>
        <w:ind w:left="-8" w:right="180" w:firstLine="464"/>
        <w:spacing w:after="0" w:line="277" w:lineRule="auto"/>
        <w:tabs>
          <w:tab w:leader="none" w:pos="95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which the Participant’s rights under the Plan shall have passed by will or the laws of descent and distribution.</w:t>
      </w:r>
    </w:p>
    <w:p>
      <w:pPr>
        <w:spacing w:after="0" w:line="170" w:lineRule="exact"/>
        <w:rPr>
          <w:rFonts w:ascii="Arial" w:cs="Arial" w:eastAsia="Arial" w:hAnsi="Arial"/>
          <w:sz w:val="18"/>
          <w:szCs w:val="18"/>
          <w:color w:val="auto"/>
        </w:rPr>
      </w:pPr>
    </w:p>
    <w:p>
      <w:pPr>
        <w:ind w:left="872" w:hanging="416"/>
        <w:spacing w:after="0"/>
        <w:tabs>
          <w:tab w:leader="none" w:pos="87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25" w:lineRule="exact"/>
        <w:rPr>
          <w:rFonts w:ascii="Arial" w:cs="Arial" w:eastAsia="Arial" w:hAnsi="Arial"/>
          <w:sz w:val="18"/>
          <w:szCs w:val="18"/>
          <w:color w:val="auto"/>
        </w:rPr>
      </w:pPr>
    </w:p>
    <w:p>
      <w:pPr>
        <w:ind w:left="1312" w:hanging="399"/>
        <w:spacing w:after="0"/>
        <w:tabs>
          <w:tab w:leader="none" w:pos="1312" w:val="left"/>
        </w:tabs>
        <w:numPr>
          <w:ilvl w:val="2"/>
          <w:numId w:val="281"/>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25" w:lineRule="exact"/>
        <w:rPr>
          <w:rFonts w:ascii="Arial" w:cs="Arial" w:eastAsia="Arial" w:hAnsi="Arial"/>
          <w:sz w:val="18"/>
          <w:szCs w:val="18"/>
          <w:color w:val="auto"/>
        </w:rPr>
      </w:pPr>
    </w:p>
    <w:p>
      <w:pPr>
        <w:ind w:left="1312" w:hanging="399"/>
        <w:spacing w:after="0"/>
        <w:tabs>
          <w:tab w:leader="none" w:pos="1312" w:val="left"/>
        </w:tabs>
        <w:numPr>
          <w:ilvl w:val="2"/>
          <w:numId w:val="28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8" w:right="180" w:firstLine="464"/>
        <w:spacing w:after="0" w:line="277" w:lineRule="auto"/>
        <w:tabs>
          <w:tab w:leader="none" w:pos="92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0" w:lineRule="exact"/>
        <w:rPr>
          <w:rFonts w:ascii="Arial" w:cs="Arial" w:eastAsia="Arial" w:hAnsi="Arial"/>
          <w:sz w:val="18"/>
          <w:szCs w:val="18"/>
          <w:color w:val="auto"/>
        </w:rPr>
      </w:pPr>
    </w:p>
    <w:p>
      <w:pPr>
        <w:ind w:left="-8" w:right="60" w:firstLine="464"/>
        <w:spacing w:after="0" w:line="277" w:lineRule="auto"/>
        <w:tabs>
          <w:tab w:leader="none" w:pos="92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70" w:lineRule="exact"/>
        <w:rPr>
          <w:rFonts w:ascii="Arial" w:cs="Arial" w:eastAsia="Arial" w:hAnsi="Arial"/>
          <w:sz w:val="18"/>
          <w:szCs w:val="18"/>
          <w:color w:val="auto"/>
        </w:rPr>
      </w:pPr>
    </w:p>
    <w:p>
      <w:pPr>
        <w:ind w:left="852" w:hanging="396"/>
        <w:spacing w:after="0"/>
        <w:tabs>
          <w:tab w:leader="none" w:pos="85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Universal Orlando</w:t>
      </w:r>
      <w:r>
        <w:rPr>
          <w:rFonts w:ascii="Arial" w:cs="Arial" w:eastAsia="Arial" w:hAnsi="Arial"/>
          <w:sz w:val="18"/>
          <w:szCs w:val="18"/>
          <w:color w:val="auto"/>
        </w:rPr>
        <w:t>” means Universal City Development Partners, Ltd. and its subsidiaries.</w:t>
      </w:r>
    </w:p>
    <w:p>
      <w:pPr>
        <w:spacing w:after="0" w:line="221" w:lineRule="exact"/>
        <w:rPr>
          <w:rFonts w:ascii="Arial" w:cs="Arial" w:eastAsia="Arial" w:hAnsi="Arial"/>
          <w:sz w:val="18"/>
          <w:szCs w:val="18"/>
          <w:color w:val="auto"/>
        </w:rPr>
      </w:pPr>
    </w:p>
    <w:p>
      <w:pPr>
        <w:ind w:left="312" w:hanging="312"/>
        <w:spacing w:after="0"/>
        <w:tabs>
          <w:tab w:leader="none" w:pos="312"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32" w:hanging="376"/>
        <w:spacing w:after="0"/>
        <w:tabs>
          <w:tab w:leader="none" w:pos="832"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Employee shall be eligible to participate in the Plan.</w:t>
      </w:r>
    </w:p>
    <w:p>
      <w:pPr>
        <w:spacing w:after="0" w:line="225" w:lineRule="exact"/>
        <w:rPr>
          <w:rFonts w:ascii="Arial" w:cs="Arial" w:eastAsia="Arial" w:hAnsi="Arial"/>
          <w:sz w:val="18"/>
          <w:szCs w:val="18"/>
          <w:color w:val="auto"/>
        </w:rPr>
      </w:pPr>
    </w:p>
    <w:p>
      <w:pPr>
        <w:ind w:left="-8" w:firstLine="464"/>
        <w:spacing w:after="0" w:line="257" w:lineRule="auto"/>
        <w:tabs>
          <w:tab w:leader="none" w:pos="838"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3" w:right="259" w:bottom="1440" w:gutter="0" w:footer="0" w:header="0"/>
        </w:sectPr>
      </w:pPr>
    </w:p>
    <w:bookmarkStart w:id="343" w:name="page344"/>
    <w:bookmarkEnd w:id="343"/>
    <w:p>
      <w:pPr>
        <w:ind w:left="320" w:hanging="312"/>
        <w:spacing w:after="0"/>
        <w:tabs>
          <w:tab w:leader="none" w:pos="3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63" w:lineRule="exact"/>
        <w:rPr>
          <w:sz w:val="20"/>
          <w:szCs w:val="20"/>
          <w:color w:val="auto"/>
        </w:rPr>
      </w:pPr>
    </w:p>
    <w:p>
      <w:pPr>
        <w:ind w:left="320" w:hanging="312"/>
        <w:spacing w:after="0"/>
        <w:tabs>
          <w:tab w:leader="none" w:pos="32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464"/>
        <w:spacing w:after="0" w:line="297" w:lineRule="auto"/>
        <w:tabs>
          <w:tab w:leader="none" w:pos="836"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$12,500, or, with respect to Participants whose compensation is denominated in currency other than United States dollars, if any, the equivalent amount as denominated in such local currency, as determined by the Committee.</w:t>
      </w:r>
    </w:p>
    <w:p>
      <w:pPr>
        <w:spacing w:after="0" w:line="158" w:lineRule="exact"/>
        <w:rPr>
          <w:rFonts w:ascii="Arial" w:cs="Arial" w:eastAsia="Arial" w:hAnsi="Arial"/>
          <w:sz w:val="16"/>
          <w:szCs w:val="16"/>
          <w:color w:val="auto"/>
        </w:rPr>
      </w:pPr>
    </w:p>
    <w:p>
      <w:pPr>
        <w:ind w:right="480" w:firstLine="464"/>
        <w:spacing w:after="0" w:line="277" w:lineRule="auto"/>
        <w:tabs>
          <w:tab w:leader="none" w:pos="846"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70" w:lineRule="exact"/>
        <w:rPr>
          <w:rFonts w:ascii="Arial" w:cs="Arial" w:eastAsia="Arial" w:hAnsi="Arial"/>
          <w:sz w:val="18"/>
          <w:szCs w:val="18"/>
          <w:color w:val="auto"/>
        </w:rPr>
      </w:pPr>
    </w:p>
    <w:p>
      <w:pPr>
        <w:jc w:val="both"/>
        <w:ind w:right="40" w:firstLine="464"/>
        <w:spacing w:after="0" w:line="297" w:lineRule="auto"/>
        <w:tabs>
          <w:tab w:leader="none" w:pos="836"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54" w:lineRule="exact"/>
        <w:rPr>
          <w:rFonts w:ascii="Arial" w:cs="Arial" w:eastAsia="Arial" w:hAnsi="Arial"/>
          <w:sz w:val="16"/>
          <w:szCs w:val="16"/>
          <w:color w:val="auto"/>
        </w:rPr>
      </w:pPr>
    </w:p>
    <w:p>
      <w:pPr>
        <w:ind w:left="320" w:hanging="312"/>
        <w:spacing w:after="0"/>
        <w:tabs>
          <w:tab w:leader="none" w:pos="32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69" w:right="299" w:bottom="1440" w:gutter="0" w:footer="0" w:header="0"/>
        </w:sectPr>
      </w:pPr>
    </w:p>
    <w:bookmarkStart w:id="344" w:name="page345"/>
    <w:bookmarkEnd w:id="344"/>
    <w:p>
      <w:pPr>
        <w:ind w:firstLine="464"/>
        <w:spacing w:after="0" w:line="259" w:lineRule="auto"/>
        <w:tabs>
          <w:tab w:leader="none" w:pos="836"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(net of Shares withheld under Paragraph 11) shall be credited to the Participant’s Brokerage Account as soon as practicable following the Offering Termination Date.</w:t>
      </w:r>
    </w:p>
    <w:p>
      <w:pPr>
        <w:spacing w:after="0" w:line="186" w:lineRule="exact"/>
        <w:rPr>
          <w:rFonts w:ascii="Arial" w:cs="Arial" w:eastAsia="Arial" w:hAnsi="Arial"/>
          <w:sz w:val="18"/>
          <w:szCs w:val="18"/>
          <w:color w:val="auto"/>
        </w:rPr>
      </w:pPr>
    </w:p>
    <w:p>
      <w:pPr>
        <w:ind w:right="20" w:firstLine="464"/>
        <w:spacing w:after="0" w:line="312" w:lineRule="auto"/>
        <w:tabs>
          <w:tab w:leader="none" w:pos="846"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46" w:lineRule="exact"/>
        <w:rPr>
          <w:rFonts w:ascii="Arial" w:cs="Arial" w:eastAsia="Arial" w:hAnsi="Arial"/>
          <w:sz w:val="16"/>
          <w:szCs w:val="16"/>
          <w:color w:val="auto"/>
        </w:rPr>
      </w:pPr>
    </w:p>
    <w:p>
      <w:pPr>
        <w:ind w:right="140" w:firstLine="464"/>
        <w:spacing w:after="0" w:line="259" w:lineRule="auto"/>
        <w:tabs>
          <w:tab w:leader="none" w:pos="836"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Fractional Shares and Minimum Number of Shares</w:t>
      </w:r>
      <w:r>
        <w:rPr>
          <w:rFonts w:ascii="Arial" w:cs="Arial" w:eastAsia="Arial" w:hAnsi="Arial"/>
          <w:sz w:val="18"/>
          <w:szCs w:val="18"/>
          <w:color w:val="auto"/>
        </w:rPr>
        <w:t>. Fractional Shares shall not be issued under the Plan. Amounts credited to an Account remaining after the application of such Account to the purchase of Shares under the Plan shall, to the extent not applied to pay withholding taxes under Paragraph 11, be credited to the Participant’s Account for the next succeeding Offering, or, at the Participant’s election, returned to the Participant as soon as practicable following the Offering Termination Date, without interest.</w:t>
      </w:r>
    </w:p>
    <w:p>
      <w:pPr>
        <w:spacing w:after="0" w:line="186" w:lineRule="exact"/>
        <w:rPr>
          <w:rFonts w:ascii="Arial" w:cs="Arial" w:eastAsia="Arial" w:hAnsi="Arial"/>
          <w:sz w:val="18"/>
          <w:szCs w:val="18"/>
          <w:color w:val="auto"/>
        </w:rPr>
      </w:pPr>
    </w:p>
    <w:p>
      <w:pPr>
        <w:ind w:right="140" w:firstLine="464"/>
        <w:spacing w:after="0" w:line="264" w:lineRule="auto"/>
        <w:tabs>
          <w:tab w:leader="none" w:pos="846"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7" w:lineRule="exact"/>
        <w:rPr>
          <w:rFonts w:ascii="Arial" w:cs="Arial" w:eastAsia="Arial" w:hAnsi="Arial"/>
          <w:sz w:val="18"/>
          <w:szCs w:val="18"/>
          <w:color w:val="auto"/>
        </w:rPr>
      </w:pPr>
    </w:p>
    <w:p>
      <w:pPr>
        <w:ind w:left="320" w:hanging="312"/>
        <w:spacing w:after="0"/>
        <w:tabs>
          <w:tab w:leader="none" w:pos="32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840" w:hanging="376"/>
        <w:spacing w:after="0"/>
        <w:tabs>
          <w:tab w:leader="none" w:pos="840"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Account</w:t>
      </w:r>
      <w:r>
        <w:rPr>
          <w:rFonts w:ascii="Arial" w:cs="Arial" w:eastAsia="Arial" w:hAnsi="Arial"/>
          <w:sz w:val="17"/>
          <w:szCs w:val="17"/>
          <w:color w:val="auto"/>
        </w:rPr>
        <w:t>. Except as provided in Paragraph 7(c), no amounts shall be distributed from Participants’ Accounts during an Offering Period.</w:t>
      </w:r>
    </w:p>
    <w:p>
      <w:pPr>
        <w:spacing w:after="0" w:line="236" w:lineRule="exact"/>
        <w:rPr>
          <w:rFonts w:ascii="Arial" w:cs="Arial" w:eastAsia="Arial" w:hAnsi="Arial"/>
          <w:sz w:val="17"/>
          <w:szCs w:val="17"/>
          <w:color w:val="auto"/>
        </w:rPr>
      </w:pPr>
    </w:p>
    <w:p>
      <w:pPr>
        <w:ind w:right="80" w:firstLine="464"/>
        <w:spacing w:after="0" w:line="270" w:lineRule="auto"/>
        <w:tabs>
          <w:tab w:leader="none" w:pos="846"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Suspension of Participation</w:t>
      </w:r>
      <w:r>
        <w:rPr>
          <w:rFonts w:ascii="Arial" w:cs="Arial" w:eastAsia="Arial" w:hAnsi="Arial"/>
          <w:sz w:val="17"/>
          <w:szCs w:val="17"/>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the Comcast Corporation Retirement-Investment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by providing a Termination Form shall be eligible to participate in the Offering next following the date on which the Participant delivers the Termination Form to the Committee. A Participant (other than a Participant whose payroll is administered by Universal Orlando) whose Payroll Deductions are suspended during an Offering Period because of a hardship withdrawal under the rules of the NBCUniversal Capital Accumulation Plan, the Comcast Corporation Retirement-Investment Plan or any other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45" w:name="page346"/>
    <w:bookmarkEnd w:id="34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program or arrangement pursuant to which discontinuance of contributions to the Plan may be required in connection with a Participant’s hardship withdrawal shall automatically resume Payroll Deductions at the rate in effect immediately before the suspension for the next Offering Period that commences after the conclusion of the suspension, unless the Participant elects otherwise.</w:t>
      </w:r>
    </w:p>
    <w:p>
      <w:pPr>
        <w:spacing w:after="0" w:line="181" w:lineRule="exact"/>
        <w:rPr>
          <w:sz w:val="20"/>
          <w:szCs w:val="20"/>
          <w:color w:val="auto"/>
        </w:rPr>
      </w:pPr>
    </w:p>
    <w:p>
      <w:pPr>
        <w:ind w:right="180" w:firstLine="464"/>
        <w:spacing w:after="0" w:line="277" w:lineRule="auto"/>
        <w:tabs>
          <w:tab w:leader="none" w:pos="836" w:val="left"/>
        </w:tabs>
        <w:numPr>
          <w:ilvl w:val="1"/>
          <w:numId w:val="28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66" w:lineRule="exact"/>
        <w:rPr>
          <w:rFonts w:ascii="Arial" w:cs="Arial" w:eastAsia="Arial" w:hAnsi="Arial"/>
          <w:sz w:val="18"/>
          <w:szCs w:val="18"/>
          <w:color w:val="auto"/>
        </w:rPr>
      </w:pPr>
    </w:p>
    <w:p>
      <w:pPr>
        <w:ind w:left="320" w:hanging="312"/>
        <w:spacing w:after="0"/>
        <w:tabs>
          <w:tab w:leader="none" w:pos="32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21" w:lineRule="exact"/>
        <w:rPr>
          <w:sz w:val="20"/>
          <w:szCs w:val="20"/>
          <w:color w:val="auto"/>
        </w:rPr>
      </w:pPr>
    </w:p>
    <w:p>
      <w:pPr>
        <w:ind w:left="320" w:hanging="312"/>
        <w:spacing w:after="0"/>
        <w:tabs>
          <w:tab w:leader="none" w:pos="32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60" w:firstLine="464"/>
        <w:spacing w:after="0" w:line="288" w:lineRule="auto"/>
        <w:tabs>
          <w:tab w:leader="none" w:pos="836"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4,600,000 Shares in the aggregate may be issued pursuant to the Plan pursuant to Offerings under the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69" w:lineRule="exact"/>
        <w:rPr>
          <w:rFonts w:ascii="Arial" w:cs="Arial" w:eastAsia="Arial" w:hAnsi="Arial"/>
          <w:sz w:val="16"/>
          <w:szCs w:val="16"/>
          <w:color w:val="auto"/>
        </w:rPr>
      </w:pPr>
    </w:p>
    <w:p>
      <w:pPr>
        <w:ind w:right="220" w:firstLine="464"/>
        <w:spacing w:after="0" w:line="277" w:lineRule="auto"/>
        <w:tabs>
          <w:tab w:leader="none" w:pos="846"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70" w:lineRule="exact"/>
        <w:rPr>
          <w:rFonts w:ascii="Arial" w:cs="Arial" w:eastAsia="Arial" w:hAnsi="Arial"/>
          <w:sz w:val="18"/>
          <w:szCs w:val="18"/>
          <w:color w:val="auto"/>
        </w:rPr>
      </w:pPr>
    </w:p>
    <w:p>
      <w:pPr>
        <w:ind w:right="260" w:firstLine="464"/>
        <w:spacing w:after="0" w:line="277" w:lineRule="auto"/>
        <w:tabs>
          <w:tab w:leader="none" w:pos="836"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70" w:lineRule="exact"/>
        <w:rPr>
          <w:rFonts w:ascii="Arial" w:cs="Arial" w:eastAsia="Arial" w:hAnsi="Arial"/>
          <w:sz w:val="18"/>
          <w:szCs w:val="18"/>
          <w:color w:val="auto"/>
        </w:rPr>
      </w:pPr>
    </w:p>
    <w:p>
      <w:pPr>
        <w:ind w:right="240" w:firstLine="464"/>
        <w:spacing w:after="0" w:line="308" w:lineRule="auto"/>
        <w:tabs>
          <w:tab w:leader="none" w:pos="846" w:val="left"/>
        </w:tabs>
        <w:numPr>
          <w:ilvl w:val="1"/>
          <w:numId w:val="289"/>
        </w:numPr>
        <w:rPr>
          <w:rFonts w:ascii="Arial" w:cs="Arial" w:eastAsia="Arial" w:hAnsi="Arial"/>
          <w:sz w:val="17"/>
          <w:szCs w:val="17"/>
          <w:color w:val="auto"/>
        </w:rPr>
      </w:pPr>
      <w:r>
        <w:rPr>
          <w:rFonts w:ascii="Arial" w:cs="Arial" w:eastAsia="Arial" w:hAnsi="Arial"/>
          <w:sz w:val="17"/>
          <w:szCs w:val="17"/>
          <w:u w:val="single" w:color="auto"/>
          <w:color w:val="auto"/>
        </w:rPr>
        <w:t>Restrictions on Purchase</w:t>
      </w:r>
      <w:r>
        <w:rPr>
          <w:rFonts w:ascii="Arial" w:cs="Arial" w:eastAsia="Arial" w:hAnsi="Arial"/>
          <w:sz w:val="17"/>
          <w:szCs w:val="17"/>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46" w:name="page347"/>
    <w:bookmarkEnd w:id="346"/>
    <w:p>
      <w:pPr>
        <w:ind w:firstLine="464"/>
        <w:spacing w:after="0" w:line="255" w:lineRule="auto"/>
        <w:tabs>
          <w:tab w:leader="none" w:pos="836"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Sale of Shares</w:t>
      </w:r>
      <w:r>
        <w:rPr>
          <w:rFonts w:ascii="Arial" w:cs="Arial" w:eastAsia="Arial" w:hAnsi="Arial"/>
          <w:sz w:val="18"/>
          <w:szCs w:val="18"/>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189" w:lineRule="exact"/>
        <w:rPr>
          <w:rFonts w:ascii="Arial" w:cs="Arial" w:eastAsia="Arial" w:hAnsi="Arial"/>
          <w:sz w:val="18"/>
          <w:szCs w:val="18"/>
          <w:color w:val="auto"/>
        </w:rPr>
      </w:pPr>
    </w:p>
    <w:p>
      <w:pPr>
        <w:ind w:left="420" w:hanging="412"/>
        <w:spacing w:after="0"/>
        <w:tabs>
          <w:tab w:leader="none" w:pos="42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77" w:lineRule="exact"/>
        <w:rPr>
          <w:sz w:val="20"/>
          <w:szCs w:val="20"/>
          <w:color w:val="auto"/>
        </w:rPr>
      </w:pPr>
    </w:p>
    <w:p>
      <w:pPr>
        <w:ind w:left="400" w:hanging="392"/>
        <w:spacing w:after="0"/>
        <w:tabs>
          <w:tab w:leader="none" w:pos="40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77" w:lineRule="exact"/>
        <w:rPr>
          <w:sz w:val="20"/>
          <w:szCs w:val="20"/>
          <w:color w:val="auto"/>
        </w:rPr>
      </w:pPr>
    </w:p>
    <w:p>
      <w:pPr>
        <w:ind w:left="420" w:hanging="412"/>
        <w:spacing w:after="0"/>
        <w:tabs>
          <w:tab w:leader="none" w:pos="42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21" w:lineRule="exact"/>
        <w:rPr>
          <w:sz w:val="20"/>
          <w:szCs w:val="20"/>
          <w:color w:val="auto"/>
        </w:rPr>
      </w:pPr>
    </w:p>
    <w:p>
      <w:pPr>
        <w:ind w:left="420" w:hanging="412"/>
        <w:spacing w:after="0"/>
        <w:tabs>
          <w:tab w:leader="none" w:pos="42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229"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47" w:name="page348"/>
    <w:bookmarkEnd w:id="347"/>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77" w:lineRule="exact"/>
        <w:rPr>
          <w:sz w:val="20"/>
          <w:szCs w:val="20"/>
          <w:color w:val="auto"/>
        </w:rPr>
      </w:pPr>
    </w:p>
    <w:p>
      <w:pPr>
        <w:ind w:left="420" w:hanging="412"/>
        <w:spacing w:after="0"/>
        <w:tabs>
          <w:tab w:leader="none" w:pos="42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188" w:lineRule="exact"/>
        <w:rPr>
          <w:sz w:val="20"/>
          <w:szCs w:val="20"/>
          <w:color w:val="auto"/>
        </w:rPr>
      </w:pPr>
    </w:p>
    <w:p>
      <w:pPr>
        <w:ind w:left="420" w:hanging="412"/>
        <w:spacing w:after="0"/>
        <w:tabs>
          <w:tab w:leader="none" w:pos="42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was originally adopted on January 29, 2011. The first Offering Period under the Plan commenced on July 1, 2011.</w:t>
      </w:r>
    </w:p>
    <w:p>
      <w:pPr>
        <w:spacing w:after="0" w:line="221" w:lineRule="exact"/>
        <w:rPr>
          <w:sz w:val="20"/>
          <w:szCs w:val="20"/>
          <w:color w:val="auto"/>
        </w:rPr>
      </w:pPr>
    </w:p>
    <w:p>
      <w:pPr>
        <w:ind w:left="420" w:hanging="412"/>
        <w:spacing w:after="0"/>
        <w:tabs>
          <w:tab w:leader="none" w:pos="42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400" w:firstLine="464"/>
        <w:spacing w:after="0" w:line="277" w:lineRule="auto"/>
        <w:tabs>
          <w:tab w:leader="none" w:pos="836"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70" w:lineRule="exact"/>
        <w:rPr>
          <w:rFonts w:ascii="Arial" w:cs="Arial" w:eastAsia="Arial" w:hAnsi="Arial"/>
          <w:sz w:val="18"/>
          <w:szCs w:val="18"/>
          <w:color w:val="auto"/>
        </w:rPr>
      </w:pPr>
    </w:p>
    <w:p>
      <w:pPr>
        <w:ind w:right="100" w:firstLine="464"/>
        <w:spacing w:after="0" w:line="286" w:lineRule="auto"/>
        <w:tabs>
          <w:tab w:leader="none" w:pos="846" w:val="left"/>
        </w:tabs>
        <w:numPr>
          <w:ilvl w:val="1"/>
          <w:numId w:val="297"/>
        </w:numPr>
        <w:rPr>
          <w:rFonts w:ascii="Arial" w:cs="Arial" w:eastAsia="Arial" w:hAnsi="Arial"/>
          <w:sz w:val="17"/>
          <w:szCs w:val="17"/>
          <w:color w:val="auto"/>
        </w:rPr>
      </w:pPr>
      <w:r>
        <w:rPr>
          <w:rFonts w:ascii="Arial" w:cs="Arial" w:eastAsia="Arial" w:hAnsi="Arial"/>
          <w:sz w:val="17"/>
          <w:szCs w:val="17"/>
          <w:u w:val="single" w:color="auto"/>
          <w:color w:val="auto"/>
        </w:rPr>
        <w:t>Securities Law</w:t>
      </w:r>
      <w:r>
        <w:rPr>
          <w:rFonts w:ascii="Arial" w:cs="Arial" w:eastAsia="Arial" w:hAnsi="Arial"/>
          <w:sz w:val="17"/>
          <w:szCs w:val="17"/>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61" w:lineRule="exact"/>
        <w:rPr>
          <w:rFonts w:ascii="Arial" w:cs="Arial" w:eastAsia="Arial" w:hAnsi="Arial"/>
          <w:sz w:val="17"/>
          <w:szCs w:val="17"/>
          <w:color w:val="auto"/>
        </w:rPr>
      </w:pPr>
    </w:p>
    <w:p>
      <w:pPr>
        <w:ind w:left="420" w:hanging="412"/>
        <w:spacing w:after="0"/>
        <w:tabs>
          <w:tab w:leader="none" w:pos="42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3" w:right="299" w:bottom="1440" w:gutter="0" w:footer="0" w:header="0"/>
        </w:sectPr>
      </w:pPr>
    </w:p>
    <w:bookmarkStart w:id="348" w:name="page349"/>
    <w:bookmarkEnd w:id="348"/>
    <w:p>
      <w:pPr>
        <w:ind w:left="420" w:hanging="412"/>
        <w:spacing w:after="0"/>
        <w:tabs>
          <w:tab w:leader="none" w:pos="42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b w:val="1"/>
          <w:bCs w:val="1"/>
          <w:color w:val="auto"/>
        </w:rPr>
        <w:t>.</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p>
    <w:p>
      <w:pPr>
        <w:spacing w:after="0" w:line="117" w:lineRule="exact"/>
        <w:rPr>
          <w:sz w:val="20"/>
          <w:szCs w:val="20"/>
          <w:color w:val="auto"/>
        </w:rPr>
      </w:pPr>
    </w:p>
    <w:p>
      <w:pPr>
        <w:ind w:left="920" w:right="320"/>
        <w:spacing w:after="0" w:line="34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20" w:lineRule="exact"/>
        <w:rPr>
          <w:sz w:val="20"/>
          <w:szCs w:val="20"/>
          <w:color w:val="auto"/>
        </w:rPr>
      </w:pPr>
    </w:p>
    <w:p>
      <w:pPr>
        <w:ind w:left="420" w:hanging="412"/>
        <w:spacing w:after="0"/>
        <w:tabs>
          <w:tab w:leader="none" w:pos="42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221" w:lineRule="exact"/>
        <w:rPr>
          <w:sz w:val="20"/>
          <w:szCs w:val="20"/>
          <w:color w:val="auto"/>
        </w:rPr>
      </w:pPr>
    </w:p>
    <w:p>
      <w:pPr>
        <w:ind w:left="420" w:hanging="412"/>
        <w:spacing w:after="0"/>
        <w:tabs>
          <w:tab w:leader="none" w:pos="42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66" w:lineRule="exact"/>
        <w:rPr>
          <w:sz w:val="20"/>
          <w:szCs w:val="20"/>
          <w:color w:val="auto"/>
        </w:rPr>
      </w:pPr>
    </w:p>
    <w:p>
      <w:pPr>
        <w:ind w:left="420" w:hanging="412"/>
        <w:spacing w:after="0"/>
        <w:tabs>
          <w:tab w:leader="none" w:pos="42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270" w:right="419" w:bottom="1440" w:gutter="0" w:footer="0" w:header="0"/>
        </w:sectPr>
      </w:pPr>
    </w:p>
    <w:bookmarkStart w:id="349" w:name="page350"/>
    <w:bookmarkEnd w:id="349"/>
    <w:p>
      <w:pPr>
        <w:ind w:left="412" w:hanging="412"/>
        <w:spacing w:after="0"/>
        <w:tabs>
          <w:tab w:leader="none" w:pos="412"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This Plan shall be construed in accordance with the laws of the Commonwealth of Pennsylvania, to the extent not preempted by applicable Federal law.</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Executed on the 21</w:t>
      </w:r>
      <w:r>
        <w:rPr>
          <w:rFonts w:ascii="Arial" w:cs="Arial" w:eastAsia="Arial" w:hAnsi="Arial"/>
          <w:sz w:val="15"/>
          <w:szCs w:val="15"/>
          <w:color w:val="auto"/>
        </w:rPr>
        <w:t>st</w:t>
      </w:r>
      <w:r>
        <w:rPr>
          <w:rFonts w:ascii="Arial" w:cs="Arial" w:eastAsia="Arial" w:hAnsi="Arial"/>
          <w:sz w:val="18"/>
          <w:szCs w:val="18"/>
          <w:color w:val="auto"/>
        </w:rPr>
        <w:t xml:space="preserve"> day of October, 2014.</w:t>
      </w:r>
    </w:p>
    <w:p>
      <w:pPr>
        <w:spacing w:after="0" w:line="248"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52"/>
        <w:spacing w:after="0"/>
        <w:tabs>
          <w:tab w:leader="none" w:pos="7872"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17145</wp:posOffset>
            </wp:positionV>
            <wp:extent cx="234124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5" w:lineRule="exact"/>
        <w:rPr>
          <w:sz w:val="20"/>
          <w:szCs w:val="20"/>
          <w:color w:val="auto"/>
        </w:rPr>
      </w:pPr>
    </w:p>
    <w:p>
      <w:pPr>
        <w:ind w:left="6852"/>
        <w:spacing w:after="0"/>
        <w:tabs>
          <w:tab w:leader="none" w:pos="7872"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17145</wp:posOffset>
            </wp:positionV>
            <wp:extent cx="234124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70" w:right="27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13 TO EMPLOYMENT AGREEMENT</w:t>
      </w:r>
    </w:p>
    <w:p>
      <w:pPr>
        <w:spacing w:after="0" w:line="229" w:lineRule="exact"/>
        <w:rPr>
          <w:sz w:val="20"/>
          <w:szCs w:val="20"/>
          <w:color w:val="auto"/>
        </w:rPr>
      </w:pPr>
    </w:p>
    <w:p>
      <w:pPr>
        <w:ind w:right="1120" w:firstLine="456"/>
        <w:spacing w:after="0" w:line="342" w:lineRule="auto"/>
        <w:rPr>
          <w:sz w:val="20"/>
          <w:szCs w:val="20"/>
          <w:color w:val="auto"/>
        </w:rPr>
      </w:pPr>
      <w:r>
        <w:rPr>
          <w:rFonts w:ascii="Arial" w:cs="Arial" w:eastAsia="Arial" w:hAnsi="Arial"/>
          <w:sz w:val="16"/>
          <w:szCs w:val="16"/>
          <w:color w:val="auto"/>
        </w:rPr>
        <w:t>This AMENDMENT NO. 13 TO EMPLOYMENT AGREEMENT is entered as of the 9th day of December, 2014, between COMCAST CORPORATION, a Pennsylvania corporation (together with its subsidiaries, the “Company”), and BRIAN L. ROBERTS (“Employee”).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right="400" w:firstLine="464"/>
        <w:spacing w:after="0" w:line="286" w:lineRule="auto"/>
        <w:tabs>
          <w:tab w:leader="none" w:pos="77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Subparagraph 5(b) of the Agreement is hereby amended to add the following year and amount thereto: “Year – 2015; Amount – $3,828,845.” Employee hereby elects January 2, 2018 as the scheduled payment date with respect to such amount, provided that Employee may elect to postpone such scheduled payment date to the extent permitted under the Company’s 2005 Deferred Compensation Plan.</w:t>
      </w:r>
    </w:p>
    <w:p>
      <w:pPr>
        <w:spacing w:after="0" w:line="165" w:lineRule="exact"/>
        <w:rPr>
          <w:rFonts w:ascii="Arial" w:cs="Arial" w:eastAsia="Arial" w:hAnsi="Arial"/>
          <w:sz w:val="17"/>
          <w:szCs w:val="17"/>
          <w:color w:val="auto"/>
        </w:rPr>
      </w:pPr>
    </w:p>
    <w:p>
      <w:pPr>
        <w:ind w:left="780" w:hanging="316"/>
        <w:spacing w:after="0"/>
        <w:tabs>
          <w:tab w:leader="none" w:pos="7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Amendment No. 13 as of the date first-above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12/9/14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12/9/14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5715</wp:posOffset>
            </wp:positionV>
            <wp:extent cx="260731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10.59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This is a Restricted Stock Unit Award (the “Award”) dated [Grant Date, Year 1]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88" w:lineRule="exact"/>
        <w:rPr>
          <w:sz w:val="20"/>
          <w:szCs w:val="20"/>
          <w:color w:val="auto"/>
        </w:rPr>
      </w:pPr>
    </w:p>
    <w:p>
      <w:pPr>
        <w:ind w:left="640" w:hanging="176"/>
        <w:spacing w:after="0"/>
        <w:tabs>
          <w:tab w:leader="none" w:pos="640"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are defined below or, if not defined below, have the meanings given to them in the Plan.</w:t>
      </w:r>
    </w:p>
    <w:p>
      <w:pPr>
        <w:spacing w:after="0" w:line="225" w:lineRule="exact"/>
        <w:rPr>
          <w:rFonts w:ascii="Arial" w:cs="Arial" w:eastAsia="Arial" w:hAnsi="Arial"/>
          <w:sz w:val="18"/>
          <w:szCs w:val="18"/>
          <w:color w:val="auto"/>
        </w:rPr>
      </w:pPr>
    </w:p>
    <w:p>
      <w:pPr>
        <w:ind w:right="80" w:firstLine="921"/>
        <w:spacing w:after="0" w:line="312" w:lineRule="auto"/>
        <w:tabs>
          <w:tab w:leader="none" w:pos="1158" w:val="left"/>
        </w:tabs>
        <w:numPr>
          <w:ilvl w:val="2"/>
          <w:numId w:val="3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6(d)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fraud; (ii) misappropriation; (iii) embezzlement; (iv) gross negligence in the performance of duties; (v) self-dealing;</w:t>
      </w:r>
    </w:p>
    <w:p>
      <w:pPr>
        <w:spacing w:after="0" w:line="34" w:lineRule="exact"/>
        <w:rPr>
          <w:rFonts w:ascii="Arial" w:cs="Arial" w:eastAsia="Arial" w:hAnsi="Arial"/>
          <w:sz w:val="17"/>
          <w:szCs w:val="17"/>
          <w:color w:val="auto"/>
        </w:rPr>
      </w:pPr>
    </w:p>
    <w:p>
      <w:pPr>
        <w:ind w:right="180" w:firstLine="8"/>
        <w:spacing w:after="0" w:line="254" w:lineRule="auto"/>
        <w:tabs>
          <w:tab w:leader="none" w:pos="30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89" w:lineRule="exact"/>
        <w:rPr>
          <w:rFonts w:ascii="Arial" w:cs="Arial" w:eastAsia="Arial" w:hAnsi="Arial"/>
          <w:sz w:val="18"/>
          <w:szCs w:val="18"/>
          <w:color w:val="auto"/>
        </w:rPr>
      </w:pPr>
    </w:p>
    <w:p>
      <w:pPr>
        <w:ind w:left="1160" w:hanging="239"/>
        <w:spacing w:after="0"/>
        <w:tabs>
          <w:tab w:leader="none" w:pos="11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ectPr>
          <w:pgSz w:w="11900" w:h="16838" w:orient="portrait"/>
          <w:cols w:equalWidth="0" w:num="1">
            <w:col w:w="11420"/>
          </w:cols>
          <w:pgMar w:left="240" w:top="121" w:right="239" w:bottom="1440" w:gutter="0" w:footer="0" w:header="0"/>
        </w:sectPr>
      </w:pPr>
    </w:p>
    <w:bookmarkStart w:id="352" w:name="page353"/>
    <w:bookmarkEnd w:id="352"/>
    <w:p>
      <w:pPr>
        <w:ind w:left="1140" w:hanging="219"/>
        <w:spacing w:after="0"/>
        <w:tabs>
          <w:tab w:leader="none" w:pos="11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 Grantee’s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behalf.</w:t>
      </w:r>
    </w:p>
    <w:p>
      <w:pPr>
        <w:spacing w:after="0" w:line="211" w:lineRule="exact"/>
        <w:rPr>
          <w:sz w:val="20"/>
          <w:szCs w:val="20"/>
          <w:color w:val="auto"/>
        </w:rPr>
      </w:pPr>
    </w:p>
    <w:p>
      <w:pPr>
        <w:ind w:left="1140" w:hanging="219"/>
        <w:spacing w:after="0"/>
        <w:tabs>
          <w:tab w:leader="none" w:pos="11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 Date.</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left="1140" w:hanging="219"/>
        <w:spacing w:after="0"/>
        <w:tabs>
          <w:tab w:leader="none" w:pos="11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rFonts w:ascii="Arial" w:cs="Arial" w:eastAsia="Arial" w:hAnsi="Arial"/>
          <w:sz w:val="18"/>
          <w:szCs w:val="18"/>
          <w:color w:val="auto"/>
        </w:rPr>
      </w:pPr>
    </w:p>
    <w:p>
      <w:pPr>
        <w:ind w:right="80" w:firstLine="921"/>
        <w:spacing w:after="0" w:line="277" w:lineRule="auto"/>
        <w:tabs>
          <w:tab w:leader="none" w:pos="121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70" w:lineRule="exact"/>
        <w:rPr>
          <w:rFonts w:ascii="Arial" w:cs="Arial" w:eastAsia="Arial" w:hAnsi="Arial"/>
          <w:sz w:val="18"/>
          <w:szCs w:val="18"/>
          <w:color w:val="auto"/>
        </w:rPr>
      </w:pPr>
    </w:p>
    <w:p>
      <w:pPr>
        <w:ind w:right="420" w:firstLine="921"/>
        <w:spacing w:after="0" w:line="277" w:lineRule="auto"/>
        <w:tabs>
          <w:tab w:leader="none" w:pos="116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Cash Flow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492"/>
        <w:spacing w:after="0" w:line="308" w:lineRule="auto"/>
        <w:tabs>
          <w:tab w:leader="none" w:pos="1738"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In general, “Operating Cash Flow” means operating income before depreciation and amortization for the Company and those of its affiliates that are included with the Company in its consolidated financial statements, as determined by the Committee.</w:t>
      </w:r>
    </w:p>
    <w:p>
      <w:pPr>
        <w:spacing w:after="0" w:line="146" w:lineRule="exact"/>
        <w:rPr>
          <w:rFonts w:ascii="Arial" w:cs="Arial" w:eastAsia="Arial" w:hAnsi="Arial"/>
          <w:sz w:val="17"/>
          <w:szCs w:val="17"/>
          <w:color w:val="auto"/>
        </w:rPr>
      </w:pPr>
    </w:p>
    <w:p>
      <w:pPr>
        <w:ind w:firstLine="1492"/>
        <w:spacing w:after="0" w:line="271" w:lineRule="auto"/>
        <w:tabs>
          <w:tab w:leader="none" w:pos="1738" w:val="left"/>
        </w:tabs>
        <w:numPr>
          <w:ilvl w:val="1"/>
          <w:numId w:val="308"/>
        </w:numPr>
        <w:rPr>
          <w:rFonts w:ascii="Arial" w:cs="Arial" w:eastAsia="Arial" w:hAnsi="Arial"/>
          <w:sz w:val="17"/>
          <w:szCs w:val="17"/>
          <w:color w:val="auto"/>
        </w:rPr>
      </w:pPr>
      <w:r>
        <w:rPr>
          <w:rFonts w:ascii="Arial" w:cs="Arial" w:eastAsia="Arial" w:hAnsi="Arial"/>
          <w:sz w:val="17"/>
          <w:szCs w:val="17"/>
          <w:u w:val="single" w:color="auto"/>
          <w:color w:val="auto"/>
        </w:rPr>
        <w:t>Comparability of Operating Cash Flow Between Calendar Years</w:t>
      </w:r>
      <w:r>
        <w:rPr>
          <w:rFonts w:ascii="Arial" w:cs="Arial" w:eastAsia="Arial" w:hAnsi="Arial"/>
          <w:sz w:val="17"/>
          <w:szCs w:val="17"/>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Operating Cash Flow, the Committee shall adjust the Operating Cash Flow for the prior calendar year and the year to which the performance condition applies to take into account the impact of such acquisition or disposition on a pro forma basis such that the measurement of Operating Cash Flow for the year to which the performance condition applies is comparable to that for the prior calendar year. Such adjustment shall be based upon the historical equivalent of Operating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53" w:name="page354"/>
    <w:bookmarkEnd w:id="353"/>
    <w:p>
      <w:pPr>
        <w:ind w:right="840" w:firstLine="921"/>
        <w:spacing w:after="0" w:line="277" w:lineRule="auto"/>
        <w:tabs>
          <w:tab w:leader="none" w:pos="1168"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Operating Cash Flow for a calendar year that equals or exceeds 101% of Operating Cash Flow for the immediately preceding calendar year.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1</w:t>
      </w: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 The “</w:t>
      </w:r>
      <w:r>
        <w:rPr>
          <w:rFonts w:ascii="Arial" w:cs="Arial" w:eastAsia="Arial" w:hAnsi="Arial"/>
          <w:sz w:val="16"/>
          <w:szCs w:val="16"/>
          <w:u w:val="single" w:color="auto"/>
          <w:color w:val="auto"/>
        </w:rPr>
        <w:t>First Performance Goal</w:t>
      </w:r>
      <w:r>
        <w:rPr>
          <w:rFonts w:ascii="Arial" w:cs="Arial" w:eastAsia="Arial" w:hAnsi="Arial"/>
          <w:sz w:val="16"/>
          <w:szCs w:val="16"/>
          <w:color w:val="auto"/>
        </w:rPr>
        <w:t>” will be satisfied if Operating Cash Flow for [Year 1] equals or exceeds 101% of Operating Cash Flow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[Year 0];</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 The “</w:t>
      </w:r>
      <w:r>
        <w:rPr>
          <w:rFonts w:ascii="Arial" w:cs="Arial" w:eastAsia="Arial" w:hAnsi="Arial"/>
          <w:sz w:val="16"/>
          <w:szCs w:val="16"/>
          <w:u w:val="single" w:color="auto"/>
          <w:color w:val="auto"/>
        </w:rPr>
        <w:t>Second Performance Goal</w:t>
      </w:r>
      <w:r>
        <w:rPr>
          <w:rFonts w:ascii="Arial" w:cs="Arial" w:eastAsia="Arial" w:hAnsi="Arial"/>
          <w:sz w:val="16"/>
          <w:szCs w:val="16"/>
          <w:color w:val="auto"/>
        </w:rPr>
        <w:t>” will be satisfied if Operating Cash Flow for [Year 2] equals or exceeds 101% of Operating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Flow for [Year 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The “</w:t>
      </w:r>
      <w:r>
        <w:rPr>
          <w:rFonts w:ascii="Arial" w:cs="Arial" w:eastAsia="Arial" w:hAnsi="Arial"/>
          <w:sz w:val="18"/>
          <w:szCs w:val="18"/>
          <w:u w:val="single" w:color="auto"/>
          <w:color w:val="auto"/>
        </w:rPr>
        <w:t>Third Performance Goal</w:t>
      </w:r>
      <w:r>
        <w:rPr>
          <w:rFonts w:ascii="Arial" w:cs="Arial" w:eastAsia="Arial" w:hAnsi="Arial"/>
          <w:sz w:val="18"/>
          <w:szCs w:val="18"/>
          <w:color w:val="auto"/>
        </w:rPr>
        <w:t>” will be satisfied if Operating Cash Flow for [Year 3] equals or exceeds 101% of Operating Cash Flow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[Year 2];</w:t>
      </w:r>
    </w:p>
    <w:p>
      <w:pPr>
        <w:spacing w:after="0" w:line="211" w:lineRule="exact"/>
        <w:rPr>
          <w:sz w:val="20"/>
          <w:szCs w:val="20"/>
          <w:color w:val="auto"/>
        </w:rPr>
      </w:pPr>
    </w:p>
    <w:p>
      <w:pPr>
        <w:ind w:left="1740" w:hanging="248"/>
        <w:spacing w:after="0"/>
        <w:tabs>
          <w:tab w:leader="none" w:pos="174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Fourth Performance Goal</w:t>
      </w:r>
      <w:r>
        <w:rPr>
          <w:rFonts w:ascii="Arial" w:cs="Arial" w:eastAsia="Arial" w:hAnsi="Arial"/>
          <w:sz w:val="17"/>
          <w:szCs w:val="17"/>
          <w:color w:val="auto"/>
        </w:rPr>
        <w:t>” will be satisfied if Operating Cash Flow for [Year 4] equals or exceeds 101% of Operating Cash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Flow for [Year 3]; and</w:t>
      </w:r>
    </w:p>
    <w:p>
      <w:pPr>
        <w:spacing w:after="0" w:line="210" w:lineRule="exact"/>
        <w:rPr>
          <w:rFonts w:ascii="Arial" w:cs="Arial" w:eastAsia="Arial" w:hAnsi="Arial"/>
          <w:sz w:val="17"/>
          <w:szCs w:val="17"/>
          <w:color w:val="auto"/>
        </w:rPr>
      </w:pPr>
    </w:p>
    <w:p>
      <w:pPr>
        <w:ind w:left="1740" w:hanging="248"/>
        <w:spacing w:after="0"/>
        <w:tabs>
          <w:tab w:leader="none" w:pos="17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Fifth Performance Goal</w:t>
      </w:r>
      <w:r>
        <w:rPr>
          <w:rFonts w:ascii="Arial" w:cs="Arial" w:eastAsia="Arial" w:hAnsi="Arial"/>
          <w:sz w:val="16"/>
          <w:szCs w:val="16"/>
          <w:color w:val="auto"/>
        </w:rPr>
        <w:t>” will be satisfied if Operating Cash Flow for [Year 4] equals or exceeds 101% of Operating Cash Flow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[Year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2</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(1) The “</w:t>
      </w:r>
      <w:r>
        <w:rPr>
          <w:rFonts w:ascii="Arial" w:cs="Arial" w:eastAsia="Arial" w:hAnsi="Arial"/>
          <w:sz w:val="16"/>
          <w:szCs w:val="16"/>
          <w:u w:val="single" w:color="auto"/>
          <w:color w:val="auto"/>
        </w:rPr>
        <w:t>Performance Goal</w:t>
      </w:r>
      <w:r>
        <w:rPr>
          <w:rFonts w:ascii="Arial" w:cs="Arial" w:eastAsia="Arial" w:hAnsi="Arial"/>
          <w:sz w:val="16"/>
          <w:szCs w:val="16"/>
          <w:color w:val="auto"/>
        </w:rPr>
        <w:t>” will be satisfied if Operating Cash Flow for [Year 1] equals or exceeds 101% of Operating Cash Flow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 0];</w:t>
      </w:r>
    </w:p>
    <w:p>
      <w:pPr>
        <w:spacing w:after="0" w:line="211" w:lineRule="exact"/>
        <w:rPr>
          <w:sz w:val="20"/>
          <w:szCs w:val="20"/>
          <w:color w:val="auto"/>
        </w:rPr>
      </w:pPr>
    </w:p>
    <w:p>
      <w:pPr>
        <w:ind w:left="1180" w:hanging="259"/>
        <w:spacing w:after="0"/>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 Vesting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 w:firstLine="921"/>
        <w:spacing w:after="0" w:line="264" w:lineRule="auto"/>
        <w:tabs>
          <w:tab w:leader="none" w:pos="114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225" w:lineRule="exact"/>
        <w:rPr>
          <w:rFonts w:ascii="Arial" w:cs="Arial" w:eastAsia="Arial" w:hAnsi="Arial"/>
          <w:sz w:val="18"/>
          <w:szCs w:val="18"/>
          <w:color w:val="auto"/>
        </w:rPr>
      </w:pPr>
    </w:p>
    <w:p>
      <w:pPr>
        <w:ind w:right="100" w:firstLine="921"/>
        <w:spacing w:after="0" w:line="277" w:lineRule="auto"/>
        <w:tabs>
          <w:tab w:leader="none" w:pos="120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date(s) on which Grantee vests in all or a portion of the Restricted Stock Units, as set forth on the attached Long-Term Incentive Awards Summary Schedule.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54" w:name="page355"/>
    <w:bookmarkEnd w:id="354"/>
    <w:p>
      <w:pPr>
        <w:ind w:left="-80" w:right="400" w:firstLine="464"/>
        <w:spacing w:after="0" w:line="277" w:lineRule="auto"/>
        <w:tabs>
          <w:tab w:leader="none" w:pos="55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170" w:lineRule="exact"/>
        <w:rPr>
          <w:rFonts w:ascii="Arial" w:cs="Arial" w:eastAsia="Arial" w:hAnsi="Arial"/>
          <w:sz w:val="18"/>
          <w:szCs w:val="18"/>
          <w:color w:val="auto"/>
        </w:rPr>
      </w:pPr>
    </w:p>
    <w:p>
      <w:pPr>
        <w:ind w:left="560" w:hanging="176"/>
        <w:spacing w:after="0"/>
        <w:tabs>
          <w:tab w:leader="none" w:pos="56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 w:right="200" w:firstLine="921"/>
        <w:spacing w:after="0" w:line="264" w:lineRule="auto"/>
        <w:tabs>
          <w:tab w:leader="none" w:pos="107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Restricted Stock Units are granted with dividend equivalent rights. If the Company declares a cash dividend on the Shares, an amount equivalent to such dividend will be credited to an unfunded bookkeeping account with respect to each outstanding and unvested Restricted Stock Unit (the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on the record date of such dividend.</w:t>
      </w:r>
    </w:p>
    <w:p>
      <w:pPr>
        <w:spacing w:after="0" w:line="181" w:lineRule="exact"/>
        <w:rPr>
          <w:rFonts w:ascii="Arial" w:cs="Arial" w:eastAsia="Arial" w:hAnsi="Arial"/>
          <w:sz w:val="18"/>
          <w:szCs w:val="18"/>
          <w:color w:val="auto"/>
        </w:rPr>
      </w:pPr>
    </w:p>
    <w:p>
      <w:pPr>
        <w:ind w:left="-80" w:right="200" w:firstLine="921"/>
        <w:spacing w:after="0" w:line="259" w:lineRule="auto"/>
        <w:tabs>
          <w:tab w:leader="none" w:pos="108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Dividend Equivalent Amount will be credited as cash, without interest, and will not be converted to Shares. The Dividend Equivalent Amount will be payable in cash, but only upon the applicable Vesting Date(s) of the underlying Restricted Stock Units as determined in accordance with Paragraph 4 below, and will be cancelled and forfeited if the underlying Restricted Stock Units are cancelled or forfeited as determined in accordance with Paragraph 5 below.</w:t>
      </w:r>
    </w:p>
    <w:p>
      <w:pPr>
        <w:spacing w:after="0" w:line="186" w:lineRule="exact"/>
        <w:rPr>
          <w:rFonts w:ascii="Arial" w:cs="Arial" w:eastAsia="Arial" w:hAnsi="Arial"/>
          <w:sz w:val="18"/>
          <w:szCs w:val="18"/>
          <w:color w:val="auto"/>
        </w:rPr>
      </w:pPr>
    </w:p>
    <w:p>
      <w:pPr>
        <w:ind w:left="560" w:hanging="176"/>
        <w:spacing w:after="0"/>
        <w:tabs>
          <w:tab w:leader="none" w:pos="56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20" w:firstLine="921"/>
        <w:spacing w:after="0" w:line="297" w:lineRule="auto"/>
        <w:tabs>
          <w:tab w:leader="none" w:pos="1078" w:val="left"/>
        </w:tabs>
        <w:numPr>
          <w:ilvl w:val="1"/>
          <w:numId w:val="313"/>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158" w:lineRule="exact"/>
        <w:rPr>
          <w:rFonts w:ascii="Arial" w:cs="Arial" w:eastAsia="Arial" w:hAnsi="Arial"/>
          <w:sz w:val="16"/>
          <w:szCs w:val="16"/>
          <w:color w:val="auto"/>
        </w:rPr>
      </w:pPr>
    </w:p>
    <w:p>
      <w:pPr>
        <w:jc w:val="both"/>
        <w:ind w:left="-80" w:right="180" w:firstLine="921"/>
        <w:spacing w:after="0" w:line="279" w:lineRule="auto"/>
        <w:tabs>
          <w:tab w:leader="none" w:pos="1088" w:val="left"/>
        </w:tabs>
        <w:numPr>
          <w:ilvl w:val="1"/>
          <w:numId w:val="313"/>
        </w:numPr>
        <w:rPr>
          <w:rFonts w:ascii="Arial" w:cs="Arial" w:eastAsia="Arial" w:hAnsi="Arial"/>
          <w:sz w:val="17"/>
          <w:szCs w:val="17"/>
          <w:color w:val="auto"/>
        </w:rPr>
      </w:pPr>
      <w:r>
        <w:rPr>
          <w:rFonts w:ascii="Arial" w:cs="Arial" w:eastAsia="Arial" w:hAnsi="Arial"/>
          <w:sz w:val="17"/>
          <w:szCs w:val="17"/>
          <w:color w:val="auto"/>
        </w:rPr>
        <w:t>Notwithstanding Paragraph 4(a) to the contrary, if Grantee terminates employment with the Company or a Subsidiary Company during the Restricted Period due to (i) Grantee’s death or (ii) Grantee becoming a Disabled Grantee within the meaning of Paragraph 1(i)(1),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71" w:lineRule="exact"/>
        <w:rPr>
          <w:rFonts w:ascii="Arial" w:cs="Arial" w:eastAsia="Arial" w:hAnsi="Arial"/>
          <w:sz w:val="17"/>
          <w:szCs w:val="17"/>
          <w:color w:val="auto"/>
        </w:rPr>
      </w:pPr>
    </w:p>
    <w:p>
      <w:pPr>
        <w:ind w:left="-80" w:firstLine="921"/>
        <w:spacing w:after="0" w:line="257" w:lineRule="auto"/>
        <w:tabs>
          <w:tab w:leader="none" w:pos="107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Notwithstanding Paragraphs 4(a) to the contrary, and subject to the non-solicitation or non-competition obligations described in Paragraph 4(d), if Grantee terminates employment with the Company or a Subsidiary Company during the Restricted Period for any reason other than (i) Grantee’s death, (ii) Grantee becoming a Disabled Grantee within the meaning of Paragraph 1(i)(1) or (iii) a Company-initiated termination for Cause, after having attained age 62 and completing ten (10) or more years of service with the Company or a Subsidiary Company, the following shall apply, provided further that the applicable Performance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355" w:name="page356"/>
    <w:bookmarkEnd w:id="35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Goal as set forth on the attached Long-Term Incentive Awards Summary Schedule has been satisfied, and provided further that Grantee has complied with all applicable provisions of the HSR Act:</w:t>
      </w:r>
    </w:p>
    <w:p>
      <w:pPr>
        <w:spacing w:after="0" w:line="170" w:lineRule="exact"/>
        <w:rPr>
          <w:sz w:val="20"/>
          <w:szCs w:val="20"/>
          <w:color w:val="auto"/>
        </w:rPr>
      </w:pPr>
    </w:p>
    <w:p>
      <w:pPr>
        <w:ind w:right="100" w:firstLine="1492"/>
        <w:spacing w:after="0" w:line="279" w:lineRule="auto"/>
        <w:tabs>
          <w:tab w:leader="none" w:pos="1738" w:val="left"/>
        </w:tabs>
        <w:numPr>
          <w:ilvl w:val="1"/>
          <w:numId w:val="314"/>
        </w:numPr>
        <w:rPr>
          <w:rFonts w:ascii="Arial" w:cs="Arial" w:eastAsia="Arial" w:hAnsi="Arial"/>
          <w:sz w:val="17"/>
          <w:szCs w:val="17"/>
          <w:color w:val="auto"/>
        </w:rPr>
      </w:pPr>
      <w:r>
        <w:rPr>
          <w:rFonts w:ascii="Arial" w:cs="Arial" w:eastAsia="Arial" w:hAnsi="Arial"/>
          <w:sz w:val="17"/>
          <w:szCs w:val="17"/>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14"/>
          <w:szCs w:val="14"/>
          <w:color w:val="auto"/>
        </w:rPr>
        <w:t>rd</w:t>
      </w:r>
      <w:r>
        <w:rPr>
          <w:rFonts w:ascii="Arial" w:cs="Arial" w:eastAsia="Arial" w:hAnsi="Arial"/>
          <w:sz w:val="17"/>
          <w:szCs w:val="17"/>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71" w:lineRule="exact"/>
        <w:rPr>
          <w:rFonts w:ascii="Arial" w:cs="Arial" w:eastAsia="Arial" w:hAnsi="Arial"/>
          <w:sz w:val="17"/>
          <w:szCs w:val="17"/>
          <w:color w:val="auto"/>
        </w:rPr>
      </w:pPr>
    </w:p>
    <w:p>
      <w:pPr>
        <w:ind w:right="200" w:firstLine="1492"/>
        <w:spacing w:after="0" w:line="279" w:lineRule="auto"/>
        <w:tabs>
          <w:tab w:leader="none" w:pos="1738" w:val="left"/>
        </w:tabs>
        <w:numPr>
          <w:ilvl w:val="1"/>
          <w:numId w:val="314"/>
        </w:numPr>
        <w:rPr>
          <w:rFonts w:ascii="Arial" w:cs="Arial" w:eastAsia="Arial" w:hAnsi="Arial"/>
          <w:sz w:val="17"/>
          <w:szCs w:val="17"/>
          <w:color w:val="auto"/>
        </w:rPr>
      </w:pPr>
      <w:r>
        <w:rPr>
          <w:rFonts w:ascii="Arial" w:cs="Arial" w:eastAsia="Arial" w:hAnsi="Arial"/>
          <w:sz w:val="17"/>
          <w:szCs w:val="17"/>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14"/>
          <w:szCs w:val="14"/>
          <w:color w:val="auto"/>
        </w:rPr>
        <w:t>th</w:t>
      </w:r>
      <w:r>
        <w:rPr>
          <w:rFonts w:ascii="Arial" w:cs="Arial" w:eastAsia="Arial" w:hAnsi="Arial"/>
          <w:sz w:val="17"/>
          <w:szCs w:val="17"/>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71" w:lineRule="exact"/>
        <w:rPr>
          <w:rFonts w:ascii="Arial" w:cs="Arial" w:eastAsia="Arial" w:hAnsi="Arial"/>
          <w:sz w:val="17"/>
          <w:szCs w:val="17"/>
          <w:color w:val="auto"/>
        </w:rPr>
      </w:pPr>
    </w:p>
    <w:p>
      <w:pPr>
        <w:ind w:right="640" w:firstLine="1492"/>
        <w:spacing w:after="0" w:line="291" w:lineRule="auto"/>
        <w:tabs>
          <w:tab w:leader="none" w:pos="1738" w:val="left"/>
        </w:tabs>
        <w:numPr>
          <w:ilvl w:val="1"/>
          <w:numId w:val="31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w:t>
      </w: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5"/>
          <w:szCs w:val="15"/>
          <w:color w:val="auto"/>
        </w:rPr>
        <w:t>th</w:t>
      </w:r>
      <w:r>
        <w:rPr>
          <w:rFonts w:ascii="Arial" w:cs="Arial" w:eastAsia="Arial" w:hAnsi="Arial"/>
          <w:sz w:val="18"/>
          <w:szCs w:val="18"/>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83" w:lineRule="exact"/>
        <w:rPr>
          <w:rFonts w:ascii="Arial" w:cs="Arial" w:eastAsia="Arial" w:hAnsi="Arial"/>
          <w:sz w:val="16"/>
          <w:szCs w:val="16"/>
          <w:color w:val="auto"/>
        </w:rPr>
      </w:pPr>
    </w:p>
    <w:p>
      <w:pPr>
        <w:ind w:right="280" w:firstLine="921"/>
        <w:spacing w:after="0" w:line="264" w:lineRule="auto"/>
        <w:tabs>
          <w:tab w:leader="none" w:pos="116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Notwithstanding Paragraph 4(c),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81" w:lineRule="exact"/>
        <w:rPr>
          <w:rFonts w:ascii="Arial" w:cs="Arial" w:eastAsia="Arial" w:hAnsi="Arial"/>
          <w:sz w:val="18"/>
          <w:szCs w:val="18"/>
          <w:color w:val="auto"/>
        </w:rPr>
      </w:pPr>
    </w:p>
    <w:p>
      <w:pPr>
        <w:ind w:right="360" w:firstLine="1492"/>
        <w:spacing w:after="0" w:line="264" w:lineRule="auto"/>
        <w:tabs>
          <w:tab w:leader="none" w:pos="173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1" w:lineRule="exact"/>
        <w:rPr>
          <w:rFonts w:ascii="Arial" w:cs="Arial" w:eastAsia="Arial" w:hAnsi="Arial"/>
          <w:sz w:val="18"/>
          <w:szCs w:val="18"/>
          <w:color w:val="auto"/>
        </w:rPr>
      </w:pPr>
    </w:p>
    <w:p>
      <w:pPr>
        <w:ind w:firstLine="1492"/>
        <w:spacing w:after="0" w:line="255" w:lineRule="auto"/>
        <w:tabs>
          <w:tab w:leader="none" w:pos="173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56" w:name="page357"/>
    <w:bookmarkEnd w:id="356"/>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47" w:lineRule="exact"/>
        <w:rPr>
          <w:sz w:val="20"/>
          <w:szCs w:val="20"/>
          <w:color w:val="auto"/>
        </w:rPr>
      </w:pPr>
    </w:p>
    <w:p>
      <w:pPr>
        <w:ind w:right="120" w:firstLine="921"/>
        <w:spacing w:after="0" w:line="279" w:lineRule="auto"/>
        <w:tabs>
          <w:tab w:leader="none" w:pos="1158" w:val="left"/>
        </w:tabs>
        <w:numPr>
          <w:ilvl w:val="1"/>
          <w:numId w:val="316"/>
        </w:numPr>
        <w:rPr>
          <w:rFonts w:ascii="Arial" w:cs="Arial" w:eastAsia="Arial" w:hAnsi="Arial"/>
          <w:sz w:val="17"/>
          <w:szCs w:val="17"/>
          <w:color w:val="auto"/>
        </w:rPr>
      </w:pPr>
      <w:r>
        <w:rPr>
          <w:rFonts w:ascii="Arial" w:cs="Arial" w:eastAsia="Arial" w:hAnsi="Arial"/>
          <w:sz w:val="17"/>
          <w:szCs w:val="17"/>
          <w:color w:val="auto"/>
        </w:rPr>
        <w:t>If Restricted Stock Units would have vested pursuant to the Long-Term Incentive Awards Summary Schedule or Paragraphs 3(b) or 3(c),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3(b) or 3(c) on which Grantee has complied with all applicable provisions of the HSR Act.</w:t>
      </w:r>
    </w:p>
    <w:p>
      <w:pPr>
        <w:spacing w:after="0" w:line="171" w:lineRule="exact"/>
        <w:rPr>
          <w:rFonts w:ascii="Arial" w:cs="Arial" w:eastAsia="Arial" w:hAnsi="Arial"/>
          <w:sz w:val="17"/>
          <w:szCs w:val="17"/>
          <w:color w:val="auto"/>
        </w:rPr>
      </w:pPr>
    </w:p>
    <w:p>
      <w:pPr>
        <w:ind w:left="640" w:hanging="176"/>
        <w:spacing w:after="0"/>
        <w:tabs>
          <w:tab w:leader="none" w:pos="6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59" w:lineRule="auto"/>
        <w:tabs>
          <w:tab w:leader="none" w:pos="115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if Grantee terminates employment with the Company and all Subsidiaries during the Restricted Period, other than due to death or Disability and except as otherwise provided in Paragraph 4(c), Grantee shall forfeit the Restricted Stock Units as of such termination of employment. Upon a forfeiture of the Restricted Stock Units as provided in this Paragraph 5, the Restricted Stock Units shall be deemed canceled.</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 provisions of this Paragraph 5 shall not apply to Shares issued in respect of Restricted Stock Units as to which a Vesting Date has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occurred.</w:t>
      </w:r>
    </w:p>
    <w:p>
      <w:pPr>
        <w:spacing w:after="0" w:line="210" w:lineRule="exact"/>
        <w:rPr>
          <w:rFonts w:ascii="Arial" w:cs="Arial" w:eastAsia="Arial" w:hAnsi="Arial"/>
          <w:sz w:val="17"/>
          <w:szCs w:val="17"/>
          <w:color w:val="auto"/>
        </w:rPr>
      </w:pPr>
    </w:p>
    <w:p>
      <w:pPr>
        <w:ind w:left="640" w:hanging="176"/>
        <w:spacing w:after="0"/>
        <w:tabs>
          <w:tab w:leader="none" w:pos="6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225" w:lineRule="exact"/>
        <w:rPr>
          <w:sz w:val="20"/>
          <w:szCs w:val="20"/>
          <w:color w:val="auto"/>
        </w:rPr>
      </w:pPr>
    </w:p>
    <w:p>
      <w:pPr>
        <w:ind w:left="1160" w:hanging="239"/>
        <w:spacing w:after="0"/>
        <w:tabs>
          <w:tab w:leader="none" w:pos="116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92"/>
        <w:spacing w:after="0" w:line="264" w:lineRule="auto"/>
        <w:tabs>
          <w:tab w:leader="none" w:pos="1738"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81" w:lineRule="exact"/>
        <w:rPr>
          <w:rFonts w:ascii="Arial" w:cs="Arial" w:eastAsia="Arial" w:hAnsi="Arial"/>
          <w:sz w:val="18"/>
          <w:szCs w:val="18"/>
          <w:color w:val="auto"/>
        </w:rPr>
      </w:pPr>
    </w:p>
    <w:p>
      <w:pPr>
        <w:ind w:firstLine="1492"/>
        <w:spacing w:after="0" w:line="277" w:lineRule="auto"/>
        <w:tabs>
          <w:tab w:leader="none" w:pos="1738"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[Year 1].</w:t>
      </w:r>
    </w:p>
    <w:p>
      <w:pPr>
        <w:spacing w:after="0" w:line="170" w:lineRule="exact"/>
        <w:rPr>
          <w:rFonts w:ascii="Arial" w:cs="Arial" w:eastAsia="Arial" w:hAnsi="Arial"/>
          <w:sz w:val="18"/>
          <w:szCs w:val="18"/>
          <w:color w:val="auto"/>
        </w:rPr>
      </w:pPr>
    </w:p>
    <w:p>
      <w:pPr>
        <w:ind w:right="40" w:firstLine="1492"/>
        <w:spacing w:after="0" w:line="279" w:lineRule="auto"/>
        <w:tabs>
          <w:tab w:leader="none" w:pos="1738" w:val="left"/>
        </w:tabs>
        <w:numPr>
          <w:ilvl w:val="1"/>
          <w:numId w:val="318"/>
        </w:numPr>
        <w:rPr>
          <w:rFonts w:ascii="Arial" w:cs="Arial" w:eastAsia="Arial" w:hAnsi="Arial"/>
          <w:sz w:val="17"/>
          <w:szCs w:val="17"/>
          <w:color w:val="auto"/>
        </w:rPr>
      </w:pPr>
      <w:r>
        <w:rPr>
          <w:rFonts w:ascii="Arial" w:cs="Arial" w:eastAsia="Arial" w:hAnsi="Arial"/>
          <w:sz w:val="17"/>
          <w:szCs w:val="17"/>
          <w:u w:val="single" w:color="auto"/>
          <w:color w:val="auto"/>
        </w:rPr>
        <w:t>Deferral Period</w:t>
      </w:r>
      <w:r>
        <w:rPr>
          <w:rFonts w:ascii="Arial" w:cs="Arial" w:eastAsia="Arial" w:hAnsi="Arial"/>
          <w:sz w:val="17"/>
          <w:szCs w:val="17"/>
          <w:color w:val="auto"/>
        </w:rPr>
        <w:t>. Subject to Paragraph 6(b), all Shares issuable with respect to Restricted Stock Units that are subject to an Initial Election under this Paragraph 6(a) shall be delivered to Grantee without any legend or restrictions (except those that may be imposed by the Committee, in its sole judgment, under Paragraph 8), on the date designated by Grantee, which shall not be earlier than January 2 of the third calendar year beginning after the Vesting Date, nor later than January 2 of the eleventh calendar year beginning after the Vesting Date.</w:t>
      </w:r>
    </w:p>
    <w:p>
      <w:pPr>
        <w:spacing w:after="0" w:line="171" w:lineRule="exact"/>
        <w:rPr>
          <w:rFonts w:ascii="Arial" w:cs="Arial" w:eastAsia="Arial" w:hAnsi="Arial"/>
          <w:sz w:val="17"/>
          <w:szCs w:val="17"/>
          <w:color w:val="auto"/>
        </w:rPr>
      </w:pPr>
    </w:p>
    <w:p>
      <w:pPr>
        <w:ind w:right="180" w:firstLine="1492"/>
        <w:spacing w:after="0" w:line="277" w:lineRule="auto"/>
        <w:tabs>
          <w:tab w:leader="none" w:pos="1738"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57" w:name="page358"/>
    <w:bookmarkEnd w:id="357"/>
    <w:p>
      <w:pPr>
        <w:ind w:left="1180" w:hanging="259"/>
        <w:spacing w:after="0"/>
        <w:tabs>
          <w:tab w:leader="none" w:pos="1180"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Elections</w:t>
      </w:r>
      <w:r>
        <w:rPr>
          <w:rFonts w:ascii="Arial" w:cs="Arial" w:eastAsia="Arial" w:hAnsi="Arial"/>
          <w:sz w:val="16"/>
          <w:szCs w:val="16"/>
          <w:color w:val="auto"/>
        </w:rPr>
        <w:t>. No Subsequent Election shall be effective until 12 months after the date on which a Subsequent Election is filed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210" w:lineRule="exact"/>
        <w:rPr>
          <w:rFonts w:ascii="Arial" w:cs="Arial" w:eastAsia="Arial" w:hAnsi="Arial"/>
          <w:sz w:val="16"/>
          <w:szCs w:val="16"/>
          <w:color w:val="auto"/>
        </w:rPr>
      </w:pPr>
    </w:p>
    <w:p>
      <w:pPr>
        <w:jc w:val="both"/>
        <w:ind w:right="20" w:firstLine="1492"/>
        <w:spacing w:after="0" w:line="279" w:lineRule="auto"/>
        <w:tabs>
          <w:tab w:leader="none" w:pos="1738"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If Grantee makes an Initial Election, or pursuant to this Paragraph 6(b)(1)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1" w:lineRule="exact"/>
        <w:rPr>
          <w:rFonts w:ascii="Arial" w:cs="Arial" w:eastAsia="Arial" w:hAnsi="Arial"/>
          <w:sz w:val="17"/>
          <w:szCs w:val="17"/>
          <w:color w:val="auto"/>
        </w:rPr>
      </w:pPr>
    </w:p>
    <w:p>
      <w:pPr>
        <w:jc w:val="both"/>
        <w:ind w:right="20" w:firstLine="1492"/>
        <w:spacing w:after="0" w:line="279" w:lineRule="auto"/>
        <w:tabs>
          <w:tab w:leader="none" w:pos="1738"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71" w:lineRule="exact"/>
        <w:rPr>
          <w:rFonts w:ascii="Arial" w:cs="Arial" w:eastAsia="Arial" w:hAnsi="Arial"/>
          <w:sz w:val="17"/>
          <w:szCs w:val="17"/>
          <w:color w:val="auto"/>
        </w:rPr>
      </w:pPr>
    </w:p>
    <w:p>
      <w:pPr>
        <w:ind w:right="200" w:firstLine="1492"/>
        <w:spacing w:after="0" w:line="312" w:lineRule="auto"/>
        <w:tabs>
          <w:tab w:leader="none" w:pos="1738" w:val="left"/>
        </w:tabs>
        <w:numPr>
          <w:ilvl w:val="1"/>
          <w:numId w:val="319"/>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6(a)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46" w:lineRule="exact"/>
        <w:rPr>
          <w:rFonts w:ascii="Arial" w:cs="Arial" w:eastAsia="Arial" w:hAnsi="Arial"/>
          <w:sz w:val="16"/>
          <w:szCs w:val="16"/>
          <w:color w:val="auto"/>
        </w:rPr>
      </w:pPr>
    </w:p>
    <w:p>
      <w:pPr>
        <w:ind w:right="140" w:firstLine="921"/>
        <w:spacing w:after="0" w:line="277" w:lineRule="auto"/>
        <w:tabs>
          <w:tab w:leader="none" w:pos="115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70" w:lineRule="exact"/>
        <w:rPr>
          <w:rFonts w:ascii="Arial" w:cs="Arial" w:eastAsia="Arial" w:hAnsi="Arial"/>
          <w:sz w:val="18"/>
          <w:szCs w:val="18"/>
          <w:color w:val="auto"/>
        </w:rPr>
      </w:pPr>
    </w:p>
    <w:p>
      <w:pPr>
        <w:ind w:right="40" w:firstLine="921"/>
        <w:spacing w:after="0" w:line="257" w:lineRule="auto"/>
        <w:tabs>
          <w:tab w:leader="none" w:pos="1168"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88" w:lineRule="exact"/>
        <w:rPr>
          <w:rFonts w:ascii="Arial" w:cs="Arial" w:eastAsia="Arial" w:hAnsi="Arial"/>
          <w:sz w:val="18"/>
          <w:szCs w:val="18"/>
          <w:color w:val="auto"/>
        </w:rPr>
      </w:pPr>
    </w:p>
    <w:p>
      <w:pPr>
        <w:ind w:firstLine="921"/>
        <w:spacing w:after="0" w:line="259" w:lineRule="auto"/>
        <w:tabs>
          <w:tab w:leader="none" w:pos="1157"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358" w:name="page359"/>
    <w:bookmarkEnd w:id="358"/>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70" w:lineRule="exact"/>
        <w:rPr>
          <w:sz w:val="20"/>
          <w:szCs w:val="20"/>
          <w:color w:val="auto"/>
        </w:rPr>
      </w:pPr>
    </w:p>
    <w:p>
      <w:pPr>
        <w:ind w:firstLine="921"/>
        <w:spacing w:after="0" w:line="286" w:lineRule="auto"/>
        <w:tabs>
          <w:tab w:leader="none" w:pos="1138"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Non-Assignability, Etc.</w:t>
      </w:r>
      <w:r>
        <w:rPr>
          <w:rFonts w:ascii="Arial" w:cs="Arial" w:eastAsia="Arial" w:hAnsi="Arial"/>
          <w:sz w:val="17"/>
          <w:szCs w:val="17"/>
          <w:color w:val="auto"/>
        </w:rPr>
        <w:t xml:space="preserve"> The right of Grantee to receive Shares subject to an Election under this Paragraph 6,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65" w:lineRule="exact"/>
        <w:rPr>
          <w:rFonts w:ascii="Arial" w:cs="Arial" w:eastAsia="Arial" w:hAnsi="Arial"/>
          <w:sz w:val="17"/>
          <w:szCs w:val="17"/>
          <w:color w:val="auto"/>
        </w:rPr>
      </w:pPr>
    </w:p>
    <w:p>
      <w:pPr>
        <w:ind w:right="180" w:firstLine="464"/>
        <w:spacing w:after="0" w:line="264" w:lineRule="auto"/>
        <w:tabs>
          <w:tab w:leader="none" w:pos="63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81" w:lineRule="exact"/>
        <w:rPr>
          <w:rFonts w:ascii="Arial" w:cs="Arial" w:eastAsia="Arial" w:hAnsi="Arial"/>
          <w:sz w:val="18"/>
          <w:szCs w:val="18"/>
          <w:color w:val="auto"/>
        </w:rPr>
      </w:pPr>
    </w:p>
    <w:p>
      <w:pPr>
        <w:ind w:right="340" w:firstLine="464"/>
        <w:spacing w:after="0" w:line="264" w:lineRule="auto"/>
        <w:tabs>
          <w:tab w:leader="none" w:pos="63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69" w:lineRule="auto"/>
        <w:tabs>
          <w:tab w:leader="none" w:pos="1157"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Except as otherwise provided in Paragraph 6, the Company shall notify Grantee that a Vesting Date with respect to Restricted Stock Units has occurred. Within ten (10) business days of a Vesting Date, the Company shall, without payment from Grantee, satisfy its obligations to (a) pay the Dividend Equivalent Amount (if any) and (b)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8, provided that the Dividend Equivalent Amount (if any) will not be paid and/or Shares will not be delivered to Grantee until appropriate arrangements have been made with the Company for the withholding of any taxes which may be due with respect to such payment and/or the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82" w:lineRule="exact"/>
        <w:rPr>
          <w:rFonts w:ascii="Arial" w:cs="Arial" w:eastAsia="Arial" w:hAnsi="Arial"/>
          <w:sz w:val="17"/>
          <w:szCs w:val="17"/>
          <w:color w:val="auto"/>
        </w:rPr>
      </w:pPr>
    </w:p>
    <w:p>
      <w:pPr>
        <w:ind w:right="100" w:firstLine="921"/>
        <w:spacing w:after="0" w:line="257" w:lineRule="auto"/>
        <w:tabs>
          <w:tab w:leader="none" w:pos="1168"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59" w:name="page360"/>
    <w:bookmarkEnd w:id="3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9(b) has been deferred pursuant to Paragraph 6 (or any other plan, program or arrangement that permits the deferral of receipt of an Award), such Award (and any earnings credited with respect thereto) shall be forfeited in lieu of repayment.</w:t>
      </w:r>
    </w:p>
    <w:p>
      <w:pPr>
        <w:spacing w:after="0" w:line="187" w:lineRule="exact"/>
        <w:rPr>
          <w:sz w:val="20"/>
          <w:szCs w:val="20"/>
          <w:color w:val="auto"/>
        </w:rPr>
      </w:pPr>
    </w:p>
    <w:p>
      <w:pPr>
        <w:ind w:right="80" w:firstLine="464"/>
        <w:spacing w:after="0" w:line="293" w:lineRule="auto"/>
        <w:tabs>
          <w:tab w:leader="none" w:pos="726"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would otherwise become deliverable upon the Grantee’s “separation from service” will be deferred (without interest) and issued to the Grantee immediately following that six month period.</w:t>
      </w:r>
    </w:p>
    <w:p>
      <w:pPr>
        <w:spacing w:after="0" w:line="164" w:lineRule="exact"/>
        <w:rPr>
          <w:rFonts w:ascii="Arial" w:cs="Arial" w:eastAsia="Arial" w:hAnsi="Arial"/>
          <w:sz w:val="16"/>
          <w:szCs w:val="16"/>
          <w:color w:val="auto"/>
        </w:rPr>
      </w:pPr>
    </w:p>
    <w:p>
      <w:pPr>
        <w:ind w:right="320" w:firstLine="464"/>
        <w:spacing w:after="0" w:line="277" w:lineRule="auto"/>
        <w:tabs>
          <w:tab w:leader="none" w:pos="72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170" w:lineRule="exact"/>
        <w:rPr>
          <w:rFonts w:ascii="Arial" w:cs="Arial" w:eastAsia="Arial" w:hAnsi="Arial"/>
          <w:sz w:val="18"/>
          <w:szCs w:val="18"/>
          <w:color w:val="auto"/>
        </w:rPr>
      </w:pPr>
    </w:p>
    <w:p>
      <w:pPr>
        <w:ind w:left="740" w:hanging="276"/>
        <w:spacing w:after="0"/>
        <w:tabs>
          <w:tab w:leader="none" w:pos="7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6" w:lineRule="auto"/>
        <w:tabs>
          <w:tab w:leader="none" w:pos="1158" w:val="left"/>
        </w:tabs>
        <w:numPr>
          <w:ilvl w:val="1"/>
          <w:numId w:val="322"/>
        </w:numPr>
        <w:rPr>
          <w:rFonts w:ascii="Arial" w:cs="Arial" w:eastAsia="Arial" w:hAnsi="Arial"/>
          <w:sz w:val="17"/>
          <w:szCs w:val="17"/>
          <w:color w:val="auto"/>
        </w:rPr>
      </w:pPr>
      <w:r>
        <w:rPr>
          <w:rFonts w:ascii="Arial" w:cs="Arial" w:eastAsia="Arial" w:hAnsi="Arial"/>
          <w:sz w:val="17"/>
          <w:szCs w:val="17"/>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65" w:lineRule="exact"/>
        <w:rPr>
          <w:rFonts w:ascii="Arial" w:cs="Arial" w:eastAsia="Arial" w:hAnsi="Arial"/>
          <w:sz w:val="17"/>
          <w:szCs w:val="17"/>
          <w:color w:val="auto"/>
        </w:rPr>
      </w:pPr>
    </w:p>
    <w:p>
      <w:pPr>
        <w:ind w:right="180" w:firstLine="921"/>
        <w:spacing w:after="0" w:line="277" w:lineRule="auto"/>
        <w:tabs>
          <w:tab w:leader="none" w:pos="116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70" w:lineRule="exact"/>
        <w:rPr>
          <w:rFonts w:ascii="Arial" w:cs="Arial" w:eastAsia="Arial" w:hAnsi="Arial"/>
          <w:sz w:val="18"/>
          <w:szCs w:val="18"/>
          <w:color w:val="auto"/>
        </w:rPr>
      </w:pPr>
    </w:p>
    <w:p>
      <w:pPr>
        <w:ind w:right="460" w:firstLine="921"/>
        <w:spacing w:after="0" w:line="277" w:lineRule="auto"/>
        <w:tabs>
          <w:tab w:leader="none" w:pos="115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validity, performance, construction and effect of this Award shall be governed by the laws of the Commonwealth of Pennsylvania, without giving effect to principles of conflicts of law.</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4124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360" w:name="page361"/>
    <w:bookmarkEnd w:id="360"/>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3060"/>
              <w:spacing w:after="0"/>
              <w:rPr>
                <w:sz w:val="20"/>
                <w:szCs w:val="20"/>
                <w:color w:val="auto"/>
              </w:rPr>
            </w:pPr>
            <w:r>
              <w:rPr>
                <w:rFonts w:ascii="Arial" w:cs="Arial" w:eastAsia="Arial" w:hAnsi="Arial"/>
                <w:sz w:val="18"/>
                <w:szCs w:val="18"/>
                <w:b w:val="1"/>
                <w:bCs w:val="1"/>
                <w:color w:val="auto"/>
                <w:w w:val="89"/>
              </w:rPr>
              <w:t>Exhibit 10.60</w:t>
            </w:r>
          </w:p>
        </w:tc>
      </w:tr>
      <w:tr>
        <w:trPr>
          <w:trHeight w:val="378"/>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Forms of Time Sharing Agreements</w:t>
            </w:r>
          </w:p>
        </w:tc>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40"/>
        </w:trPr>
        <w:tc>
          <w:tcPr>
            <w:tcW w:w="4060" w:type="dxa"/>
            <w:vAlign w:val="bottom"/>
          </w:tcPr>
          <w:p>
            <w:pPr>
              <w:spacing w:after="0"/>
              <w:rPr>
                <w:sz w:val="24"/>
                <w:szCs w:val="24"/>
                <w:color w:val="auto"/>
              </w:rPr>
            </w:pPr>
          </w:p>
        </w:tc>
        <w:tc>
          <w:tcPr>
            <w:tcW w:w="3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AIRCRAFT TIME SHARING AGREEMENT</w:t>
            </w:r>
          </w:p>
        </w:tc>
        <w:tc>
          <w:tcPr>
            <w:tcW w:w="4060" w:type="dxa"/>
            <w:vAlign w:val="bottom"/>
          </w:tcPr>
          <w:p>
            <w:pPr>
              <w:spacing w:after="0"/>
              <w:rPr>
                <w:sz w:val="24"/>
                <w:szCs w:val="24"/>
                <w:color w:val="auto"/>
              </w:rPr>
            </w:pPr>
          </w:p>
        </w:tc>
      </w:tr>
      <w:tr>
        <w:trPr>
          <w:trHeight w:val="397"/>
        </w:trPr>
        <w:tc>
          <w:tcPr>
            <w:tcW w:w="6780" w:type="dxa"/>
            <w:vAlign w:val="bottom"/>
            <w:gridSpan w:val="2"/>
          </w:tcPr>
          <w:p>
            <w:pPr>
              <w:ind w:left="460"/>
              <w:spacing w:after="0"/>
              <w:rPr>
                <w:sz w:val="20"/>
                <w:szCs w:val="20"/>
                <w:color w:val="auto"/>
              </w:rPr>
            </w:pPr>
            <w:r>
              <w:rPr>
                <w:rFonts w:ascii="Arial" w:cs="Arial" w:eastAsia="Arial" w:hAnsi="Arial"/>
                <w:sz w:val="18"/>
                <w:szCs w:val="18"/>
                <w:color w:val="auto"/>
                <w:w w:val="97"/>
              </w:rPr>
              <w:t>THIS AIRCRAFT TIME SHARING AGREEMENT is made and entered into as of [</w:t>
            </w:r>
          </w:p>
        </w:tc>
        <w:tc>
          <w:tcPr>
            <w:tcW w:w="4640" w:type="dxa"/>
            <w:vAlign w:val="bottom"/>
            <w:gridSpan w:val="2"/>
          </w:tcPr>
          <w:p>
            <w:pPr>
              <w:ind w:left="360"/>
              <w:spacing w:after="0"/>
              <w:rPr>
                <w:sz w:val="20"/>
                <w:szCs w:val="20"/>
                <w:color w:val="auto"/>
              </w:rPr>
            </w:pPr>
            <w:r>
              <w:rPr>
                <w:rFonts w:ascii="Arial" w:cs="Arial" w:eastAsia="Arial" w:hAnsi="Arial"/>
                <w:sz w:val="18"/>
                <w:szCs w:val="18"/>
                <w:color w:val="auto"/>
                <w:w w:val="98"/>
              </w:rPr>
              <w:t>], by and between Comcast Corporation, a corporation</w:t>
            </w:r>
          </w:p>
        </w:tc>
      </w:tr>
    </w:tbl>
    <w:p>
      <w:pPr>
        <w:jc w:val="center"/>
        <w:ind w:right="500"/>
        <w:spacing w:after="0" w:line="434" w:lineRule="auto"/>
        <w:rPr>
          <w:sz w:val="20"/>
          <w:szCs w:val="20"/>
          <w:color w:val="auto"/>
        </w:rPr>
      </w:pPr>
      <w:r>
        <w:rPr>
          <w:rFonts w:ascii="Arial" w:cs="Arial" w:eastAsia="Arial" w:hAnsi="Arial"/>
          <w:sz w:val="18"/>
          <w:szCs w:val="18"/>
          <w:color w:val="auto"/>
        </w:rPr>
        <w:t>organized and existing under the laws of the Commonwealth of Pennsylvania (“TIMESHAROR”), and the individual signatory hereto (“TIMESHAREE”). WITNESSETH:</w:t>
      </w:r>
    </w:p>
    <w:p>
      <w:pPr>
        <w:spacing w:after="0" w:line="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WHEREAS, TIMESHAROR is the operator of the aircraft set forth on Schedule 1 hereto bearing the Federal Aviation Administration (“FAA”) Registration numbers and Manufacturer’s Serial numbers set forth thereon (the “Aircraft”);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TIMESHAREE desires use of the Aircraft;</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WHEREAS, TIMESHAROR desires to make the Aircraft available to TIMESHAREE, from time to time, on a time sharing basis in accordance with Section 91.501 of the Federal Aviation Regulations (“FARs”);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TIMESHAROR reserves the right to make the Aircraft available to TIMESHAREE on terms other than those contained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covenants herein set forth, the parties agree as follows:</w:t>
      </w:r>
    </w:p>
    <w:p>
      <w:pPr>
        <w:spacing w:after="0" w:line="90" w:lineRule="exact"/>
        <w:rPr>
          <w:sz w:val="20"/>
          <w:szCs w:val="20"/>
          <w:color w:val="auto"/>
        </w:rPr>
      </w:pPr>
    </w:p>
    <w:p>
      <w:pPr>
        <w:jc w:val="both"/>
        <w:ind w:right="40" w:firstLine="464"/>
        <w:spacing w:after="0" w:line="256" w:lineRule="auto"/>
        <w:tabs>
          <w:tab w:leader="none" w:pos="632"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 xml:space="preserve">Provision of Aircraft. </w:t>
      </w:r>
      <w:r>
        <w:rPr>
          <w:rFonts w:ascii="Arial" w:cs="Arial" w:eastAsia="Arial" w:hAnsi="Arial"/>
          <w:sz w:val="18"/>
          <w:szCs w:val="18"/>
          <w:color w:val="auto"/>
        </w:rPr>
        <w:t>TIMESHAROR agrees to provide the Aircraft to TIMESHAREE on a time sharing basis in accordance with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91.501(b)(6), 91.501(c)(1) and 91.501(d) of the FARs for the period commencing upon execution of this Agreement and continuing until terminated pursuant to Paragraph 5 below or by mutual agreement of the parties. The parties agree that TIMESHAROR may amend Schedule 1 hereto without the consent of TIMESHAREE from time to time as it deems appropriate.</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Reimbursement of Expenses. </w:t>
      </w:r>
      <w:r>
        <w:rPr>
          <w:rFonts w:ascii="Arial" w:cs="Arial" w:eastAsia="Arial" w:hAnsi="Arial"/>
          <w:sz w:val="16"/>
          <w:szCs w:val="16"/>
          <w:color w:val="auto"/>
        </w:rPr>
        <w:t>For each flight conducted under this Agreement, subject to the terms of TIMESHAROR’S aircraft use policy,</w:t>
      </w:r>
    </w:p>
    <w:p>
      <w:pPr>
        <w:spacing w:after="0" w:line="38" w:lineRule="exact"/>
        <w:rPr>
          <w:rFonts w:ascii="Arial" w:cs="Arial" w:eastAsia="Arial" w:hAnsi="Arial"/>
          <w:sz w:val="16"/>
          <w:szCs w:val="16"/>
          <w:color w:val="auto"/>
        </w:rPr>
      </w:pPr>
    </w:p>
    <w:p>
      <w:pPr>
        <w:ind w:right="260"/>
        <w:spacing w:after="0" w:line="255" w:lineRule="auto"/>
        <w:rPr>
          <w:rFonts w:ascii="Arial" w:cs="Arial" w:eastAsia="Arial" w:hAnsi="Arial"/>
          <w:sz w:val="16"/>
          <w:szCs w:val="16"/>
          <w:color w:val="auto"/>
        </w:rPr>
      </w:pPr>
      <w:r>
        <w:rPr>
          <w:rFonts w:ascii="Arial" w:cs="Arial" w:eastAsia="Arial" w:hAnsi="Arial"/>
          <w:sz w:val="18"/>
          <w:szCs w:val="18"/>
          <w:color w:val="auto"/>
        </w:rPr>
        <w:t>TIMESHAREE shall pay TIMESHAROR [the lesser of (i) the value of the flight calculated in accordance with the SIFL rate formula adopted by the Internal Revenue Service for personal use by TIMESHAREE or (ii)] the sum of the expenses of operating such flight to the extent permitted by FAR 91.501(d); i.e. the sum of the expenses set forth in subparagraphs (a)-(j) below:</w:t>
      </w:r>
    </w:p>
    <w:p>
      <w:pPr>
        <w:spacing w:after="0" w:line="63" w:lineRule="exact"/>
        <w:rPr>
          <w:rFonts w:ascii="Arial" w:cs="Arial" w:eastAsia="Arial" w:hAnsi="Arial"/>
          <w:sz w:val="16"/>
          <w:szCs w:val="16"/>
          <w:color w:val="auto"/>
        </w:rPr>
      </w:pPr>
    </w:p>
    <w:p>
      <w:pPr>
        <w:ind w:left="1160" w:hanging="239"/>
        <w:spacing w:after="0"/>
        <w:tabs>
          <w:tab w:leader="none" w:pos="11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fuel, oil, lubricants and other additives;</w:t>
      </w:r>
    </w:p>
    <w:p>
      <w:pPr>
        <w:sectPr>
          <w:pgSz w:w="11900" w:h="16838" w:orient="portrait"/>
          <w:cols w:equalWidth="0" w:num="1">
            <w:col w:w="11420"/>
          </w:cols>
          <w:pgMar w:left="240" w:top="125" w:right="239" w:bottom="1440" w:gutter="0" w:footer="0" w:header="0"/>
        </w:sectPr>
      </w:pPr>
    </w:p>
    <w:bookmarkStart w:id="361" w:name="page362"/>
    <w:bookmarkEnd w:id="361"/>
    <w:p>
      <w:pPr>
        <w:ind w:left="1152" w:hanging="239"/>
        <w:spacing w:after="0"/>
        <w:tabs>
          <w:tab w:leader="none" w:pos="1152" w:val="left"/>
        </w:tabs>
        <w:numPr>
          <w:ilvl w:val="2"/>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travel expenses of the crew, including food, lodging and ground transportation;</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hangar and tie-down costs away from the Aircraft’s base of operation;</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insurance obtained for the specific flight;</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landing fees, airport taxes and similar assessments;</w:t>
      </w:r>
    </w:p>
    <w:p>
      <w:pPr>
        <w:spacing w:after="0" w:line="171" w:lineRule="exact"/>
        <w:rPr>
          <w:rFonts w:ascii="Arial" w:cs="Arial" w:eastAsia="Arial" w:hAnsi="Arial"/>
          <w:sz w:val="18"/>
          <w:szCs w:val="18"/>
          <w:color w:val="auto"/>
        </w:rPr>
      </w:pPr>
    </w:p>
    <w:p>
      <w:pPr>
        <w:ind w:left="1132" w:hanging="219"/>
        <w:spacing w:after="0"/>
        <w:tabs>
          <w:tab w:leader="none" w:pos="113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customs, foreign permit and similar fees directly related to the flight;</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in-flight food and beverages;</w:t>
      </w:r>
    </w:p>
    <w:p>
      <w:pPr>
        <w:spacing w:after="0" w:line="171" w:lineRule="exact"/>
        <w:rPr>
          <w:rFonts w:ascii="Arial" w:cs="Arial" w:eastAsia="Arial" w:hAnsi="Arial"/>
          <w:sz w:val="18"/>
          <w:szCs w:val="18"/>
          <w:color w:val="auto"/>
        </w:rPr>
      </w:pPr>
    </w:p>
    <w:p>
      <w:pPr>
        <w:ind w:left="1152" w:hanging="239"/>
        <w:spacing w:after="0"/>
        <w:tabs>
          <w:tab w:leader="none" w:pos="115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passenger ground transportation;</w:t>
      </w:r>
    </w:p>
    <w:p>
      <w:pPr>
        <w:spacing w:after="0" w:line="171" w:lineRule="exact"/>
        <w:rPr>
          <w:rFonts w:ascii="Arial" w:cs="Arial" w:eastAsia="Arial" w:hAnsi="Arial"/>
          <w:sz w:val="18"/>
          <w:szCs w:val="18"/>
          <w:color w:val="auto"/>
        </w:rPr>
      </w:pPr>
    </w:p>
    <w:p>
      <w:pPr>
        <w:ind w:left="1132" w:hanging="219"/>
        <w:spacing w:after="0"/>
        <w:tabs>
          <w:tab w:leader="none" w:pos="113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flight planning and weather contract services; and</w:t>
      </w:r>
    </w:p>
    <w:p>
      <w:pPr>
        <w:spacing w:after="0" w:line="171" w:lineRule="exact"/>
        <w:rPr>
          <w:rFonts w:ascii="Arial" w:cs="Arial" w:eastAsia="Arial" w:hAnsi="Arial"/>
          <w:sz w:val="18"/>
          <w:szCs w:val="18"/>
          <w:color w:val="auto"/>
        </w:rPr>
      </w:pPr>
    </w:p>
    <w:p>
      <w:pPr>
        <w:ind w:left="1132" w:hanging="219"/>
        <w:spacing w:after="0"/>
        <w:tabs>
          <w:tab w:leader="none" w:pos="1132" w:val="left"/>
        </w:tabs>
        <w:numPr>
          <w:ilvl w:val="2"/>
          <w:numId w:val="324"/>
        </w:numPr>
        <w:rPr>
          <w:rFonts w:ascii="Arial" w:cs="Arial" w:eastAsia="Arial" w:hAnsi="Arial"/>
          <w:sz w:val="18"/>
          <w:szCs w:val="18"/>
          <w:color w:val="auto"/>
        </w:rPr>
      </w:pPr>
      <w:r>
        <w:rPr>
          <w:rFonts w:ascii="Arial" w:cs="Arial" w:eastAsia="Arial" w:hAnsi="Arial"/>
          <w:sz w:val="18"/>
          <w:szCs w:val="18"/>
          <w:color w:val="auto"/>
        </w:rPr>
        <w:t>an additional charge equal to one hundred percent (100%) of the expenses listed in subparagraph (a) above.</w:t>
      </w:r>
    </w:p>
    <w:p>
      <w:pPr>
        <w:spacing w:after="0" w:line="171" w:lineRule="exact"/>
        <w:rPr>
          <w:rFonts w:ascii="Arial" w:cs="Arial" w:eastAsia="Arial" w:hAnsi="Arial"/>
          <w:sz w:val="18"/>
          <w:szCs w:val="18"/>
          <w:color w:val="auto"/>
        </w:rPr>
      </w:pPr>
    </w:p>
    <w:p>
      <w:pPr>
        <w:ind w:left="-8" w:right="20" w:firstLine="464"/>
        <w:spacing w:after="0" w:line="259" w:lineRule="auto"/>
        <w:tabs>
          <w:tab w:leader="none" w:pos="624" w:val="left"/>
        </w:tabs>
        <w:numPr>
          <w:ilvl w:val="1"/>
          <w:numId w:val="325"/>
        </w:numPr>
        <w:rPr>
          <w:rFonts w:ascii="Arial" w:cs="Arial" w:eastAsia="Arial" w:hAnsi="Arial"/>
          <w:sz w:val="18"/>
          <w:szCs w:val="18"/>
          <w:color w:val="auto"/>
        </w:rPr>
      </w:pPr>
      <w:r>
        <w:rPr>
          <w:rFonts w:ascii="Arial" w:cs="Arial" w:eastAsia="Arial" w:hAnsi="Arial"/>
          <w:sz w:val="18"/>
          <w:szCs w:val="18"/>
          <w:i w:val="1"/>
          <w:iCs w:val="1"/>
          <w:color w:val="auto"/>
        </w:rPr>
        <w:t xml:space="preserve">Operational Authority and Control. </w:t>
      </w:r>
      <w:r>
        <w:rPr>
          <w:rFonts w:ascii="Arial" w:cs="Arial" w:eastAsia="Arial" w:hAnsi="Arial"/>
          <w:sz w:val="18"/>
          <w:szCs w:val="18"/>
          <w:color w:val="auto"/>
        </w:rPr>
        <w:t>TIMESHAROR shall be responsible for the physical and technical operation of the Aircraft and the safe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all flights and shall retain full authority and control, including exclusive operational control and possession of the Aircraft, at all times during the term of this Agreement.</w:t>
      </w:r>
    </w:p>
    <w:p>
      <w:pPr>
        <w:spacing w:after="0" w:line="140" w:lineRule="exact"/>
        <w:rPr>
          <w:rFonts w:ascii="Arial" w:cs="Arial" w:eastAsia="Arial" w:hAnsi="Arial"/>
          <w:sz w:val="18"/>
          <w:szCs w:val="18"/>
          <w:color w:val="auto"/>
        </w:rPr>
      </w:pPr>
    </w:p>
    <w:p>
      <w:pPr>
        <w:ind w:left="-8" w:right="200" w:firstLine="464"/>
        <w:spacing w:after="0" w:line="268" w:lineRule="auto"/>
        <w:tabs>
          <w:tab w:leader="none" w:pos="624" w:val="left"/>
        </w:tabs>
        <w:numPr>
          <w:ilvl w:val="1"/>
          <w:numId w:val="325"/>
        </w:numPr>
        <w:rPr>
          <w:rFonts w:ascii="Arial" w:cs="Arial" w:eastAsia="Arial" w:hAnsi="Arial"/>
          <w:sz w:val="18"/>
          <w:szCs w:val="18"/>
          <w:color w:val="auto"/>
        </w:rPr>
      </w:pPr>
      <w:r>
        <w:rPr>
          <w:rFonts w:ascii="Arial" w:cs="Arial" w:eastAsia="Arial" w:hAnsi="Arial"/>
          <w:sz w:val="18"/>
          <w:szCs w:val="18"/>
          <w:i w:val="1"/>
          <w:iCs w:val="1"/>
          <w:color w:val="auto"/>
        </w:rPr>
        <w:t xml:space="preserve">Aircraft Maintenance. </w:t>
      </w:r>
      <w:r>
        <w:rPr>
          <w:rFonts w:ascii="Arial" w:cs="Arial" w:eastAsia="Arial" w:hAnsi="Arial"/>
          <w:sz w:val="18"/>
          <w:szCs w:val="18"/>
          <w:color w:val="auto"/>
        </w:rPr>
        <w:t>TIMESHAROR shall be solely responsible for securing scheduled and unscheduled maintenance, preventive maintenance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or otherwise necessary inspections of the Aircraft.</w:t>
      </w:r>
    </w:p>
    <w:p>
      <w:pPr>
        <w:spacing w:after="0" w:line="131" w:lineRule="exact"/>
        <w:rPr>
          <w:rFonts w:ascii="Arial" w:cs="Arial" w:eastAsia="Arial" w:hAnsi="Arial"/>
          <w:sz w:val="18"/>
          <w:szCs w:val="18"/>
          <w:color w:val="auto"/>
        </w:rPr>
      </w:pPr>
    </w:p>
    <w:p>
      <w:pPr>
        <w:ind w:left="632" w:hanging="176"/>
        <w:spacing w:after="0"/>
        <w:tabs>
          <w:tab w:leader="none" w:pos="632" w:val="left"/>
        </w:tabs>
        <w:numPr>
          <w:ilvl w:val="1"/>
          <w:numId w:val="32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Either party may terminate this Agreement for any reason upon written notice to the other, such termination to become effective ten</w:t>
      </w:r>
    </w:p>
    <w:p>
      <w:pPr>
        <w:spacing w:after="0" w:line="38" w:lineRule="exact"/>
        <w:rPr>
          <w:rFonts w:ascii="Arial" w:cs="Arial" w:eastAsia="Arial" w:hAnsi="Arial"/>
          <w:sz w:val="16"/>
          <w:szCs w:val="16"/>
          <w:color w:val="auto"/>
        </w:rPr>
      </w:pPr>
    </w:p>
    <w:p>
      <w:pPr>
        <w:ind w:left="-8" w:firstLine="8"/>
        <w:spacing w:after="0" w:line="261" w:lineRule="auto"/>
        <w:tabs>
          <w:tab w:leader="none" w:pos="32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days from the date of the notice; provided that this Agreement may be terminated on such shorter notice as may be required to comply with applicable laws, regulations or insurance requirements.</w:t>
      </w:r>
    </w:p>
    <w:p>
      <w:pPr>
        <w:spacing w:after="0" w:line="137" w:lineRule="exact"/>
        <w:rPr>
          <w:rFonts w:ascii="Arial" w:cs="Arial" w:eastAsia="Arial" w:hAnsi="Arial"/>
          <w:sz w:val="18"/>
          <w:szCs w:val="18"/>
          <w:color w:val="auto"/>
        </w:rPr>
      </w:pPr>
    </w:p>
    <w:p>
      <w:pPr>
        <w:ind w:left="-8" w:right="80" w:firstLine="464"/>
        <w:spacing w:after="0" w:line="259" w:lineRule="auto"/>
        <w:tabs>
          <w:tab w:leader="none" w:pos="624" w:val="left"/>
        </w:tabs>
        <w:numPr>
          <w:ilvl w:val="1"/>
          <w:numId w:val="326"/>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embodies the entire agreement and understanding of the parties and, as of its effective date, and terminates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supersedes all prior or independent agreements and understandings between the parties covering the same subject matter, including, without limitation, the prior Aircraft Time Sharing Agreement between the parties.</w:t>
      </w:r>
    </w:p>
    <w:p>
      <w:pPr>
        <w:spacing w:after="0" w:line="140" w:lineRule="exact"/>
        <w:rPr>
          <w:rFonts w:ascii="Arial" w:cs="Arial" w:eastAsia="Arial" w:hAnsi="Arial"/>
          <w:sz w:val="18"/>
          <w:szCs w:val="18"/>
          <w:color w:val="auto"/>
        </w:rPr>
      </w:pPr>
    </w:p>
    <w:p>
      <w:pPr>
        <w:ind w:left="632" w:hanging="176"/>
        <w:spacing w:after="0"/>
        <w:tabs>
          <w:tab w:leader="none" w:pos="632" w:val="left"/>
        </w:tabs>
        <w:numPr>
          <w:ilvl w:val="1"/>
          <w:numId w:val="326"/>
        </w:numPr>
        <w:rPr>
          <w:rFonts w:ascii="Arial" w:cs="Arial" w:eastAsia="Arial" w:hAnsi="Arial"/>
          <w:sz w:val="18"/>
          <w:szCs w:val="18"/>
          <w:color w:val="auto"/>
        </w:rPr>
      </w:pPr>
      <w:r>
        <w:rPr>
          <w:rFonts w:ascii="Arial" w:cs="Arial" w:eastAsia="Arial" w:hAnsi="Arial"/>
          <w:sz w:val="18"/>
          <w:szCs w:val="18"/>
          <w:i w:val="1"/>
          <w:iCs w:val="1"/>
          <w:color w:val="auto"/>
        </w:rPr>
        <w:t>TRUTH IN LEASING STATEMENT PURSUANT TO SECTION 91.23 OF THE FEDERAL AVIATION REGULATIONS:</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326"/>
        </w:numPr>
        <w:rPr>
          <w:rFonts w:ascii="Arial" w:cs="Arial" w:eastAsia="Arial" w:hAnsi="Arial"/>
          <w:sz w:val="16"/>
          <w:szCs w:val="16"/>
          <w:color w:val="auto"/>
        </w:rPr>
      </w:pPr>
      <w:r>
        <w:rPr>
          <w:rFonts w:ascii="Arial" w:cs="Arial" w:eastAsia="Arial" w:hAnsi="Arial"/>
          <w:sz w:val="16"/>
          <w:szCs w:val="16"/>
          <w:color w:val="auto"/>
        </w:rPr>
        <w:t>THE AIRCRAFT HAVE BEEN INSPECTED AND MAINTAINED WITHIN THE 12-MONTH PERIOD PRECEDING THE DATE OF</w:t>
      </w:r>
    </w:p>
    <w:p>
      <w:pPr>
        <w:spacing w:after="0" w:line="18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80" w:right="339" w:bottom="1440" w:gutter="0" w:footer="0" w:header="0"/>
        </w:sectPr>
      </w:pPr>
    </w:p>
    <w:bookmarkStart w:id="362" w:name="page363"/>
    <w:bookmarkEnd w:id="362"/>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IN ACCORDANCE WITH THE PROVISIONS OF FEDERAL AVIATION REGULATIONS PART 91 AND TIMESHAROR CERTIFIES THAT ALL APPLICABLE REQUIREMENTS FOR THE AIRCRAFT’S MAINTENANCE AND INSPECTION UNDER PART 91 OF THE FEDERAL AVIATION REGULATIONS HAVE BEEN MET AND ARE VALID FOR THE OPERATIONS TO BE CONDUCTED UNDER THIS AGREEMENT.</w:t>
      </w:r>
    </w:p>
    <w:p>
      <w:pPr>
        <w:spacing w:after="0" w:line="107" w:lineRule="exact"/>
        <w:rPr>
          <w:sz w:val="20"/>
          <w:szCs w:val="20"/>
          <w:color w:val="auto"/>
        </w:rPr>
      </w:pPr>
    </w:p>
    <w:p>
      <w:pPr>
        <w:ind w:right="80" w:firstLine="921"/>
        <w:spacing w:after="0" w:line="256" w:lineRule="auto"/>
        <w:tabs>
          <w:tab w:leader="none" w:pos="1162"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TIMESHAROR, WHOSE ADDRESS AND AUTHORIZED SIGNATURE APPEAR BELOW, AGREES, CERTIFIES AND ACKNOWLEDGES THAT WHENEVER THE AIRCRAFT ARE OPERATED UNDER THIS AGREEMENT, TIMESHAROR SHALL BE KNOWN AS, CONSIDERED AND SHALL IN FACT BE THE OPERATOR OF THE AIRCRAFT AND THAT TIMESHAROR UNDERSTANDS ITS RESPONSIBILITIES FOR COMPLIANCE WITH APPLICABLE FEDERAL AVIATION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TIMESHAROR: Comcast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Address: One Comcast Center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Philadelphia, PA 19103</w:t>
      </w:r>
    </w:p>
    <w:p>
      <w:pPr>
        <w:spacing w:after="0" w:line="178" w:lineRule="exact"/>
        <w:rPr>
          <w:sz w:val="20"/>
          <w:szCs w:val="20"/>
          <w:color w:val="auto"/>
        </w:rPr>
      </w:pPr>
    </w:p>
    <w:p>
      <w:pPr>
        <w:ind w:right="460" w:firstLine="921"/>
        <w:spacing w:after="0" w:line="254" w:lineRule="auto"/>
        <w:tabs>
          <w:tab w:leader="none" w:pos="11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PARTIES UNDERSTAND THAT AN EXPLANATION OF FACTORS AND PERTINENT FEDERAL AVIATION REGULATIONS BEARING ON OPERATIONAL CONTROL CAN BE OBTAINED FROM THE NEAREST FAA FLIGHT STANDARDS DISTRICT OFFICE. TIMESHAROR FURTHER CERTIFIES THAT IT WILL SEND, OR CAUSE TO BE SENT, A TRUE COPY OF THIS AGREEMENT TO: FEDERAL AVIATION ADMINISTRATION, AIRCRAFT REGISTRATION BRANCH, ATTN. TECHNICAL SECTION, P.O. BOX 25724, OKLAHOMA CITY, OKLAHOMA 73125, WITHIN 24 HOURS AFTER ITS EXECUTION, AS REQUIRED BY SECTION 91.23(c)(1) OF THE FEDERAL AVIATION REGULATIONS.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WITNESS WHEREOF, the parties hereto have caused this Agreement to be duly executed on the date first above written. The persons signing below warrant their authority to sign.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TIMESHAROR:</w:t>
            </w: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TIMESHAREE:</w:t>
            </w: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Comcast Corporation</w:t>
            </w: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448"/>
        </w:trPr>
        <w:tc>
          <w:tcPr>
            <w:tcW w:w="562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ind w:left="200"/>
              <w:spacing w:after="0"/>
              <w:rPr>
                <w:sz w:val="20"/>
                <w:szCs w:val="20"/>
                <w:color w:val="auto"/>
              </w:rPr>
            </w:pPr>
            <w:r>
              <w:rPr>
                <w:rFonts w:ascii="Arial" w:cs="Arial" w:eastAsia="Arial" w:hAnsi="Arial"/>
                <w:sz w:val="18"/>
                <w:szCs w:val="18"/>
                <w:color w:val="auto"/>
              </w:rPr>
              <w:t>By:</w:t>
            </w:r>
          </w:p>
        </w:tc>
      </w:tr>
      <w:tr>
        <w:trPr>
          <w:trHeight w:val="215"/>
        </w:trPr>
        <w:tc>
          <w:tcPr>
            <w:tcW w:w="4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60" w:type="dxa"/>
            <w:vAlign w:val="bottom"/>
          </w:tcPr>
          <w:p>
            <w:pPr>
              <w:spacing w:after="0"/>
              <w:rPr>
                <w:sz w:val="18"/>
                <w:szCs w:val="18"/>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22"/>
        </w:trPr>
        <w:tc>
          <w:tcPr>
            <w:tcW w:w="4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c>
          <w:tcPr>
            <w:tcW w:w="5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63" w:name="page364"/>
    <w:bookmarkEnd w:id="363"/>
    <w:p>
      <w:pPr>
        <w:jc w:val="center"/>
        <w:ind w:righ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Aircraft</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Aircraft</w:t>
            </w:r>
          </w:p>
        </w:tc>
        <w:tc>
          <w:tcPr>
            <w:tcW w:w="298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FAA Registration No.</w:t>
            </w:r>
          </w:p>
        </w:tc>
        <w:tc>
          <w:tcPr>
            <w:tcW w:w="2340" w:type="dxa"/>
            <w:vAlign w:val="bottom"/>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Manufacturer Serial No.</w:t>
            </w:r>
          </w:p>
        </w:tc>
      </w:tr>
      <w:tr>
        <w:trPr>
          <w:trHeight w:val="201"/>
        </w:trPr>
        <w:tc>
          <w:tcPr>
            <w:tcW w:w="240" w:type="dxa"/>
            <w:vAlign w:val="bottom"/>
          </w:tcPr>
          <w:p>
            <w:pPr>
              <w:ind w:left="2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98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2"/>
              <w:spacing w:after="0" w:line="201" w:lineRule="exact"/>
              <w:rPr>
                <w:sz w:val="20"/>
                <w:szCs w:val="20"/>
                <w:color w:val="auto"/>
              </w:rPr>
            </w:pPr>
            <w:r>
              <w:rPr>
                <w:rFonts w:ascii="Arial" w:cs="Arial" w:eastAsia="Arial" w:hAnsi="Arial"/>
                <w:sz w:val="18"/>
                <w:szCs w:val="18"/>
                <w:color w:val="auto"/>
              </w:rPr>
              <w:t>]</w:t>
            </w:r>
          </w:p>
        </w:tc>
        <w:tc>
          <w:tcPr>
            <w:tcW w:w="2340" w:type="dxa"/>
            <w:vAlign w:val="bottom"/>
          </w:tcPr>
          <w:p>
            <w:pPr>
              <w:spacing w:after="0"/>
              <w:rPr>
                <w:sz w:val="17"/>
                <w:szCs w:val="17"/>
                <w:color w:val="auto"/>
              </w:rPr>
            </w:pPr>
          </w:p>
        </w:tc>
        <w:tc>
          <w:tcPr>
            <w:tcW w:w="760" w:type="dxa"/>
            <w:vAlign w:val="bottom"/>
          </w:tcPr>
          <w:p>
            <w:pPr>
              <w:jc w:val="right"/>
              <w:ind w:right="102"/>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432"/>
              <w:spacing w:after="0" w:line="201" w:lineRule="exact"/>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1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22"/>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31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365"/>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4</w:t>
            </w:r>
          </w:p>
        </w:tc>
        <w:tc>
          <w:tcPr>
            <w:tcW w:w="2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9160"/>
          </w:cols>
          <w:pgMar w:left="1440" w:top="280" w:right="1299" w:bottom="1440" w:gutter="0" w:footer="0" w:header="0"/>
        </w:sectPr>
      </w:pPr>
    </w:p>
    <w:bookmarkStart w:id="364" w:name="page365"/>
    <w:bookmarkEnd w:id="3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SHARING AGREEMENT</w:t>
      </w:r>
    </w:p>
    <w:p>
      <w:pPr>
        <w:sectPr>
          <w:pgSz w:w="11900" w:h="16838" w:orient="portrait"/>
          <w:cols w:equalWidth="0" w:num="1">
            <w:col w:w="11400"/>
          </w:cols>
          <w:pgMar w:left="240" w:top="274" w:right="259" w:bottom="1440" w:gutter="0" w:footer="0" w:header="0"/>
        </w:sectPr>
      </w:pP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Time Sharing Agreement (this “Agreement”) is dated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under the laws of the Commonwealth of Pennsylvania (“Company”), and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400" w:hanging="578"/>
        <w:spacing w:after="0" w:line="268" w:lineRule="auto"/>
        <w:rPr>
          <w:sz w:val="20"/>
          <w:szCs w:val="20"/>
          <w:color w:val="auto"/>
        </w:rPr>
      </w:pPr>
      <w:r>
        <w:rPr>
          <w:rFonts w:ascii="Arial" w:cs="Arial" w:eastAsia="Arial" w:hAnsi="Arial"/>
          <w:sz w:val="18"/>
          <w:szCs w:val="18"/>
          <w:color w:val="auto"/>
        </w:rPr>
        <w:t>], by and between Comcast Corporation, a corporation organized and existing ], an individual (“Timesharee”).</w:t>
      </w:r>
    </w:p>
    <w:p>
      <w:pPr>
        <w:spacing w:after="0" w:line="200" w:lineRule="exact"/>
        <w:rPr>
          <w:sz w:val="20"/>
          <w:szCs w:val="20"/>
          <w:color w:val="auto"/>
        </w:rPr>
      </w:pPr>
    </w:p>
    <w:p>
      <w:pPr>
        <w:sectPr>
          <w:pgSz w:w="11900" w:h="16838" w:orient="portrait"/>
          <w:cols w:equalWidth="0" w:num="2">
            <w:col w:w="5420" w:space="720"/>
            <w:col w:w="5260"/>
          </w:cols>
          <w:pgMar w:left="240" w:top="274" w:right="259" w:bottom="1440" w:gutter="0" w:footer="0" w:header="0"/>
          <w:type w:val="continuous"/>
        </w:sectPr>
      </w:pP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spacing w:after="0"/>
        <w:tabs>
          <w:tab w:leader="none" w:pos="9840" w:val="left"/>
        </w:tabs>
        <w:rPr>
          <w:sz w:val="20"/>
          <w:szCs w:val="20"/>
          <w:color w:val="auto"/>
        </w:rPr>
      </w:pPr>
      <w:r>
        <w:rPr>
          <w:rFonts w:ascii="Arial" w:cs="Arial" w:eastAsia="Arial" w:hAnsi="Arial"/>
          <w:sz w:val="18"/>
          <w:szCs w:val="18"/>
          <w:color w:val="auto"/>
        </w:rPr>
        <w:t>WHEREAS, Company is the registered owner of an undivided twelve and one-half percent (12.5%) interest in that certain [</w:t>
      </w:r>
      <w:r>
        <w:rPr>
          <w:sz w:val="20"/>
          <w:szCs w:val="20"/>
          <w:color w:val="auto"/>
        </w:rPr>
        <w:tab/>
      </w:r>
      <w:r>
        <w:rPr>
          <w:rFonts w:ascii="Arial" w:cs="Arial" w:eastAsia="Arial" w:hAnsi="Arial"/>
          <w:sz w:val="16"/>
          <w:szCs w:val="16"/>
          <w:color w:val="auto"/>
        </w:rPr>
        <w:t>] civil aircraft bearing</w:t>
      </w:r>
    </w:p>
    <w:p>
      <w:pPr>
        <w:spacing w:after="0" w:line="15" w:lineRule="exact"/>
        <w:rPr>
          <w:sz w:val="20"/>
          <w:szCs w:val="20"/>
          <w:color w:val="auto"/>
        </w:rPr>
      </w:pPr>
    </w:p>
    <w:p>
      <w:pPr>
        <w:spacing w:after="0"/>
        <w:tabs>
          <w:tab w:leader="none" w:pos="3260" w:val="left"/>
          <w:tab w:leader="none" w:pos="6520" w:val="left"/>
        </w:tabs>
        <w:rPr>
          <w:sz w:val="20"/>
          <w:szCs w:val="20"/>
          <w:color w:val="auto"/>
        </w:rPr>
      </w:pPr>
      <w:r>
        <w:rPr>
          <w:rFonts w:ascii="Arial" w:cs="Arial" w:eastAsia="Arial" w:hAnsi="Arial"/>
          <w:sz w:val="18"/>
          <w:szCs w:val="18"/>
          <w:color w:val="auto"/>
        </w:rPr>
        <w:t>United States Registration Number [</w:t>
      </w:r>
      <w:r>
        <w:rPr>
          <w:sz w:val="20"/>
          <w:szCs w:val="20"/>
          <w:color w:val="auto"/>
        </w:rPr>
        <w:tab/>
      </w:r>
      <w:r>
        <w:rPr>
          <w:rFonts w:ascii="Arial" w:cs="Arial" w:eastAsia="Arial" w:hAnsi="Arial"/>
          <w:sz w:val="18"/>
          <w:szCs w:val="18"/>
          <w:color w:val="auto"/>
        </w:rPr>
        <w:t>] and manufacturer’s serial number [</w:t>
      </w:r>
      <w:r>
        <w:rPr>
          <w:sz w:val="20"/>
          <w:szCs w:val="20"/>
          <w:color w:val="auto"/>
        </w:rPr>
        <w:tab/>
      </w:r>
      <w:r>
        <w:rPr>
          <w:rFonts w:ascii="Arial" w:cs="Arial" w:eastAsia="Arial" w:hAnsi="Arial"/>
          <w:sz w:val="16"/>
          <w:szCs w:val="16"/>
          <w:color w:val="auto"/>
        </w:rPr>
        <w:t>] (the “Aircraft”);</w:t>
      </w:r>
    </w:p>
    <w:p>
      <w:pPr>
        <w:spacing w:after="0" w:line="165"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WHEREAS, pursuant to a Fractional Ownership Program Management Services Agreement, dated March 18, 2011 (the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between Company and NetJets Aviation, Inc. (the “Manager”), Company employs a management company to manage and maintain the Aircraft with a fully qualified crew;</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Aircraft is subject to a Master Dry-Lease Aircraft Exchange Agreement, dated March 18, 2011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the Company, NetJets Services, Inc. and certain other owners of aircraft;</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WHEREAS, pursuant to the Exchange Agreement and Management Agreement, the Manager has the option of providing the Aircraft, or a similar aircraft, to be operated by Company consistent with the terms and conditions of the Exchange Agreement and Management Agreement; and the term “Aircraft,” when used herein, shall include the Aircraft or any aircraft made available by Manager to Company under the Exchange Agreement and Management Agreement;</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WHEREAS, Timesharee desires to lease the Aircraft from Company from time to time on a time-sharing basis as defined in Sections 91.501(b)(6), 91.501(c)(1) and 91.501(d) of the Federal Aviation Regulations (“FARs”);</w:t>
      </w:r>
    </w:p>
    <w:p>
      <w:pPr>
        <w:spacing w:after="0" w:line="132" w:lineRule="exact"/>
        <w:rPr>
          <w:sz w:val="20"/>
          <w:szCs w:val="20"/>
          <w:color w:val="auto"/>
        </w:rPr>
      </w:pPr>
    </w:p>
    <w:p>
      <w:pPr>
        <w:ind w:left="460" w:right="840"/>
        <w:spacing w:after="0" w:line="493" w:lineRule="auto"/>
        <w:rPr>
          <w:sz w:val="20"/>
          <w:szCs w:val="20"/>
          <w:color w:val="auto"/>
        </w:rPr>
      </w:pPr>
      <w:r>
        <w:rPr>
          <w:rFonts w:ascii="Arial" w:cs="Arial" w:eastAsia="Arial" w:hAnsi="Arial"/>
          <w:sz w:val="16"/>
          <w:szCs w:val="16"/>
          <w:color w:val="auto"/>
        </w:rPr>
        <w:t>WHEREAS, Company reserves the right to make the Aircraft available to Timesharee on terms other than those contained herein; and WHEREAS, Section FAR 91.501(b)(10) authorizes fractional owners to enter into time sharing agreements authorized by Section 91.501(b)(6).</w:t>
      </w: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foregoing, and the other promises contained herein, the parties, intending to be legally bound hereby, agree as follows:</w:t>
      </w:r>
    </w:p>
    <w:p>
      <w:pPr>
        <w:spacing w:after="0" w:line="51" w:lineRule="exact"/>
        <w:rPr>
          <w:sz w:val="20"/>
          <w:szCs w:val="20"/>
          <w:color w:val="auto"/>
        </w:rPr>
      </w:pPr>
    </w:p>
    <w:p>
      <w:pPr>
        <w:ind w:right="100" w:firstLine="464"/>
        <w:spacing w:after="0" w:line="306" w:lineRule="auto"/>
        <w:tabs>
          <w:tab w:leader="none" w:pos="632"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Company agrees to lease the Aircraft to Timesharee on a non-exclusive basis from time to time as mutually agreed between the parties pursuant to the provisions of FAR 91.501(c)(1) and to provide a fully qualified flight crew for all operations conducted under this Agreement. This Agreement shall be effective on the date set forth above and shall remain in effect until terminated by either party upon ten (10) days prior written notice to the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type w:val="continuous"/>
        </w:sectPr>
      </w:pPr>
    </w:p>
    <w:bookmarkStart w:id="365" w:name="page366"/>
    <w:bookmarkEnd w:id="365"/>
    <w:p>
      <w:pPr>
        <w:ind w:right="320" w:firstLine="464"/>
        <w:spacing w:after="0" w:line="259" w:lineRule="auto"/>
        <w:tabs>
          <w:tab w:leader="none" w:pos="632"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flight, including if so determined by Company, positioning, de-positioning, or intervening ferry flights conducted under this Agreement, Timesharee shall pay Company the amounts determined pursuant to Company’s aircraft use policy but in no event in excess of the amounts permitted by FAR 91.501(d).</w:t>
      </w:r>
    </w:p>
    <w:p>
      <w:pPr>
        <w:spacing w:after="0" w:line="140" w:lineRule="exact"/>
        <w:rPr>
          <w:rFonts w:ascii="Arial" w:cs="Arial" w:eastAsia="Arial" w:hAnsi="Arial"/>
          <w:sz w:val="18"/>
          <w:szCs w:val="18"/>
          <w:color w:val="auto"/>
        </w:rPr>
      </w:pPr>
    </w:p>
    <w:p>
      <w:pPr>
        <w:ind w:firstLine="464"/>
        <w:spacing w:after="0" w:line="255" w:lineRule="auto"/>
        <w:tabs>
          <w:tab w:leader="none" w:pos="63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Timesharee will provide Company with requests for flight time and proposed flight schedules as far in advance of any given flight as possible, and in any case, at least 24 hours in advance of Timesharee’s planned departure (unless Company agrees to a shorter notice in a particular case in its discretion). Requests for flight time shall be in a form, whether written or oral, mutually convenient to, and agreed upon by the parties. In addition to the proposed schedules and flight times, Timesharee shall provide at least the following information for each proposed flight prior to scheduled departure as required by the Company or Company’s flight crew:</w:t>
      </w:r>
    </w:p>
    <w:p>
      <w:pPr>
        <w:spacing w:after="0" w:line="61"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proposed departure point;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date and time of flight;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number, name, and relationship to the Timesharee of anticipated passengers;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nature and extent of luggage and/or cargo to be carried;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date and time of return flight, if any;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any other information concerning the proposed flight that may be pertinent or required by Company or Company’s flight crew.</w:t>
      </w:r>
    </w:p>
    <w:p>
      <w:pPr>
        <w:spacing w:after="0" w:line="171"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Company shall have final authority over the scheduling of the Aircraft, provided, however, that Company will use all reasonable efforts to accommodate Timesharee’s requests and to avoid conflicts in scheduling. It is understood that Company shall not be obligated to retain or contract for additional flight crew or maintenance personnel or equipment in order to accommodate Timesharee’s schedule requests.</w:t>
      </w:r>
    </w:p>
    <w:p>
      <w:pPr>
        <w:spacing w:after="0" w:line="140" w:lineRule="exact"/>
        <w:rPr>
          <w:rFonts w:ascii="Arial" w:cs="Arial" w:eastAsia="Arial" w:hAnsi="Arial"/>
          <w:sz w:val="18"/>
          <w:szCs w:val="18"/>
          <w:color w:val="auto"/>
        </w:rPr>
      </w:pPr>
    </w:p>
    <w:p>
      <w:pPr>
        <w:ind w:right="20" w:firstLine="464"/>
        <w:spacing w:after="0" w:line="291" w:lineRule="auto"/>
        <w:tabs>
          <w:tab w:leader="none" w:pos="63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Consistent with Company’s operational control responsibilities set forth in Section 7 below, Company shall be solely responsible for causing the Manager to secure maintenance, preventive maintenance and required or otherwise necessary inspections on the Aircraft, and shall take such requirements into account in scheduling the Aircraft. No period of maintenance, preventative maintenance or inspection shall be delayed or postponed for the purpose of scheduling the Aircraft, unless said maintenance or inspection can be safely conducted at a later time in compliance with all applicable laws and regulations, and within the sound discretion of the pilot in command. The pilot in command shall have final and complete authority to cancel any flight for any reason or condition that in his or her judgment would compromise the safety of the flight.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366" w:name="page367"/>
    <w:bookmarkEnd w:id="366"/>
    <w:p>
      <w:pPr>
        <w:ind w:left="-20" w:right="140" w:firstLine="464"/>
        <w:spacing w:after="0" w:line="256" w:lineRule="auto"/>
        <w:tabs>
          <w:tab w:leader="none" w:pos="612" w:val="left"/>
        </w:tabs>
        <w:numPr>
          <w:ilvl w:val="0"/>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each flight conducted under this Agreement, the Aircraft will be under the command of a qualified flight crew. All flight operations by or on behalf of the Timesharee under this Agreement shall be conducted under Part 91 of the FAR. Company shall have and exercise exclusive operational control of the Aircraft during all phases of all flights performed under this Agreement, including, without limitation, all flights during which Timesharee, and/or his or her guests or designees are on-board the Aircraft.</w:t>
      </w:r>
    </w:p>
    <w:p>
      <w:pPr>
        <w:spacing w:after="0" w:line="143" w:lineRule="exact"/>
        <w:rPr>
          <w:rFonts w:ascii="Arial" w:cs="Arial" w:eastAsia="Arial" w:hAnsi="Arial"/>
          <w:sz w:val="18"/>
          <w:szCs w:val="18"/>
          <w:color w:val="auto"/>
        </w:rPr>
      </w:pPr>
    </w:p>
    <w:p>
      <w:pPr>
        <w:ind w:left="-20" w:right="240" w:firstLine="464"/>
        <w:spacing w:after="0" w:line="298" w:lineRule="auto"/>
        <w:tabs>
          <w:tab w:leader="none" w:pos="61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Timesharee specifically agrees that the flight crew, in its sole discretion, may terminate any flight, refuse to commence any flight, or take other action which in the considered judgment of the pilot in command is necessitated by considerations of safety. No such action of the pilot in command shall create or support any liability for loss, injury, damage or delay to Timesharee or any other person. The parties further agree that Company shall not be liable for delay or failure to furnish the Aircraft and crew pursuant to this Agreement for any reason whatsoever.</w:t>
      </w:r>
    </w:p>
    <w:p>
      <w:pPr>
        <w:spacing w:after="0" w:line="112" w:lineRule="exact"/>
        <w:rPr>
          <w:rFonts w:ascii="Arial" w:cs="Arial" w:eastAsia="Arial" w:hAnsi="Arial"/>
          <w:sz w:val="16"/>
          <w:szCs w:val="16"/>
          <w:color w:val="auto"/>
        </w:rPr>
      </w:pPr>
    </w:p>
    <w:p>
      <w:pPr>
        <w:ind w:left="620" w:hanging="176"/>
        <w:spacing w:after="0"/>
        <w:tabs>
          <w:tab w:leader="none" w:pos="6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Timesharee warrants that:</w:t>
      </w:r>
    </w:p>
    <w:p>
      <w:pPr>
        <w:spacing w:after="0" w:line="90" w:lineRule="exact"/>
        <w:rPr>
          <w:rFonts w:ascii="Arial" w:cs="Arial" w:eastAsia="Arial" w:hAnsi="Arial"/>
          <w:sz w:val="18"/>
          <w:szCs w:val="18"/>
          <w:color w:val="auto"/>
        </w:rPr>
      </w:pPr>
    </w:p>
    <w:p>
      <w:pPr>
        <w:ind w:left="-20" w:right="120" w:firstLine="921"/>
        <w:spacing w:after="0" w:line="259" w:lineRule="auto"/>
        <w:tabs>
          <w:tab w:leader="none" w:pos="11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he or she will use the Aircraft for and on account of his or her own business or personal use only, and will not use the Aircraft for the purpose of providing transportation of passengers or cargo in air commerce for compensation or hire or in violation of the Management Agreement, the Exchange Agreement, applicable FARs or any other agreements entered into by Company relating to the Aircraft;</w:t>
      </w:r>
    </w:p>
    <w:p>
      <w:pPr>
        <w:spacing w:after="0" w:line="140" w:lineRule="exact"/>
        <w:rPr>
          <w:rFonts w:ascii="Arial" w:cs="Arial" w:eastAsia="Arial" w:hAnsi="Arial"/>
          <w:sz w:val="18"/>
          <w:szCs w:val="18"/>
          <w:color w:val="auto"/>
        </w:rPr>
      </w:pPr>
    </w:p>
    <w:p>
      <w:pPr>
        <w:ind w:left="-20" w:right="20" w:firstLine="921"/>
        <w:spacing w:after="0" w:line="256" w:lineRule="auto"/>
        <w:tabs>
          <w:tab w:leader="none" w:pos="114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he or she will refrain from incurring any mechanics or other lien in connection with inspection, preventative maintenance, maintenance or storage of the Aircraft, whether permissible or impermissible under this Agreement, nor shall there be any attempt by Timesharee to convey, mortgage, assign, lease or any way alienate the Aircraft or create any kind of lien or security interest involving the Aircraft or do anything or take any action that might mature into such a lien; and</w:t>
      </w:r>
    </w:p>
    <w:p>
      <w:pPr>
        <w:spacing w:after="0" w:line="143" w:lineRule="exact"/>
        <w:rPr>
          <w:rFonts w:ascii="Arial" w:cs="Arial" w:eastAsia="Arial" w:hAnsi="Arial"/>
          <w:sz w:val="18"/>
          <w:szCs w:val="18"/>
          <w:color w:val="auto"/>
        </w:rPr>
      </w:pPr>
    </w:p>
    <w:p>
      <w:pPr>
        <w:ind w:left="-20" w:firstLine="921"/>
        <w:spacing w:after="0" w:line="370" w:lineRule="auto"/>
        <w:tabs>
          <w:tab w:leader="none" w:pos="1132" w:val="left"/>
        </w:tabs>
        <w:numPr>
          <w:ilvl w:val="1"/>
          <w:numId w:val="331"/>
        </w:numPr>
        <w:rPr>
          <w:rFonts w:ascii="Arial" w:cs="Arial" w:eastAsia="Arial" w:hAnsi="Arial"/>
          <w:sz w:val="15"/>
          <w:szCs w:val="15"/>
          <w:color w:val="auto"/>
        </w:rPr>
      </w:pPr>
      <w:r>
        <w:rPr>
          <w:rFonts w:ascii="Arial" w:cs="Arial" w:eastAsia="Arial" w:hAnsi="Arial"/>
          <w:sz w:val="15"/>
          <w:szCs w:val="15"/>
          <w:color w:val="auto"/>
        </w:rPr>
        <w:t>during the term of this Agreement, he or she will, and will cause any passengers in his party to, abide by and conform to all such laws, governmental and airport orders, rules and regulations, as shall from time to time be in effect relating in any way to the use of the Aircraft by a timesharing lessee.</w:t>
      </w:r>
    </w:p>
    <w:p>
      <w:pPr>
        <w:spacing w:after="0" w:line="62" w:lineRule="exact"/>
        <w:rPr>
          <w:rFonts w:ascii="Arial" w:cs="Arial" w:eastAsia="Arial" w:hAnsi="Arial"/>
          <w:sz w:val="15"/>
          <w:szCs w:val="15"/>
          <w:color w:val="auto"/>
        </w:rPr>
      </w:pPr>
    </w:p>
    <w:p>
      <w:pPr>
        <w:ind w:left="620" w:hanging="176"/>
        <w:spacing w:after="0"/>
        <w:tabs>
          <w:tab w:leader="none" w:pos="62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Company assumes and shall bear the entire risk of loss, theft, confiscation, damage to, or destruction of the Aircraft from any cause whatsoever.</w:t>
      </w:r>
    </w:p>
    <w:p>
      <w:pPr>
        <w:spacing w:after="0" w:line="194" w:lineRule="exact"/>
        <w:rPr>
          <w:rFonts w:ascii="Arial" w:cs="Arial" w:eastAsia="Arial" w:hAnsi="Arial"/>
          <w:sz w:val="16"/>
          <w:szCs w:val="16"/>
          <w:color w:val="auto"/>
        </w:rPr>
      </w:pPr>
    </w:p>
    <w:p>
      <w:pPr>
        <w:ind w:left="700" w:hanging="256"/>
        <w:spacing w:after="0"/>
        <w:tabs>
          <w:tab w:leader="none" w:pos="7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For purposes of this Agreement, the permanent base of operation of the Aircraft shall be Columbus, Ohio.</w:t>
      </w:r>
    </w:p>
    <w:p>
      <w:pPr>
        <w:spacing w:after="0" w:line="171" w:lineRule="exact"/>
        <w:rPr>
          <w:rFonts w:ascii="Arial" w:cs="Arial" w:eastAsia="Arial" w:hAnsi="Arial"/>
          <w:sz w:val="18"/>
          <w:szCs w:val="18"/>
          <w:color w:val="auto"/>
        </w:rPr>
      </w:pPr>
    </w:p>
    <w:p>
      <w:pPr>
        <w:ind w:left="-20" w:right="260" w:firstLine="464"/>
        <w:spacing w:after="0" w:line="332" w:lineRule="auto"/>
        <w:tabs>
          <w:tab w:leader="none" w:pos="693" w:val="left"/>
        </w:tabs>
        <w:numPr>
          <w:ilvl w:val="0"/>
          <w:numId w:val="331"/>
        </w:numPr>
        <w:rPr>
          <w:rFonts w:ascii="Arial" w:cs="Arial" w:eastAsia="Arial" w:hAnsi="Arial"/>
          <w:sz w:val="16"/>
          <w:szCs w:val="16"/>
          <w:color w:val="auto"/>
        </w:rPr>
      </w:pPr>
      <w:r>
        <w:rPr>
          <w:rFonts w:ascii="Arial" w:cs="Arial" w:eastAsia="Arial" w:hAnsi="Arial"/>
          <w:sz w:val="16"/>
          <w:szCs w:val="16"/>
          <w:color w:val="auto"/>
        </w:rPr>
        <w:t>Neither this Agreement nor any party’s interest herein shall be assignable to any other party whatsoever. This Agreement shall inure to the benefit of and be binding upon the parties hereto, and their respective heirs, representatives and successors.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9" w:right="239" w:bottom="1440" w:gutter="0" w:footer="0" w:header="0"/>
        </w:sectPr>
      </w:pPr>
    </w:p>
    <w:bookmarkStart w:id="367" w:name="page368"/>
    <w:bookmarkEnd w:id="367"/>
    <w:p>
      <w:pPr>
        <w:ind w:right="60" w:firstLine="464"/>
        <w:spacing w:after="0" w:line="268" w:lineRule="auto"/>
        <w:tabs>
          <w:tab w:leader="none" w:pos="7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constitutes the entire agreement of the parties with respect to the time share of the Aircraft as set forth herein. This Agreement shall be governed by, and construed in accordance with, the laws of the Commonwealth of Pennsylvania.</w:t>
      </w:r>
    </w:p>
    <w:p>
      <w:pPr>
        <w:spacing w:after="0" w:line="131" w:lineRule="exact"/>
        <w:rPr>
          <w:rFonts w:ascii="Arial" w:cs="Arial" w:eastAsia="Arial" w:hAnsi="Arial"/>
          <w:sz w:val="18"/>
          <w:szCs w:val="18"/>
          <w:color w:val="auto"/>
        </w:rPr>
      </w:pPr>
    </w:p>
    <w:p>
      <w:pPr>
        <w:ind w:right="400" w:firstLine="464"/>
        <w:spacing w:after="0" w:line="268" w:lineRule="auto"/>
        <w:tabs>
          <w:tab w:leader="none" w:pos="7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This Agreement is subject and subordinate to the rights and interests of any person or entity providing financing in respect of the Aircraft, whether pursuant to a loan, lease or other financing arrangement, and to the terms of any documents evidencing the same.</w:t>
      </w:r>
    </w:p>
    <w:p>
      <w:pPr>
        <w:spacing w:after="0" w:line="131" w:lineRule="exact"/>
        <w:rPr>
          <w:rFonts w:ascii="Arial" w:cs="Arial" w:eastAsia="Arial" w:hAnsi="Arial"/>
          <w:sz w:val="18"/>
          <w:szCs w:val="18"/>
          <w:color w:val="auto"/>
        </w:rPr>
      </w:pPr>
    </w:p>
    <w:p>
      <w:pPr>
        <w:jc w:val="both"/>
        <w:ind w:right="280" w:firstLine="464"/>
        <w:spacing w:after="0" w:line="259" w:lineRule="auto"/>
        <w:tabs>
          <w:tab w:leader="none" w:pos="7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Company shall be solely responsible for causing Manager to maintain in full force and effect throughout the term of this Agreement aircraft liability insurance in respect of the Aircraft in an amount consistent with the terms of the Management Agreement. Company shall cause Manager to have Timesharee named as an additional insured on such liability policy.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TRUTH IN LEASING STATEMENT</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AIRCRAFT, [ ] aircraft bearing MANUFACTURER’S SERIAL NUMBER [ ] CURRENTLY REGISTERED WITH THE FEDERAL AVIATION ADMINISTRATION AS [ ] , HAS BEEN MAINTAINED AND INSPECTED UNDER FAR PART 91.409(f)(3) AND PART 135 DURING THE 12 MONTH PERIOD PRECEDING THE DATE OF THIS LEASE.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COMPANY CERTIFIES THAT (BASED UPON THE REPRESENTATION OF THE MANAGER OF THE AIRCRAFT) THAT THE AIRCRAFT IS IN COMPLIANCE WITH ALL APPLICABLE MAINTENANCE AND INSPECTION REQUIREMENTS FOR OPERATIONS TO BE CONDUCTED UNDER THIS LEASE. THE AIRCRAFT WILL BE MAINTAINED AND INSPECTED UNDER FAR PART 91.409(f)(3) AND PART 135 FOR OPERATIONS TO BE CONDUCTED UNDER THIS LEASE.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COMCAST CORPORATION, A PENNSYLVANIA CORPORATION, CERTIFIES AND ACKNOWLEDGES THAT WHENEVER THE AIRCRAFT IS OPERATED UNDER THIS AGREEMENT, COMCAST CORPORATION SHALL BE KNOWN AS, CONSIDERED AND SHALL IN FACT BE RESPONSIBLE FOR OPERATIONAL CONTROL OF THE AIRCRAFT IDENTIFIED AND TO BE OPERATED UNDER THIS LEASE. EACH PARTY CERTIFIES THAT IT UNDERSTANDS ITS RESPECTIVE RESPONSIBILITIES, IF ANY, FOR COMPLIANCE WITH APPLICABLE FEDERAL AVIATION REGULATIONS. I, THE UNDERSIGNED, Arthur R. Block, AS SENIOR VICE PRESIDENT OF COMCAST CORPORATION, CERTIFY THAT COMCAST CORPORATION IS RESPONSIBLE FOR OPERATIONAL CONTROL OF THE AIRCRAFT FOR OPERATIONS TO BE CONDUCTED UNDER THIS LEASE AND THAT IT UNDERSTANDS ITS RESPONSIBILITIES FOR COMPLIANCE WITH APPLICABLE FEDERAL AVIATION REGULATIONS.</w:t>
      </w:r>
    </w:p>
    <w:p>
      <w:pPr>
        <w:spacing w:after="0" w:line="118"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EACH PARTY UNDERSTANDS THAT AN EXPLANATION OF FACTORS BEARING ON OPERATIONAL CONTROL AND PERTINENT FEDERAL AVIATION REGULATIONS CAN BE OBTAINED FROM THE NEAREST FAA FLIGHT STANDARDS DISTRICT OFFICE.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ADDRESS OF COMCAST CORPORATION IS ONE COMCAST CENTER, PHILADELPHIA, PENNSYLVANIA 19103-2838.</w:t>
      </w:r>
    </w:p>
    <w:p>
      <w:pPr>
        <w:sectPr>
          <w:pgSz w:w="11900" w:h="16838" w:orient="portrait"/>
          <w:cols w:equalWidth="0" w:num="1">
            <w:col w:w="9759"/>
          </w:cols>
          <w:pgMar w:left="700" w:top="280" w:right="1440" w:bottom="1440" w:gutter="0" w:footer="0" w:header="0"/>
        </w:sectPr>
      </w:pP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759"/>
          </w:cols>
          <w:pgMar w:left="700" w:top="280" w:right="1440" w:bottom="1440" w:gutter="0" w:footer="0" w:header="0"/>
          <w:type w:val="continuous"/>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COMCAST CORPORATION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10795</wp:posOffset>
            </wp:positionV>
            <wp:extent cx="26327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TIMESHAREE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10795</wp:posOffset>
            </wp:positionV>
            <wp:extent cx="26327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759"/>
          </w:cols>
          <w:pgMar w:left="700" w:top="280" w:right="1440" w:bottom="1440" w:gutter="0" w:footer="0" w:header="0"/>
        </w:sectPr>
      </w:pPr>
    </w:p>
    <w:bookmarkStart w:id="370" w:name="page371"/>
    <w:bookmarkEnd w:id="370"/>
    <w:p>
      <w:pPr>
        <w:spacing w:after="0"/>
        <w:tabs>
          <w:tab w:leader="none" w:pos="10320" w:val="left"/>
        </w:tabs>
        <w:rPr>
          <w:sz w:val="20"/>
          <w:szCs w:val="20"/>
          <w:color w:val="auto"/>
        </w:rPr>
      </w:pPr>
      <w:r>
        <w:rPr>
          <w:rFonts w:ascii="Arial" w:cs="Arial" w:eastAsia="Arial" w:hAnsi="Arial"/>
          <w:sz w:val="24"/>
          <w:szCs w:val="24"/>
          <w:color w:val="auto"/>
        </w:rPr>
        <w:t>Comcast Corporation</w:t>
      </w:r>
      <w:r>
        <w:rPr>
          <w:sz w:val="20"/>
          <w:szCs w:val="20"/>
          <w:color w:val="auto"/>
        </w:rPr>
        <w:tab/>
      </w:r>
      <w:r>
        <w:rPr>
          <w:rFonts w:ascii="Arial" w:cs="Arial" w:eastAsia="Arial" w:hAnsi="Arial"/>
          <w:sz w:val="26"/>
          <w:szCs w:val="26"/>
          <w:b w:val="1"/>
          <w:bCs w:val="1"/>
          <w:color w:val="auto"/>
          <w:vertAlign w:val="superscript"/>
        </w:rPr>
        <w:t>Exhibit 12.1</w:t>
      </w:r>
    </w:p>
    <w:p>
      <w:pPr>
        <w:spacing w:after="0" w:line="148" w:lineRule="exact"/>
        <w:rPr>
          <w:sz w:val="20"/>
          <w:szCs w:val="20"/>
          <w:color w:val="auto"/>
        </w:rPr>
      </w:pPr>
    </w:p>
    <w:p>
      <w:pPr>
        <w:ind w:right="880"/>
        <w:spacing w:after="0" w:line="260" w:lineRule="auto"/>
        <w:rPr>
          <w:sz w:val="20"/>
          <w:szCs w:val="20"/>
          <w:color w:val="auto"/>
        </w:rPr>
      </w:pPr>
      <w:r>
        <w:rPr>
          <w:rFonts w:ascii="Arial" w:cs="Arial" w:eastAsia="Arial" w:hAnsi="Arial"/>
          <w:sz w:val="24"/>
          <w:szCs w:val="24"/>
          <w:color w:val="auto"/>
        </w:rPr>
        <w:t>Statement Regarding Computation of Ratio of Earnings to Fixed Charges and Ratio of Earnings to Combined Fixed Charges and Preferred Dividends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9"/>
        </w:trPr>
        <w:tc>
          <w:tcPr>
            <w:tcW w:w="692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22"/>
                <w:szCs w:val="22"/>
                <w:b w:val="1"/>
                <w:bCs w:val="1"/>
                <w:color w:val="auto"/>
                <w:vertAlign w:val="superscript"/>
              </w:rPr>
              <w:t>(a)</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w w:val="98"/>
              </w:rPr>
              <w:t>Pretax income from continuing operations before adjustment for noncontrolling interests</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12,368</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20" w:type="dxa"/>
            <w:vAlign w:val="bottom"/>
          </w:tcPr>
          <w:p>
            <w:pPr>
              <w:ind w:left="220"/>
              <w:spacing w:after="0" w:line="181" w:lineRule="exact"/>
              <w:rPr>
                <w:sz w:val="20"/>
                <w:szCs w:val="20"/>
                <w:color w:val="auto"/>
              </w:rPr>
            </w:pPr>
            <w:r>
              <w:rPr>
                <w:rFonts w:ascii="Arial" w:cs="Arial" w:eastAsia="Arial" w:hAnsi="Arial"/>
                <w:sz w:val="18"/>
                <w:szCs w:val="18"/>
                <w:color w:val="auto"/>
              </w:rPr>
              <w:t>in consolidated subsidiaries or income or loss from equity investees</w:t>
            </w: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11,201</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8"/>
              </w:rPr>
              <w:t>10,650</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8,242</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$ 6,245</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2,910</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2,882</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2,798</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2,755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Distributed income of equity investees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104</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195</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earnings</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15,178</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13,992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w w:val="98"/>
              </w:rPr>
              <w:t>13,488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w w:val="98"/>
              </w:rPr>
              <w:t>11,142</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$ 8,458</w:t>
            </w:r>
          </w:p>
        </w:tc>
        <w:tc>
          <w:tcPr>
            <w:tcW w:w="0" w:type="dxa"/>
            <w:vAlign w:val="bottom"/>
          </w:tcPr>
          <w:p>
            <w:pPr>
              <w:spacing w:after="0"/>
              <w:rPr>
                <w:sz w:val="1"/>
                <w:szCs w:val="1"/>
                <w:color w:val="auto"/>
              </w:rPr>
            </w:pPr>
          </w:p>
        </w:tc>
      </w:tr>
      <w:tr>
        <w:trPr>
          <w:trHeight w:val="199"/>
        </w:trPr>
        <w:tc>
          <w:tcPr>
            <w:tcW w:w="692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22"/>
                <w:szCs w:val="22"/>
                <w:b w:val="1"/>
                <w:bCs w:val="1"/>
                <w:color w:val="auto"/>
                <w:vertAlign w:val="superscript"/>
              </w:rPr>
              <w:t>(a)</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2,609</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20" w:type="dxa"/>
            <w:vAlign w:val="bottom"/>
          </w:tcPr>
          <w:p>
            <w:pPr>
              <w:spacing w:after="0" w:line="181" w:lineRule="exact"/>
              <w:rPr>
                <w:sz w:val="20"/>
                <w:szCs w:val="20"/>
                <w:color w:val="auto"/>
              </w:rPr>
            </w:pPr>
            <w:r>
              <w:rPr>
                <w:rFonts w:ascii="Arial" w:cs="Arial" w:eastAsia="Arial" w:hAnsi="Arial"/>
                <w:sz w:val="18"/>
                <w:szCs w:val="18"/>
                <w:color w:val="auto"/>
              </w:rPr>
              <w:t>Interest expensed and capitalized</w:t>
            </w: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2,559</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2,508</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rPr>
              <w:t>2,477</w:t>
            </w:r>
          </w:p>
        </w:tc>
        <w:tc>
          <w:tcPr>
            <w:tcW w:w="800" w:type="dxa"/>
            <w:vAlign w:val="bottom"/>
          </w:tcPr>
          <w:p>
            <w:pPr>
              <w:jc w:val="right"/>
              <w:ind w:right="14"/>
              <w:spacing w:after="0" w:line="181" w:lineRule="exact"/>
              <w:rPr>
                <w:sz w:val="20"/>
                <w:szCs w:val="20"/>
                <w:color w:val="auto"/>
              </w:rPr>
            </w:pPr>
            <w:r>
              <w:rPr>
                <w:rFonts w:ascii="Arial" w:cs="Arial" w:eastAsia="Arial" w:hAnsi="Arial"/>
                <w:sz w:val="18"/>
                <w:szCs w:val="18"/>
                <w:color w:val="auto"/>
              </w:rPr>
              <w:t>$ 2,134</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Amortized premiums, discounts and capitalized expenses related to indebtedness</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Less: preferred dividends in interest expense</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Portion of rents representative of an interest factor</w:t>
            </w:r>
          </w:p>
        </w:tc>
        <w:tc>
          <w:tcPr>
            <w:tcW w:w="24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191</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203</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227</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1"/>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166</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fixed charges</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2,910</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2,882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2,798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2,755</w:t>
            </w:r>
          </w:p>
        </w:tc>
        <w:tc>
          <w:tcPr>
            <w:tcW w:w="8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$ 2,366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C6DFF"/>
            </w:tcBorders>
          </w:tcPr>
          <w:p>
            <w:pPr>
              <w:spacing w:after="0" w:line="19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(a)</w:t>
            </w:r>
          </w:p>
        </w:tc>
        <w:tc>
          <w:tcPr>
            <w:tcW w:w="240" w:type="dxa"/>
            <w:vAlign w:val="bottom"/>
            <w:tcBorders>
              <w:bottom w:val="single" w:sz="8" w:color="0C6DFF"/>
            </w:tcBorders>
          </w:tcPr>
          <w:p>
            <w:pPr>
              <w:spacing w:after="0"/>
              <w:rPr>
                <w:sz w:val="17"/>
                <w:szCs w:val="17"/>
                <w:color w:val="auto"/>
              </w:rPr>
            </w:pP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5.22x</w:t>
            </w:r>
          </w:p>
        </w:tc>
        <w:tc>
          <w:tcPr>
            <w:tcW w:w="200" w:type="dxa"/>
            <w:vAlign w:val="bottom"/>
            <w:tcBorders>
              <w:bottom w:val="single" w:sz="8" w:color="0C6DFF"/>
            </w:tcBorders>
          </w:tcPr>
          <w:p>
            <w:pPr>
              <w:spacing w:after="0"/>
              <w:rPr>
                <w:sz w:val="17"/>
                <w:szCs w:val="17"/>
                <w:color w:val="auto"/>
              </w:rPr>
            </w:pP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4.85x</w:t>
            </w:r>
          </w:p>
        </w:tc>
        <w:tc>
          <w:tcPr>
            <w:tcW w:w="220" w:type="dxa"/>
            <w:vAlign w:val="bottom"/>
            <w:tcBorders>
              <w:bottom w:val="single" w:sz="8" w:color="0C6DFF"/>
            </w:tcBorders>
          </w:tcPr>
          <w:p>
            <w:pPr>
              <w:spacing w:after="0"/>
              <w:rPr>
                <w:sz w:val="17"/>
                <w:szCs w:val="17"/>
                <w:color w:val="auto"/>
              </w:rPr>
            </w:pP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4.82x</w:t>
            </w:r>
          </w:p>
        </w:tc>
        <w:tc>
          <w:tcPr>
            <w:tcW w:w="220" w:type="dxa"/>
            <w:vAlign w:val="bottom"/>
            <w:tcBorders>
              <w:bottom w:val="single" w:sz="8" w:color="0C6DFF"/>
            </w:tcBorders>
          </w:tcPr>
          <w:p>
            <w:pPr>
              <w:spacing w:after="0"/>
              <w:rPr>
                <w:sz w:val="17"/>
                <w:szCs w:val="17"/>
                <w:color w:val="auto"/>
              </w:rPr>
            </w:pP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4.04x</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3.57x</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4" w:lineRule="auto"/>
        <w:tabs>
          <w:tab w:leader="none" w:pos="300" w:val="left"/>
        </w:tabs>
        <w:numPr>
          <w:ilvl w:val="0"/>
          <w:numId w:val="333"/>
        </w:numPr>
        <w:rPr>
          <w:rFonts w:ascii="Arial" w:cs="Arial" w:eastAsia="Arial" w:hAnsi="Arial"/>
          <w:sz w:val="14"/>
          <w:szCs w:val="14"/>
          <w:color w:val="auto"/>
        </w:rPr>
      </w:pPr>
      <w:r>
        <w:rPr>
          <w:rFonts w:ascii="Arial" w:cs="Arial" w:eastAsia="Arial" w:hAnsi="Arial"/>
          <w:sz w:val="14"/>
          <w:szCs w:val="14"/>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339" w:lineRule="exact"/>
        <w:rPr>
          <w:sz w:val="20"/>
          <w:szCs w:val="20"/>
          <w:color w:val="auto"/>
        </w:rPr>
      </w:pPr>
    </w:p>
    <w:p>
      <w:pPr>
        <w:ind w:left="8780"/>
        <w:spacing w:after="0"/>
        <w:rPr>
          <w:sz w:val="20"/>
          <w:szCs w:val="20"/>
          <w:color w:val="auto"/>
        </w:rPr>
      </w:pPr>
      <w:r>
        <w:rPr>
          <w:rFonts w:ascii="Arial" w:cs="Arial" w:eastAsia="Arial" w:hAnsi="Arial"/>
          <w:sz w:val="12"/>
          <w:szCs w:val="12"/>
          <w:color w:val="auto"/>
        </w:rPr>
        <w:t>Comcast 2014 Annual Report on Form 10-K</w:t>
      </w:r>
    </w:p>
    <w:p>
      <w:pPr>
        <w:sectPr>
          <w:pgSz w:w="11900" w:h="16838" w:orient="portrait"/>
          <w:cols w:equalWidth="0" w:num="1">
            <w:col w:w="11420"/>
          </w:cols>
          <w:pgMar w:left="240" w:top="120" w:right="23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740" w:type="dxa"/>
            <w:vAlign w:val="bottom"/>
          </w:tcPr>
          <w:p>
            <w:pPr>
              <w:ind w:left="2800"/>
              <w:spacing w:after="0"/>
              <w:rPr>
                <w:sz w:val="20"/>
                <w:szCs w:val="20"/>
                <w:color w:val="auto"/>
              </w:rPr>
            </w:pPr>
            <w:r>
              <w:rPr>
                <w:rFonts w:ascii="Arial" w:cs="Arial" w:eastAsia="Arial" w:hAnsi="Arial"/>
                <w:sz w:val="18"/>
                <w:szCs w:val="18"/>
                <w:b w:val="1"/>
                <w:bCs w:val="1"/>
                <w:color w:val="auto"/>
                <w:w w:val="91"/>
              </w:rPr>
              <w:t>Exhibit 21.1</w:t>
            </w:r>
          </w:p>
        </w:tc>
      </w:tr>
      <w:tr>
        <w:trPr>
          <w:trHeight w:val="369"/>
        </w:trPr>
        <w:tc>
          <w:tcPr>
            <w:tcW w:w="6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740" w:type="dxa"/>
            <w:vAlign w:val="bottom"/>
          </w:tcPr>
          <w:p>
            <w:pPr>
              <w:ind w:left="2660"/>
              <w:spacing w:after="0"/>
              <w:rPr>
                <w:sz w:val="20"/>
                <w:szCs w:val="20"/>
                <w:color w:val="auto"/>
              </w:rPr>
            </w:pPr>
            <w:r>
              <w:rPr>
                <w:rFonts w:ascii="Arial" w:cs="Arial" w:eastAsia="Arial" w:hAnsi="Arial"/>
                <w:sz w:val="14"/>
                <w:szCs w:val="14"/>
                <w:b w:val="1"/>
                <w:bCs w:val="1"/>
                <w:color w:val="auto"/>
              </w:rPr>
              <w:t>State/</w:t>
            </w:r>
          </w:p>
        </w:tc>
      </w:tr>
      <w:tr>
        <w:trPr>
          <w:trHeight w:val="200"/>
        </w:trPr>
        <w:tc>
          <w:tcPr>
            <w:tcW w:w="7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740" w:type="dxa"/>
            <w:vAlign w:val="bottom"/>
          </w:tcPr>
          <w:p>
            <w:pPr>
              <w:ind w:left="2060"/>
              <w:spacing w:after="0"/>
              <w:rPr>
                <w:sz w:val="20"/>
                <w:szCs w:val="20"/>
                <w:color w:val="auto"/>
              </w:rPr>
            </w:pPr>
            <w:r>
              <w:rPr>
                <w:rFonts w:ascii="Arial" w:cs="Arial" w:eastAsia="Arial" w:hAnsi="Arial"/>
                <w:sz w:val="14"/>
                <w:szCs w:val="14"/>
                <w:b w:val="1"/>
                <w:bCs w:val="1"/>
                <w:color w:val="auto"/>
              </w:rPr>
              <w:t>Country of Organization</w:t>
            </w:r>
          </w:p>
        </w:tc>
      </w:tr>
      <w:tr>
        <w:trPr>
          <w:trHeight w:val="26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Comcast</w:t>
            </w:r>
          </w:p>
        </w:tc>
        <w:tc>
          <w:tcPr>
            <w:tcW w:w="704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CCF Management Services,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Centaur Funding Corporation</w:t>
            </w:r>
          </w:p>
        </w:tc>
        <w:tc>
          <w:tcPr>
            <w:tcW w:w="3740" w:type="dxa"/>
            <w:vAlign w:val="bottom"/>
          </w:tcPr>
          <w:p>
            <w:pPr>
              <w:ind w:left="1920"/>
              <w:spacing w:after="0"/>
              <w:rPr>
                <w:sz w:val="20"/>
                <w:szCs w:val="20"/>
                <w:color w:val="auto"/>
              </w:rPr>
            </w:pPr>
            <w:r>
              <w:rPr>
                <w:rFonts w:ascii="Arial" w:cs="Arial" w:eastAsia="Arial" w:hAnsi="Arial"/>
                <w:sz w:val="18"/>
                <w:szCs w:val="18"/>
                <w:color w:val="auto"/>
              </w:rPr>
              <w:t>Cayman Islands</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Century-TCI California Communications, L.P.</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ABB Note Consolidation,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ABB Note Sub Consolidation I,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Alpha Holdings,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Broadband Security,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Business Communications,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PA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Cable Communications Canada, Inc.</w:t>
            </w:r>
          </w:p>
        </w:tc>
        <w:tc>
          <w:tcPr>
            <w:tcW w:w="3740" w:type="dxa"/>
            <w:vAlign w:val="bottom"/>
          </w:tcPr>
          <w:p>
            <w:pPr>
              <w:ind w:left="1920"/>
              <w:spacing w:after="0"/>
              <w:rPr>
                <w:sz w:val="20"/>
                <w:szCs w:val="20"/>
                <w:color w:val="auto"/>
              </w:rPr>
            </w:pPr>
            <w:r>
              <w:rPr>
                <w:rFonts w:ascii="Arial" w:cs="Arial" w:eastAsia="Arial" w:hAnsi="Arial"/>
                <w:sz w:val="18"/>
                <w:szCs w:val="18"/>
                <w:color w:val="auto"/>
              </w:rPr>
              <w:t>Canada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Cable Communications Management,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Cable Communications,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Cable Funding I,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Cable Holdings,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Cablevision of Southeast Michigan,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Capital Corporation</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Commercial Services Group Holdings,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Funding I,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c>
          <w:tcPr>
            <w:tcW w:w="3740" w:type="dxa"/>
            <w:vAlign w:val="bottom"/>
          </w:tcPr>
          <w:p>
            <w:pPr>
              <w:ind w:left="1920"/>
              <w:spacing w:after="0"/>
              <w:rPr>
                <w:sz w:val="20"/>
                <w:szCs w:val="20"/>
                <w:color w:val="auto"/>
              </w:rPr>
            </w:pPr>
            <w:r>
              <w:rPr>
                <w:rFonts w:ascii="Arial" w:cs="Arial" w:eastAsia="Arial" w:hAnsi="Arial"/>
                <w:sz w:val="18"/>
                <w:szCs w:val="18"/>
                <w:color w:val="auto"/>
              </w:rPr>
              <w:t>PA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IP Phone II,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IP Phone, LLC</w:t>
            </w:r>
          </w:p>
        </w:tc>
        <w:tc>
          <w:tcPr>
            <w:tcW w:w="3740" w:type="dxa"/>
            <w:vAlign w:val="bottom"/>
          </w:tcPr>
          <w:p>
            <w:pPr>
              <w:ind w:left="1920"/>
              <w:spacing w:after="0"/>
              <w:rPr>
                <w:sz w:val="20"/>
                <w:szCs w:val="20"/>
                <w:color w:val="auto"/>
              </w:rPr>
            </w:pPr>
            <w:r>
              <w:rPr>
                <w:rFonts w:ascii="Arial" w:cs="Arial" w:eastAsia="Arial" w:hAnsi="Arial"/>
                <w:sz w:val="18"/>
                <w:szCs w:val="18"/>
                <w:color w:val="auto"/>
              </w:rPr>
              <w:t>PA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IP Services,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JR Holdings,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Metatv,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Communications Holding Company,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Express Midwest, Inc.</w:t>
            </w:r>
          </w:p>
        </w:tc>
        <w:tc>
          <w:tcPr>
            <w:tcW w:w="3740" w:type="dxa"/>
            <w:vAlign w:val="bottom"/>
          </w:tcPr>
          <w:p>
            <w:pPr>
              <w:ind w:left="1920"/>
              <w:spacing w:after="0"/>
              <w:rPr>
                <w:sz w:val="20"/>
                <w:szCs w:val="20"/>
                <w:color w:val="auto"/>
              </w:rPr>
            </w:pPr>
            <w:r>
              <w:rPr>
                <w:rFonts w:ascii="Arial" w:cs="Arial" w:eastAsia="Arial" w:hAnsi="Arial"/>
                <w:sz w:val="18"/>
                <w:szCs w:val="18"/>
                <w:color w:val="auto"/>
              </w:rPr>
              <w:t>OH</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Express of Florida,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Express of New England, Inc.</w:t>
            </w:r>
          </w:p>
        </w:tc>
        <w:tc>
          <w:tcPr>
            <w:tcW w:w="3740" w:type="dxa"/>
            <w:vAlign w:val="bottom"/>
          </w:tcPr>
          <w:p>
            <w:pPr>
              <w:ind w:left="1920"/>
              <w:spacing w:after="0"/>
              <w:rPr>
                <w:sz w:val="20"/>
                <w:szCs w:val="20"/>
                <w:color w:val="auto"/>
              </w:rPr>
            </w:pPr>
            <w:r>
              <w:rPr>
                <w:rFonts w:ascii="Arial" w:cs="Arial" w:eastAsia="Arial" w:hAnsi="Arial"/>
                <w:sz w:val="18"/>
                <w:szCs w:val="18"/>
                <w:color w:val="auto"/>
              </w:rPr>
              <w:t>MA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Express of Virginia, Inc.</w:t>
            </w:r>
          </w:p>
        </w:tc>
        <w:tc>
          <w:tcPr>
            <w:tcW w:w="3740" w:type="dxa"/>
            <w:vAlign w:val="bottom"/>
          </w:tcPr>
          <w:p>
            <w:pPr>
              <w:ind w:left="1920"/>
              <w:spacing w:after="0"/>
              <w:rPr>
                <w:sz w:val="20"/>
                <w:szCs w:val="20"/>
                <w:color w:val="auto"/>
              </w:rPr>
            </w:pPr>
            <w:r>
              <w:rPr>
                <w:rFonts w:ascii="Arial" w:cs="Arial" w:eastAsia="Arial" w:hAnsi="Arial"/>
                <w:sz w:val="18"/>
                <w:szCs w:val="18"/>
                <w:color w:val="auto"/>
              </w:rPr>
              <w:t>VA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Group,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Holdings I,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Information Technology Systems, Inc.</w:t>
            </w:r>
          </w:p>
        </w:tc>
        <w:tc>
          <w:tcPr>
            <w:tcW w:w="3740" w:type="dxa"/>
            <w:vAlign w:val="bottom"/>
          </w:tcPr>
          <w:p>
            <w:pPr>
              <w:ind w:left="1920"/>
              <w:spacing w:after="0"/>
              <w:rPr>
                <w:sz w:val="20"/>
                <w:szCs w:val="20"/>
                <w:color w:val="auto"/>
              </w:rPr>
            </w:pPr>
            <w:r>
              <w:rPr>
                <w:rFonts w:ascii="Arial" w:cs="Arial" w:eastAsia="Arial" w:hAnsi="Arial"/>
                <w:sz w:val="18"/>
                <w:szCs w:val="18"/>
                <w:color w:val="auto"/>
              </w:rPr>
              <w:t>MA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International Programming, Inc.</w:t>
            </w:r>
          </w:p>
        </w:tc>
        <w:tc>
          <w:tcPr>
            <w:tcW w:w="3740" w:type="dxa"/>
            <w:vAlign w:val="bottom"/>
          </w:tcPr>
          <w:p>
            <w:pPr>
              <w:ind w:left="1920"/>
              <w:spacing w:after="0"/>
              <w:rPr>
                <w:sz w:val="20"/>
                <w:szCs w:val="20"/>
                <w:color w:val="auto"/>
              </w:rPr>
            </w:pPr>
            <w:r>
              <w:rPr>
                <w:rFonts w:ascii="Arial" w:cs="Arial" w:eastAsia="Arial" w:hAnsi="Arial"/>
                <w:sz w:val="18"/>
                <w:szCs w:val="18"/>
                <w:color w:val="auto"/>
              </w:rPr>
              <w:t>MA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Investments,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of Delaware,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MO Telecommunications Corp.</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Navy Acquisition,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Navy Contribution,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Navy Holdings,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Newco 13,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Arkansas/Florida/Louisiana/ Minnesota/Mississippi/Tennessee,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Boston, Inc.</w:t>
            </w:r>
          </w:p>
        </w:tc>
        <w:tc>
          <w:tcPr>
            <w:tcW w:w="3740" w:type="dxa"/>
            <w:vAlign w:val="bottom"/>
          </w:tcPr>
          <w:p>
            <w:pPr>
              <w:ind w:left="1920"/>
              <w:spacing w:after="0"/>
              <w:rPr>
                <w:sz w:val="20"/>
                <w:szCs w:val="20"/>
                <w:color w:val="auto"/>
              </w:rPr>
            </w:pPr>
            <w:r>
              <w:rPr>
                <w:rFonts w:ascii="Arial" w:cs="Arial" w:eastAsia="Arial" w:hAnsi="Arial"/>
                <w:sz w:val="18"/>
                <w:szCs w:val="18"/>
                <w:color w:val="auto"/>
              </w:rPr>
              <w:t>NY</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Brockton, Inc.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California II,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California III, Inc.</w:t>
            </w:r>
          </w:p>
        </w:tc>
        <w:tc>
          <w:tcPr>
            <w:tcW w:w="3740" w:type="dxa"/>
            <w:vAlign w:val="bottom"/>
          </w:tcPr>
          <w:p>
            <w:pPr>
              <w:ind w:left="1920"/>
              <w:spacing w:after="0"/>
              <w:rPr>
                <w:sz w:val="20"/>
                <w:szCs w:val="20"/>
                <w:color w:val="auto"/>
              </w:rPr>
            </w:pPr>
            <w:r>
              <w:rPr>
                <w:rFonts w:ascii="Arial" w:cs="Arial" w:eastAsia="Arial" w:hAnsi="Arial"/>
                <w:sz w:val="18"/>
                <w:szCs w:val="18"/>
                <w:color w:val="auto"/>
              </w:rPr>
              <w:t>CA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California IX, Inc.</w:t>
            </w:r>
          </w:p>
        </w:tc>
        <w:tc>
          <w:tcPr>
            <w:tcW w:w="3740" w:type="dxa"/>
            <w:vAlign w:val="bottom"/>
          </w:tcPr>
          <w:p>
            <w:pPr>
              <w:ind w:left="1920"/>
              <w:spacing w:after="0"/>
              <w:rPr>
                <w:sz w:val="20"/>
                <w:szCs w:val="20"/>
                <w:color w:val="auto"/>
              </w:rPr>
            </w:pPr>
            <w:r>
              <w:rPr>
                <w:rFonts w:ascii="Arial" w:cs="Arial" w:eastAsia="Arial" w:hAnsi="Arial"/>
                <w:sz w:val="18"/>
                <w:szCs w:val="18"/>
                <w:color w:val="auto"/>
              </w:rPr>
              <w:t>CA</w:t>
            </w: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California XII,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Comcast of California/Colorado, LLC</w:t>
            </w:r>
          </w:p>
        </w:tc>
        <w:tc>
          <w:tcPr>
            <w:tcW w:w="3740" w:type="dxa"/>
            <w:vAlign w:val="bottom"/>
          </w:tcPr>
          <w:p>
            <w:pPr>
              <w:ind w:left="1920"/>
              <w:spacing w:after="0"/>
              <w:rPr>
                <w:sz w:val="20"/>
                <w:szCs w:val="20"/>
                <w:color w:val="auto"/>
              </w:rPr>
            </w:pPr>
            <w:r>
              <w:rPr>
                <w:rFonts w:ascii="Arial" w:cs="Arial" w:eastAsia="Arial" w:hAnsi="Arial"/>
                <w:sz w:val="18"/>
                <w:szCs w:val="18"/>
                <w:color w:val="auto"/>
              </w:rPr>
              <w:t>DE</w:t>
            </w:r>
          </w:p>
        </w:tc>
      </w:tr>
    </w:tbl>
    <w:p>
      <w:pPr>
        <w:sectPr>
          <w:pgSz w:w="11900" w:h="16838" w:orient="portrait"/>
          <w:cols w:equalWidth="0" w:num="1">
            <w:col w:w="11420"/>
          </w:cols>
          <w:pgMar w:left="240" w:top="121" w:right="23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of California/Colorado/Florida/Oregon,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California/Maryland/Pennsylvania/Virginia/West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California/Massachusetts/Michigan/Utah,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Colorado/Florida/Michigan/New Mexico/Pennsylvania/Washington,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Colorado/Pennsylvania/West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Connecticut/Georgia/Massachusetts/New Hampshire/New York/North Carolina/Virginia/Vermont,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Florida/Georgia/Illinois/Michigan,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Florida/Georgia/Pennsylvania,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Garden State,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Georgia/Massachusetts,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Harford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Houston,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Maine/New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Massachusetts/New Hampshire,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Milton,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Needham,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Potomac,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Southeast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New England,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St. Paul,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Taylor,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Central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QVC,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ectPr>
          <w:pgSz w:w="11900" w:h="16838" w:orient="portrait"/>
          <w:cols w:equalWidth="0" w:num="2">
            <w:col w:w="8880" w:space="720"/>
            <w:col w:w="619"/>
          </w:cols>
          <w:pgMar w:left="240" w:top="274" w:right="1440" w:bottom="1440" w:gutter="0" w:footer="0" w:header="0"/>
        </w:sectPr>
      </w:pPr>
    </w:p>
    <w:bookmarkStart w:id="373" w:name="page374"/>
    <w:bookmarkEnd w:id="373"/>
    <w:tbl>
      <w:tblPr>
        <w:tblLayout w:type="fixed"/>
        <w:tblInd w:w="0" w:type="dxa"/>
        <w:tblCellMar>
          <w:top w:w="0" w:type="dxa"/>
          <w:left w:w="0" w:type="dxa"/>
          <w:bottom w:w="0" w:type="dxa"/>
          <w:right w:w="0" w:type="dxa"/>
        </w:tblCellMar>
      </w:tblP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SportsNet New England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Spotlight, LP</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TCP Holdings,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Telephony Communications,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Telephony Services Holdings,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Visible World Holdings,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Continental Cablevision Asia Pacific, Inc.</w:t>
            </w:r>
          </w:p>
        </w:tc>
        <w:tc>
          <w:tcPr>
            <w:tcW w:w="4200" w:type="dxa"/>
            <w:vAlign w:val="bottom"/>
          </w:tcPr>
          <w:p>
            <w:pPr>
              <w:ind w:left="3000"/>
              <w:spacing w:after="0"/>
              <w:rPr>
                <w:sz w:val="20"/>
                <w:szCs w:val="20"/>
                <w:color w:val="auto"/>
              </w:rPr>
            </w:pPr>
            <w:r>
              <w:rPr>
                <w:rFonts w:ascii="Arial" w:cs="Arial" w:eastAsia="Arial" w:hAnsi="Arial"/>
                <w:sz w:val="18"/>
                <w:szCs w:val="18"/>
                <w:color w:val="auto"/>
              </w:rPr>
              <w:t>MA</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Continental Teleport Partners,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MA</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Heritage Cablevision of Massachusetts,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MA</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Jones Cable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CO</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National Cable Communications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NBCUniversal,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NBCUniversal Enterprise,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NBCUniversal Media,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New England Microwave, LLC</w:t>
            </w:r>
          </w:p>
        </w:tc>
        <w:tc>
          <w:tcPr>
            <w:tcW w:w="4200" w:type="dxa"/>
            <w:vAlign w:val="bottom"/>
          </w:tcPr>
          <w:p>
            <w:pPr>
              <w:ind w:left="3000"/>
              <w:spacing w:after="0"/>
              <w:rPr>
                <w:sz w:val="20"/>
                <w:szCs w:val="20"/>
                <w:color w:val="auto"/>
              </w:rPr>
            </w:pPr>
            <w:r>
              <w:rPr>
                <w:rFonts w:ascii="Arial" w:cs="Arial" w:eastAsia="Arial" w:hAnsi="Arial"/>
                <w:sz w:val="18"/>
                <w:szCs w:val="18"/>
                <w:color w:val="auto"/>
              </w:rPr>
              <w:t>CT</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One Belmont Insurance Company</w:t>
            </w:r>
          </w:p>
        </w:tc>
        <w:tc>
          <w:tcPr>
            <w:tcW w:w="4200" w:type="dxa"/>
            <w:vAlign w:val="bottom"/>
          </w:tcPr>
          <w:p>
            <w:pPr>
              <w:ind w:left="3000"/>
              <w:spacing w:after="0"/>
              <w:rPr>
                <w:sz w:val="20"/>
                <w:szCs w:val="20"/>
                <w:color w:val="auto"/>
              </w:rPr>
            </w:pPr>
            <w:r>
              <w:rPr>
                <w:rFonts w:ascii="Arial" w:cs="Arial" w:eastAsia="Arial" w:hAnsi="Arial"/>
                <w:sz w:val="18"/>
                <w:szCs w:val="18"/>
                <w:color w:val="auto"/>
              </w:rPr>
              <w:t>VT</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Parnassos Communications, L.P.</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Preview Magazine Corporation</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Stage II, L.P.</w:t>
            </w:r>
          </w:p>
        </w:tc>
        <w:tc>
          <w:tcPr>
            <w:tcW w:w="4200" w:type="dxa"/>
            <w:vAlign w:val="bottom"/>
          </w:tcPr>
          <w:p>
            <w:pPr>
              <w:ind w:left="3000"/>
              <w:spacing w:after="0"/>
              <w:rPr>
                <w:sz w:val="20"/>
                <w:szCs w:val="20"/>
                <w:color w:val="auto"/>
              </w:rPr>
            </w:pPr>
            <w:r>
              <w:rPr>
                <w:rFonts w:ascii="Arial" w:cs="Arial" w:eastAsia="Arial" w:hAnsi="Arial"/>
                <w:sz w:val="18"/>
                <w:szCs w:val="18"/>
                <w:color w:val="auto"/>
              </w:rPr>
              <w:t>PA</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Central,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Holdings I,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Northeast,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of Council Bluffs,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IA</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of Indiana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CO</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of Indiana Insgt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CO</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Pacific Communications,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Realty,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South Carolina IP-I,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Southeast,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TKR of Wyoming, Inc.</w:t>
            </w:r>
          </w:p>
        </w:tc>
        <w:tc>
          <w:tcPr>
            <w:tcW w:w="4200" w:type="dxa"/>
            <w:vAlign w:val="bottom"/>
          </w:tcPr>
          <w:p>
            <w:pPr>
              <w:ind w:left="3000"/>
              <w:spacing w:after="0"/>
              <w:rPr>
                <w:sz w:val="20"/>
                <w:szCs w:val="20"/>
                <w:color w:val="auto"/>
              </w:rPr>
            </w:pPr>
            <w:r>
              <w:rPr>
                <w:rFonts w:ascii="Arial" w:cs="Arial" w:eastAsia="Arial" w:hAnsi="Arial"/>
                <w:sz w:val="18"/>
                <w:szCs w:val="18"/>
                <w:color w:val="auto"/>
              </w:rPr>
              <w:t>WY</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TCI West,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UACC Midwest Insgt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CO</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UA-Columbia Cablevision of Massachusetts,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MA</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United Artists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WLT Systems,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IL</w:t>
            </w:r>
          </w:p>
        </w:tc>
      </w:tr>
      <w:tr>
        <w:trPr>
          <w:trHeight w:val="284"/>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NBCUniversal</w:t>
            </w:r>
          </w:p>
        </w:tc>
        <w:tc>
          <w:tcPr>
            <w:tcW w:w="55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Bravo Holding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Bravo Media LLC</w:t>
            </w:r>
          </w:p>
        </w:tc>
        <w:tc>
          <w:tcPr>
            <w:tcW w:w="4200" w:type="dxa"/>
            <w:vAlign w:val="bottom"/>
          </w:tcPr>
          <w:p>
            <w:pPr>
              <w:ind w:left="3000"/>
              <w:spacing w:after="0"/>
              <w:rPr>
                <w:sz w:val="20"/>
                <w:szCs w:val="20"/>
                <w:color w:val="auto"/>
              </w:rPr>
            </w:pPr>
            <w:r>
              <w:rPr>
                <w:rFonts w:ascii="Arial" w:cs="Arial" w:eastAsia="Arial" w:hAnsi="Arial"/>
                <w:sz w:val="18"/>
                <w:szCs w:val="18"/>
                <w:color w:val="auto"/>
              </w:rPr>
              <w:t>NY</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CA Holding C.V.</w:t>
            </w:r>
          </w:p>
        </w:tc>
        <w:tc>
          <w:tcPr>
            <w:tcW w:w="4200" w:type="dxa"/>
            <w:vAlign w:val="bottom"/>
          </w:tcPr>
          <w:p>
            <w:pPr>
              <w:ind w:left="3000"/>
              <w:spacing w:after="0"/>
              <w:rPr>
                <w:sz w:val="20"/>
                <w:szCs w:val="20"/>
                <w:color w:val="auto"/>
              </w:rPr>
            </w:pPr>
            <w:r>
              <w:rPr>
                <w:rFonts w:ascii="Arial" w:cs="Arial" w:eastAsia="Arial" w:hAnsi="Arial"/>
                <w:sz w:val="18"/>
                <w:szCs w:val="18"/>
                <w:color w:val="auto"/>
                <w:w w:val="88"/>
              </w:rPr>
              <w:t>The Netherlands</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CNBC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CNBC/MSNBC,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Comcast SportsNet Chicago,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E! Entertainment Television,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E! Holdings, Inc.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Houston SportsNet Finance,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Houston SportsNet Holdings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MSNBC Cable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NBC Cable Holding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NBC Olympics LLC</w:t>
            </w:r>
          </w:p>
        </w:tc>
        <w:tc>
          <w:tcPr>
            <w:tcW w:w="4200" w:type="dxa"/>
            <w:vAlign w:val="bottom"/>
          </w:tcPr>
          <w:p>
            <w:pPr>
              <w:ind w:left="3000"/>
              <w:spacing w:after="0"/>
              <w:rPr>
                <w:sz w:val="20"/>
                <w:szCs w:val="20"/>
                <w:color w:val="auto"/>
              </w:rPr>
            </w:pPr>
            <w:r>
              <w:rPr>
                <w:rFonts w:ascii="Arial" w:cs="Arial" w:eastAsia="Arial" w:hAnsi="Arial"/>
                <w:sz w:val="18"/>
                <w:szCs w:val="18"/>
                <w:color w:val="auto"/>
              </w:rPr>
              <w:t>DE</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NBC-Rainbow Holding LLC</w:t>
            </w:r>
          </w:p>
        </w:tc>
        <w:tc>
          <w:tcPr>
            <w:tcW w:w="4200" w:type="dxa"/>
            <w:vAlign w:val="bottom"/>
          </w:tcPr>
          <w:p>
            <w:pPr>
              <w:ind w:left="3000"/>
              <w:spacing w:after="0"/>
              <w:rPr>
                <w:sz w:val="20"/>
                <w:szCs w:val="20"/>
                <w:color w:val="auto"/>
              </w:rPr>
            </w:pPr>
            <w:r>
              <w:rPr>
                <w:rFonts w:ascii="Arial" w:cs="Arial" w:eastAsia="Arial" w:hAnsi="Arial"/>
                <w:sz w:val="18"/>
                <w:szCs w:val="18"/>
                <w:color w:val="auto"/>
              </w:rPr>
              <w:t>CA</w:t>
            </w:r>
          </w:p>
        </w:tc>
      </w:tr>
    </w:tbl>
    <w:p>
      <w:pPr>
        <w:ind w:left="3000"/>
        <w:spacing w:after="0"/>
        <w:rPr>
          <w:sz w:val="20"/>
          <w:szCs w:val="20"/>
          <w:color w:val="auto"/>
        </w:rPr>
        <w:sectPr>
          <w:pgSz w:w="11900" w:h="16838" w:orient="portrait"/>
          <w:cols w:equalWidth="0" w:num="1">
            <w:col w:w="10800"/>
          </w:cols>
          <w:pgMar w:left="240" w:top="274" w:right="8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 Studios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NBCU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(Bermuda)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New-U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Entertainment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Open 4 Business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TGC,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Universal City Development Partners,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Universal City Property Management II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Productions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Travel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First-Run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Orlando Online Merchandise Store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Networks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USANi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NewCo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880" w:space="720"/>
            <w:col w:w="1200"/>
          </w:cols>
          <w:pgMar w:left="240" w:top="274" w:right="859" w:bottom="1440" w:gutter="0" w:footer="0" w:header="0"/>
        </w:sectPr>
      </w:pPr>
    </w:p>
    <w:bookmarkStart w:id="375" w:name="page376"/>
    <w:bookmarkEnd w:id="375"/>
    <w:p>
      <w:pPr>
        <w:ind w:left="10480"/>
        <w:spacing w:after="0"/>
        <w:rPr>
          <w:sz w:val="20"/>
          <w:szCs w:val="20"/>
          <w:color w:val="auto"/>
        </w:rPr>
      </w:pPr>
      <w:r>
        <w:rPr>
          <w:rFonts w:ascii="Arial" w:cs="Arial" w:eastAsia="Arial" w:hAnsi="Arial"/>
          <w:sz w:val="16"/>
          <w:szCs w:val="16"/>
          <w:b w:val="1"/>
          <w:bCs w:val="1"/>
          <w:color w:val="auto"/>
        </w:rPr>
        <w:t>Exhibit 21.2</w:t>
      </w:r>
    </w:p>
    <w:p>
      <w:pPr>
        <w:sectPr>
          <w:pgSz w:w="11900" w:h="16838" w:orient="portrait"/>
          <w:cols w:equalWidth="0" w:num="1">
            <w:col w:w="11420"/>
          </w:cols>
          <w:pgMar w:left="240" w:top="121"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State/Country of Organization</w:t>
      </w:r>
    </w:p>
    <w:p>
      <w:pPr>
        <w:spacing w:after="0" w:line="31" w:lineRule="exact"/>
        <w:rPr>
          <w:sz w:val="20"/>
          <w:szCs w:val="20"/>
          <w:color w:val="auto"/>
        </w:rPr>
      </w:pPr>
    </w:p>
    <w:p>
      <w:pPr>
        <w:sectPr>
          <w:pgSz w:w="11900" w:h="16838" w:orient="portrait"/>
          <w:cols w:equalWidth="0" w:num="2">
            <w:col w:w="8540" w:space="720"/>
            <w:col w:w="21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Bravo Holding LLC</w:t>
      </w:r>
    </w:p>
    <w:p>
      <w:pPr>
        <w:spacing w:after="0"/>
        <w:rPr>
          <w:sz w:val="20"/>
          <w:szCs w:val="20"/>
          <w:color w:val="auto"/>
        </w:rPr>
      </w:pPr>
      <w:r>
        <w:rPr>
          <w:rFonts w:ascii="Arial" w:cs="Arial" w:eastAsia="Arial" w:hAnsi="Arial"/>
          <w:sz w:val="18"/>
          <w:szCs w:val="18"/>
          <w:color w:val="auto"/>
        </w:rPr>
        <w:t>Bravo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Holding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CNBC/MSNBC,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Finance,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Cable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Olympics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NBC-Rainbow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(Bermuda)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New-U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Northern Entertainment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Open 4 Business Productions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TGC,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Universal City Development Partners,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Universal City Property Management II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Productions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Travel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First-Run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Universal Orlando Online Merchandise Store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Networks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USANi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NewCo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540" w:space="720"/>
            <w:col w:w="2160"/>
          </w:cols>
          <w:pgMar w:left="240" w:top="121" w:right="239" w:bottom="1440" w:gutter="0" w:footer="0" w:header="0"/>
          <w:type w:val="continuous"/>
        </w:sectPr>
      </w:pPr>
    </w:p>
    <w:bookmarkStart w:id="376" w:name="page377"/>
    <w:bookmarkEnd w:id="376"/>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Statements on Form S-8 (Nos. 333-101645, 333-101295, 333-104385, 333-121082, 333-123059, 333-130844, 333-130845, 333-130847, 333-150976, 333-161468, 333-174416, 333-174417, 333-179638, 333-183008, and 333-193903) and Form S-3 (No. 333-191239) of our reports dated February 27, 2015, relating to the consolidated financial statements and consolidated financial statement schedule of Comcast Corporation, and the effectiveness of Comcast Corporation’s internal control over financial reporting, appearing in this Annual Report on Form 10-K of Comcast Corporation for the year ended December 31, 2014.</w:t>
      </w:r>
    </w:p>
    <w:p>
      <w:pPr>
        <w:spacing w:after="0" w:line="19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Philadelphia, Pennsylvania</w:t>
      </w:r>
    </w:p>
    <w:p>
      <w:pPr>
        <w:jc w:val="center"/>
        <w:ind w:right="6840"/>
        <w:spacing w:after="0"/>
        <w:rPr>
          <w:sz w:val="20"/>
          <w:szCs w:val="20"/>
          <w:color w:val="auto"/>
        </w:rPr>
      </w:pPr>
      <w:r>
        <w:rPr>
          <w:rFonts w:ascii="Arial" w:cs="Arial" w:eastAsia="Arial" w:hAnsi="Arial"/>
          <w:sz w:val="18"/>
          <w:szCs w:val="18"/>
          <w:color w:val="auto"/>
        </w:rPr>
        <w:t>February 27, 2015</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121" w:right="239" w:bottom="1440" w:gutter="0" w:footer="0" w:header="0"/>
        </w:sectPr>
      </w:pPr>
    </w:p>
    <w:bookmarkStart w:id="377" w:name="page378"/>
    <w:bookmarkEnd w:id="377"/>
    <w:p>
      <w:pPr>
        <w:spacing w:after="0" w:line="15" w:lineRule="exact"/>
        <w:rPr>
          <w:sz w:val="20"/>
          <w:szCs w:val="20"/>
          <w:color w:val="auto"/>
        </w:rPr>
      </w:pPr>
    </w:p>
    <w:p>
      <w:pPr>
        <w:ind w:right="3880"/>
        <w:spacing w:after="0" w:line="260" w:lineRule="auto"/>
        <w:rPr>
          <w:sz w:val="20"/>
          <w:szCs w:val="20"/>
          <w:color w:val="auto"/>
        </w:rPr>
      </w:pPr>
      <w:r>
        <w:rPr>
          <w:rFonts w:ascii="Arial" w:cs="Arial" w:eastAsia="Arial" w:hAnsi="Arial"/>
          <w:sz w:val="24"/>
          <w:szCs w:val="24"/>
          <w:color w:val="auto"/>
        </w:rPr>
        <w:t>Consent of Independent Registered Public Accounting Firm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23.2</w:t>
      </w:r>
    </w:p>
    <w:p>
      <w:pPr>
        <w:spacing w:after="0" w:line="554" w:lineRule="exact"/>
        <w:rPr>
          <w:sz w:val="20"/>
          <w:szCs w:val="20"/>
          <w:color w:val="auto"/>
        </w:rPr>
      </w:pPr>
    </w:p>
    <w:p>
      <w:pPr>
        <w:sectPr>
          <w:pgSz w:w="11900" w:h="16838" w:orient="portrait"/>
          <w:cols w:equalWidth="0" w:num="2">
            <w:col w:w="9720" w:space="720"/>
            <w:col w:w="980"/>
          </w:cols>
          <w:pgMar w:left="240" w:top="120" w:right="239" w:bottom="1440" w:gutter="0" w:footer="0" w:header="0"/>
        </w:sect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 on Form S-8 (No. 333-177681) and Form S-3 (Nos. 333-184145 and 333-191239-05) of our reports dated February 27, 2015, relating to the consolidated financial statements and consolidated financial statement schedule of NBCUniversal Media, LLC appearing in this Annual Report on Form 10-K of NBCUniversal Media, LLC and subsidiaries for the year ended December 31, 2014.</w:t>
      </w:r>
    </w:p>
    <w:p>
      <w:pPr>
        <w:spacing w:after="0" w:line="19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New York, NY</w:t>
      </w:r>
    </w:p>
    <w:p>
      <w:pPr>
        <w:jc w:val="center"/>
        <w:ind w:right="6840"/>
        <w:spacing w:after="0"/>
        <w:rPr>
          <w:sz w:val="20"/>
          <w:szCs w:val="20"/>
          <w:color w:val="auto"/>
        </w:rPr>
      </w:pPr>
      <w:r>
        <w:rPr>
          <w:rFonts w:ascii="Arial" w:cs="Arial" w:eastAsia="Arial" w:hAnsi="Arial"/>
          <w:sz w:val="18"/>
          <w:szCs w:val="18"/>
          <w:color w:val="auto"/>
        </w:rPr>
        <w:t>February 27, 2015</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120" w:right="239" w:bottom="1440" w:gutter="0" w:footer="0" w:header="0"/>
          <w:type w:val="continuous"/>
        </w:sectPr>
      </w:pPr>
    </w:p>
    <w:bookmarkStart w:id="378" w:name="page379"/>
    <w:bookmarkEnd w:id="378"/>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Chief Executive Officer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121" w:right="2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117" w:lineRule="exact"/>
        <w:rPr>
          <w:sz w:val="20"/>
          <w:szCs w:val="20"/>
          <w:color w:val="auto"/>
        </w:rPr>
      </w:pPr>
    </w:p>
    <w:p>
      <w:pPr>
        <w:ind w:left="260" w:hanging="252"/>
        <w:spacing w:after="0"/>
        <w:tabs>
          <w:tab w:leader="none" w:pos="2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Name: Michael J. Angelakis</w:t>
      </w:r>
    </w:p>
    <w:p>
      <w:pPr>
        <w:ind w:left="1220"/>
        <w:spacing w:after="0"/>
        <w:rPr>
          <w:sz w:val="20"/>
          <w:szCs w:val="20"/>
          <w:color w:val="auto"/>
        </w:rPr>
      </w:pPr>
      <w:r>
        <w:rPr>
          <w:rFonts w:ascii="Arial" w:cs="Arial" w:eastAsia="Arial" w:hAnsi="Arial"/>
          <w:sz w:val="18"/>
          <w:szCs w:val="18"/>
          <w:color w:val="auto"/>
        </w:rPr>
        <w:t>Title: Chief Financial Officer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291" w:right="239" w:bottom="1440" w:gutter="0" w:footer="0" w:header="0"/>
        </w:sectPr>
      </w:pPr>
    </w:p>
    <w:bookmarkStart w:id="380" w:name="page381"/>
    <w:bookmarkEnd w:id="380"/>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Principal Executive Officer</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120" w:right="2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17" w:lineRule="exact"/>
        <w:rPr>
          <w:sz w:val="20"/>
          <w:szCs w:val="20"/>
          <w:color w:val="auto"/>
        </w:rPr>
      </w:pPr>
    </w:p>
    <w:p>
      <w:pPr>
        <w:ind w:left="260" w:hanging="252"/>
        <w:spacing w:after="0"/>
        <w:tabs>
          <w:tab w:leader="none" w:pos="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Michael J. Angelakis</w:t>
      </w:r>
    </w:p>
    <w:p>
      <w:pPr>
        <w:jc w:val="center"/>
        <w:ind w:right="6840"/>
        <w:spacing w:after="0"/>
        <w:rPr>
          <w:sz w:val="20"/>
          <w:szCs w:val="20"/>
          <w:color w:val="auto"/>
        </w:rPr>
      </w:pPr>
      <w:r>
        <w:rPr>
          <w:rFonts w:ascii="Arial" w:cs="Arial" w:eastAsia="Arial" w:hAnsi="Arial"/>
          <w:sz w:val="18"/>
          <w:szCs w:val="18"/>
          <w:color w:val="auto"/>
        </w:rPr>
        <w:t>Title: Principal Financial Officer</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291" w:right="239" w:bottom="1440" w:gutter="0" w:footer="0" w:header="0"/>
        </w:sectPr>
      </w:pPr>
    </w:p>
    <w:bookmarkStart w:id="382" w:name="page383"/>
    <w:bookmarkEnd w:id="382"/>
    <w:p>
      <w:pPr>
        <w:spacing w:after="0"/>
        <w:tabs>
          <w:tab w:leader="none" w:pos="1026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32.1</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74" w:lineRule="exact"/>
        <w:rPr>
          <w:sz w:val="20"/>
          <w:szCs w:val="20"/>
          <w:color w:val="auto"/>
        </w:rPr>
      </w:pPr>
    </w:p>
    <w:p>
      <w:pPr>
        <w:ind w:left="260" w:hanging="252"/>
        <w:spacing w:after="0"/>
        <w:tabs>
          <w:tab w:leader="none" w:pos="2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Chief Executive Officer</w:t>
      </w:r>
    </w:p>
    <w:p>
      <w:pPr>
        <w:spacing w:after="0" w:line="9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8"/>
          <w:szCs w:val="18"/>
          <w:color w:val="auto"/>
        </w:rPr>
        <w:t>Name: Michael J. Angelakis</w:t>
      </w:r>
    </w:p>
    <w:p>
      <w:pPr>
        <w:ind w:left="8060"/>
        <w:spacing w:after="0"/>
        <w:rPr>
          <w:sz w:val="20"/>
          <w:szCs w:val="20"/>
          <w:color w:val="auto"/>
        </w:rPr>
      </w:pPr>
      <w:r>
        <w:rPr>
          <w:rFonts w:ascii="Arial" w:cs="Arial" w:eastAsia="Arial" w:hAnsi="Arial"/>
          <w:sz w:val="18"/>
          <w:szCs w:val="18"/>
          <w:color w:val="auto"/>
        </w:rPr>
        <w:t>Title: Chief 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Comcast 2014 Annual Report on Form 10-K</w:t>
      </w:r>
    </w:p>
    <w:p>
      <w:pPr>
        <w:sectPr>
          <w:pgSz w:w="11900" w:h="16838" w:orient="portrait"/>
          <w:cols w:equalWidth="0" w:num="1">
            <w:col w:w="11420"/>
          </w:cols>
          <w:pgMar w:left="240" w:top="120" w:right="239" w:bottom="1440" w:gutter="0" w:footer="0" w:header="0"/>
        </w:sectPr>
      </w:pPr>
    </w:p>
    <w:bookmarkStart w:id="383" w:name="page384"/>
    <w:bookmarkEnd w:id="383"/>
    <w:p>
      <w:pPr>
        <w:spacing w:after="0"/>
        <w:tabs>
          <w:tab w:leader="none" w:pos="1038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5"/>
          <w:szCs w:val="25"/>
          <w:b w:val="1"/>
          <w:bCs w:val="1"/>
          <w:color w:val="auto"/>
          <w:vertAlign w:val="superscript"/>
        </w:rPr>
        <w:t>Exhibit 32.2</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114" w:lineRule="exact"/>
        <w:rPr>
          <w:sz w:val="20"/>
          <w:szCs w:val="20"/>
          <w:color w:val="auto"/>
        </w:rPr>
      </w:pPr>
    </w:p>
    <w:p>
      <w:pPr>
        <w:ind w:left="260" w:hanging="252"/>
        <w:spacing w:after="0"/>
        <w:tabs>
          <w:tab w:leader="none" w:pos="2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Principal Executive Officer</w:t>
      </w:r>
    </w:p>
    <w:p>
      <w:pPr>
        <w:spacing w:after="0" w:line="9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Michael J. Angelakis</w:t>
      </w:r>
    </w:p>
    <w:p>
      <w:pPr>
        <w:jc w:val="center"/>
        <w:ind w:left="6860"/>
        <w:spacing w:after="0"/>
        <w:rPr>
          <w:sz w:val="20"/>
          <w:szCs w:val="20"/>
          <w:color w:val="auto"/>
        </w:rPr>
      </w:pPr>
      <w:r>
        <w:rPr>
          <w:rFonts w:ascii="Arial" w:cs="Arial" w:eastAsia="Arial" w:hAnsi="Arial"/>
          <w:sz w:val="18"/>
          <w:szCs w:val="18"/>
          <w:color w:val="auto"/>
        </w:rPr>
        <w:t>Title: Principal Financial Officer</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Comcast 2014 Annual Report on Form 10-K</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23D5F2"/>
    <w:multiLevelType w:val="hybridMultilevel"/>
    <w:lvl w:ilvl="0">
      <w:lvlJc w:val="left"/>
      <w:lvlText w:val="☒"/>
      <w:numFmt w:val="bullet"/>
      <w:start w:val="1"/>
    </w:lvl>
  </w:abstractNum>
  <w:abstractNum w:abstractNumId="1">
    <w:nsid w:val="135B8110"/>
    <w:multiLevelType w:val="hybridMultilevel"/>
    <w:lvl w:ilvl="0">
      <w:lvlJc w:val="left"/>
      <w:lvlText w:val="☐"/>
      <w:numFmt w:val="bullet"/>
      <w:start w:val="1"/>
    </w:lvl>
  </w:abstractNum>
  <w:abstractNum w:abstractNumId="2">
    <w:nsid w:val="94927A8"/>
    <w:multiLevelType w:val="hybridMultilevel"/>
    <w:lvl w:ilvl="0">
      <w:lvlJc w:val="left"/>
      <w:lvlText w:val="☐"/>
      <w:numFmt w:val="bullet"/>
      <w:start w:val="1"/>
    </w:lvl>
  </w:abstractNum>
  <w:abstractNum w:abstractNumId="3">
    <w:nsid w:val="DCDF8F6"/>
    <w:multiLevelType w:val="hybridMultilevel"/>
    <w:lvl w:ilvl="0">
      <w:lvlJc w:val="left"/>
      <w:lvlText w:val="•"/>
      <w:numFmt w:val="bullet"/>
      <w:start w:val="1"/>
    </w:lvl>
  </w:abstractNum>
  <w:abstractNum w:abstractNumId="4">
    <w:nsid w:val="52D7B105"/>
    <w:multiLevelType w:val="hybridMultilevel"/>
    <w:lvl w:ilvl="0">
      <w:lvlJc w:val="left"/>
      <w:lvlText w:val="(%1)"/>
      <w:numFmt w:val="lowerLetter"/>
      <w:start w:val="1"/>
    </w:lvl>
  </w:abstractNum>
  <w:abstractNum w:abstractNumId="5">
    <w:nsid w:val="2E8A6394"/>
    <w:multiLevelType w:val="hybridMultilevel"/>
    <w:lvl w:ilvl="0">
      <w:lvlJc w:val="left"/>
      <w:lvlText w:val="(%1)"/>
      <w:numFmt w:val="lowerLetter"/>
      <w:start w:val="4"/>
    </w:lvl>
  </w:abstractNum>
  <w:abstractNum w:abstractNumId="6">
    <w:nsid w:val="24E60401"/>
    <w:multiLevelType w:val="hybridMultilevel"/>
    <w:lvl w:ilvl="0">
      <w:lvlJc w:val="left"/>
      <w:lvlText w:val="•"/>
      <w:numFmt w:val="bullet"/>
      <w:start w:val="1"/>
    </w:lvl>
    <w:lvl w:ilvl="1">
      <w:lvlJc w:val="left"/>
      <w:lvlText w:val="•"/>
      <w:numFmt w:val="bullet"/>
      <w:start w:val="1"/>
    </w:lvl>
  </w:abstractNum>
  <w:abstractNum w:abstractNumId="7">
    <w:nsid w:val="2A6AD9BE"/>
    <w:multiLevelType w:val="hybridMultilevel"/>
    <w:lvl w:ilvl="0">
      <w:lvlJc w:val="left"/>
      <w:lvlText w:val="•"/>
      <w:numFmt w:val="bullet"/>
      <w:start w:val="1"/>
    </w:lvl>
  </w:abstractNum>
  <w:abstractNum w:abstractNumId="8">
    <w:nsid w:val="BAAC1B4"/>
    <w:multiLevelType w:val="hybridMultilevel"/>
    <w:lvl w:ilvl="0">
      <w:lvlJc w:val="left"/>
      <w:lvlText w:val="(%1)"/>
      <w:numFmt w:val="lowerLetter"/>
      <w:start w:val="1"/>
    </w:lvl>
  </w:abstractNum>
  <w:abstractNum w:abstractNumId="9">
    <w:nsid w:val="36B2ACBC"/>
    <w:multiLevelType w:val="hybridMultilevel"/>
    <w:lvl w:ilvl="0">
      <w:lvlJc w:val="left"/>
      <w:lvlText w:val="(%1)"/>
      <w:numFmt w:val="lowerLetter"/>
      <w:start w:val="1"/>
    </w:lvl>
  </w:abstractNum>
  <w:abstractNum w:abstractNumId="10">
    <w:nsid w:val="779D8544"/>
    <w:multiLevelType w:val="hybridMultilevel"/>
    <w:lvl w:ilvl="0">
      <w:lvlJc w:val="left"/>
      <w:lvlText w:val="(%1)"/>
      <w:numFmt w:val="lowerLetter"/>
      <w:start w:val="1"/>
    </w:lvl>
  </w:abstractNum>
  <w:abstractNum w:abstractNumId="11">
    <w:nsid w:val="4AB26E78"/>
    <w:multiLevelType w:val="hybridMultilevel"/>
    <w:lvl w:ilvl="0">
      <w:lvlJc w:val="left"/>
      <w:lvlText w:val="•"/>
      <w:numFmt w:val="bullet"/>
      <w:start w:val="1"/>
    </w:lvl>
  </w:abstractNum>
  <w:abstractNum w:abstractNumId="12">
    <w:nsid w:val="21FAA2FA"/>
    <w:multiLevelType w:val="hybridMultilevel"/>
    <w:lvl w:ilvl="0">
      <w:lvlJc w:val="left"/>
      <w:lvlText w:val="•"/>
      <w:numFmt w:val="bullet"/>
      <w:start w:val="1"/>
    </w:lvl>
  </w:abstractNum>
  <w:abstractNum w:abstractNumId="13">
    <w:nsid w:val="5451CF49"/>
    <w:multiLevelType w:val="hybridMultilevel"/>
    <w:lvl w:ilvl="0">
      <w:lvlJc w:val="left"/>
      <w:lvlText w:val="•"/>
      <w:numFmt w:val="bullet"/>
      <w:start w:val="1"/>
    </w:lvl>
  </w:abstractNum>
  <w:abstractNum w:abstractNumId="14">
    <w:nsid w:val="6181EF69"/>
    <w:multiLevelType w:val="hybridMultilevel"/>
    <w:lvl w:ilvl="0">
      <w:lvlJc w:val="left"/>
      <w:lvlText w:val="•"/>
      <w:numFmt w:val="bullet"/>
      <w:start w:val="1"/>
    </w:lvl>
  </w:abstractNum>
  <w:abstractNum w:abstractNumId="15">
    <w:nsid w:val="3E6400E6"/>
    <w:multiLevelType w:val="hybridMultilevel"/>
    <w:lvl w:ilvl="0">
      <w:lvlJc w:val="left"/>
      <w:lvlText w:val="(%1)"/>
      <w:numFmt w:val="lowerLetter"/>
      <w:start w:val="1"/>
    </w:lvl>
  </w:abstractNum>
  <w:abstractNum w:abstractNumId="16">
    <w:nsid w:val="14217E23"/>
    <w:multiLevelType w:val="hybridMultilevel"/>
    <w:lvl w:ilvl="0">
      <w:lvlJc w:val="left"/>
      <w:lvlText w:val="(%1)"/>
      <w:numFmt w:val="lowerLetter"/>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lvl w:ilvl="1">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1)"/>
      <w:numFmt w:val="lowerLetter"/>
      <w:start w:val="1"/>
    </w:lvl>
  </w:abstractNum>
  <w:abstractNum w:abstractNumId="21">
    <w:nsid w:val="475E256A"/>
    <w:multiLevelType w:val="hybridMultilevel"/>
    <w:lvl w:ilvl="0">
      <w:lvlJc w:val="left"/>
      <w:lvlText w:val="(%1)"/>
      <w:numFmt w:val="lowerLetter"/>
      <w:start w:val="1"/>
    </w:lvl>
  </w:abstractNum>
  <w:abstractNum w:abstractNumId="22">
    <w:nsid w:val="368DB37E"/>
    <w:multiLevelType w:val="hybridMultilevel"/>
    <w:lvl w:ilvl="0">
      <w:lvlJc w:val="left"/>
      <w:lvlText w:val="•"/>
      <w:numFmt w:val="bullet"/>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
      <w:numFmt w:val="bullet"/>
      <w:start w:val="1"/>
    </w:lvl>
  </w:abstractNum>
  <w:abstractNum w:abstractNumId="25">
    <w:nsid w:val="1F461B51"/>
    <w:multiLevelType w:val="hybridMultilevel"/>
    <w:lvl w:ilvl="0">
      <w:lvlJc w:val="left"/>
      <w:lvlText w:val="(%1)"/>
      <w:numFmt w:val="decimal"/>
      <w:start w:val="4"/>
    </w:lvl>
  </w:abstractNum>
  <w:abstractNum w:abstractNumId="26">
    <w:nsid w:val="29BACF25"/>
    <w:multiLevelType w:val="hybridMultilevel"/>
    <w:lvl w:ilvl="0">
      <w:lvlJc w:val="left"/>
      <w:lvlText w:val="(%1)"/>
      <w:numFmt w:val="lowerLetter"/>
      <w:start w:val="1"/>
    </w:lvl>
  </w:abstractNum>
  <w:abstractNum w:abstractNumId="27">
    <w:nsid w:val="5D5BABB3"/>
    <w:multiLevelType w:val="hybridMultilevel"/>
    <w:lvl w:ilvl="0">
      <w:lvlJc w:val="left"/>
      <w:lvlText w:val="(%1)"/>
      <w:numFmt w:val="lowerLetter"/>
      <w:start w:val="1"/>
    </w:lvl>
  </w:abstractNum>
  <w:abstractNum w:abstractNumId="28">
    <w:nsid w:val="51BF6B48"/>
    <w:multiLevelType w:val="hybridMultilevel"/>
    <w:lvl w:ilvl="0">
      <w:lvlJc w:val="left"/>
      <w:lvlText w:val="•"/>
      <w:numFmt w:val="bullet"/>
      <w:start w:val="1"/>
    </w:lvl>
  </w:abstractNum>
  <w:abstractNum w:abstractNumId="29">
    <w:nsid w:val="7E0F6384"/>
    <w:multiLevelType w:val="hybridMultilevel"/>
    <w:lvl w:ilvl="0">
      <w:lvlJc w:val="left"/>
      <w:lvlText w:val="•"/>
      <w:numFmt w:val="bullet"/>
      <w:start w:val="1"/>
    </w:lvl>
    <w:lvl w:ilvl="1">
      <w:lvlJc w:val="left"/>
      <w:lvlText w:val="(%2)"/>
      <w:numFmt w:val="decimal"/>
      <w:start w:val="4"/>
    </w:lvl>
  </w:abstractNum>
  <w:abstractNum w:abstractNumId="30">
    <w:nsid w:val="2B4B8B53"/>
    <w:multiLevelType w:val="hybridMultilevel"/>
    <w:lvl w:ilvl="0">
      <w:lvlJc w:val="left"/>
      <w:lvlText w:val="(%1)"/>
      <w:numFmt w:val="lowerLetter"/>
      <w:start w:val="1"/>
    </w:lvl>
  </w:abstractNum>
  <w:abstractNum w:abstractNumId="31">
    <w:nsid w:val="72E3413A"/>
    <w:multiLevelType w:val="hybridMultilevel"/>
    <w:lvl w:ilvl="0">
      <w:lvlJc w:val="left"/>
      <w:lvlText w:val="•"/>
      <w:numFmt w:val="bullet"/>
      <w:start w:val="1"/>
    </w:lvl>
  </w:abstractNum>
  <w:abstractNum w:abstractNumId="32">
    <w:nsid w:val="116AE494"/>
    <w:multiLevelType w:val="hybridMultilevel"/>
    <w:lvl w:ilvl="0">
      <w:lvlJc w:val="left"/>
      <w:lvlText w:val="•"/>
      <w:numFmt w:val="bullet"/>
      <w:start w:val="1"/>
    </w:lvl>
  </w:abstractNum>
  <w:abstractNum w:abstractNumId="33">
    <w:nsid w:val="3494B2FB"/>
    <w:multiLevelType w:val="hybridMultilevel"/>
    <w:lvl w:ilvl="0">
      <w:lvlJc w:val="left"/>
      <w:lvlText w:val="•"/>
      <w:numFmt w:val="bullet"/>
      <w:start w:val="1"/>
    </w:lvl>
  </w:abstractNum>
  <w:abstractNum w:abstractNumId="34">
    <w:nsid w:val="B13A31"/>
    <w:multiLevelType w:val="hybridMultilevel"/>
    <w:lvl w:ilvl="0">
      <w:lvlJc w:val="left"/>
      <w:lvlText w:val="(%1)"/>
      <w:numFmt w:val="lowerLetter"/>
      <w:start w:val="2"/>
    </w:lvl>
    <w:lvl w:ilvl="1">
      <w:lvlJc w:val="left"/>
      <w:lvlText w:val="•"/>
      <w:numFmt w:val="bullet"/>
      <w:start w:val="1"/>
    </w:lvl>
  </w:abstractNum>
  <w:abstractNum w:abstractNumId="35">
    <w:nsid w:val="64429599"/>
    <w:multiLevelType w:val="hybridMultilevel"/>
    <w:lvl w:ilvl="0">
      <w:lvlJc w:val="left"/>
      <w:lvlText w:val="(%1)"/>
      <w:numFmt w:val="lowerLetter"/>
      <w:start w:val="7"/>
    </w:lvl>
  </w:abstractNum>
  <w:abstractNum w:abstractNumId="36">
    <w:nsid w:val="631F1690"/>
    <w:multiLevelType w:val="hybridMultilevel"/>
    <w:lvl w:ilvl="0">
      <w:lvlJc w:val="left"/>
      <w:lvlText w:val="(%1)"/>
      <w:numFmt w:val="lowerLetter"/>
      <w:start w:val="1"/>
    </w:lvl>
  </w:abstractNum>
  <w:abstractNum w:abstractNumId="37">
    <w:nsid w:val="25973E32"/>
    <w:multiLevelType w:val="hybridMultilevel"/>
    <w:lvl w:ilvl="0">
      <w:lvlJc w:val="left"/>
      <w:lvlText w:val="(%1)"/>
      <w:numFmt w:val="lowerLetter"/>
      <w:start w:val="4"/>
    </w:lvl>
  </w:abstractNum>
  <w:abstractNum w:abstractNumId="38">
    <w:nsid w:val="EAD6F57"/>
    <w:multiLevelType w:val="hybridMultilevel"/>
    <w:lvl w:ilvl="0">
      <w:lvlJc w:val="left"/>
      <w:lvlText w:val="•"/>
      <w:numFmt w:val="bullet"/>
      <w:start w:val="1"/>
    </w:lvl>
  </w:abstractNum>
  <w:abstractNum w:abstractNumId="39">
    <w:nsid w:val="6EC9D844"/>
    <w:multiLevelType w:val="hybridMultilevel"/>
    <w:lvl w:ilvl="0">
      <w:lvlJc w:val="left"/>
      <w:lvlText w:val="(%1)"/>
      <w:numFmt w:val="lowerLetter"/>
      <w:start w:val="1"/>
    </w:lvl>
  </w:abstractNum>
  <w:abstractNum w:abstractNumId="40">
    <w:nsid w:val="5C49EAEE"/>
    <w:multiLevelType w:val="hybridMultilevel"/>
    <w:lvl w:ilvl="0">
      <w:lvlJc w:val="left"/>
      <w:lvlText w:val="%1"/>
      <w:numFmt w:val="decimal"/>
      <w:start w:val="101"/>
    </w:lvl>
  </w:abstractNum>
  <w:abstractNum w:abstractNumId="41">
    <w:nsid w:val="64AF49B"/>
    <w:multiLevelType w:val="hybridMultilevel"/>
    <w:lvl w:ilvl="0">
      <w:lvlJc w:val="left"/>
      <w:lvlText w:val="*"/>
      <w:numFmt w:val="bullet"/>
      <w:start w:val="1"/>
    </w:lvl>
  </w:abstractNum>
  <w:abstractNum w:abstractNumId="42">
    <w:nsid w:val="397C46BC"/>
    <w:multiLevelType w:val="hybridMultilevel"/>
    <w:lvl w:ilvl="0">
      <w:lvlJc w:val="left"/>
      <w:lvlText w:val="(%1)"/>
      <w:numFmt w:val="lowerLetter"/>
      <w:start w:val="1"/>
    </w:lvl>
  </w:abstractNum>
  <w:abstractNum w:abstractNumId="43">
    <w:nsid w:val="7E448DE9"/>
    <w:multiLevelType w:val="hybridMultilevel"/>
    <w:lvl w:ilvl="0">
      <w:lvlJc w:val="left"/>
      <w:lvlText w:val="%1"/>
      <w:numFmt w:val="decimal"/>
      <w:start w:val="101"/>
    </w:lvl>
  </w:abstractNum>
  <w:abstractNum w:abstractNumId="44">
    <w:nsid w:val="5A9CC3E5"/>
    <w:multiLevelType w:val="hybridMultilevel"/>
    <w:lvl w:ilvl="0">
      <w:lvlJc w:val="left"/>
      <w:lvlText w:val="†"/>
      <w:numFmt w:val="bullet"/>
      <w:start w:val="1"/>
    </w:lvl>
  </w:abstractNum>
  <w:abstractNum w:abstractNumId="45">
    <w:nsid w:val="1AFE3625"/>
    <w:multiLevelType w:val="hybridMultilevel"/>
    <w:lvl w:ilvl="0">
      <w:lvlJc w:val="left"/>
      <w:lvlText w:val="*"/>
      <w:numFmt w:val="bullet"/>
      <w:start w:val="1"/>
    </w:lvl>
  </w:abstractNum>
  <w:abstractNum w:abstractNumId="46">
    <w:nsid w:val="3CA88ECF"/>
    <w:multiLevelType w:val="hybridMultilevel"/>
    <w:lvl w:ilvl="0">
      <w:lvlJc w:val="left"/>
      <w:lvlText w:val="•"/>
      <w:numFmt w:val="bullet"/>
      <w:start w:val="1"/>
    </w:lvl>
  </w:abstractNum>
  <w:abstractNum w:abstractNumId="47">
    <w:nsid w:val="6EBE4208"/>
    <w:multiLevelType w:val="hybridMultilevel"/>
    <w:lvl w:ilvl="0">
      <w:lvlJc w:val="left"/>
      <w:lvlText w:val="(%1)"/>
      <w:numFmt w:val="decimal"/>
      <w:start w:val="4"/>
    </w:lvl>
  </w:abstractNum>
  <w:abstractNum w:abstractNumId="48">
    <w:nsid w:val="C058DF5"/>
    <w:multiLevelType w:val="hybridMultilevel"/>
    <w:lvl w:ilvl="0">
      <w:lvlJc w:val="left"/>
      <w:lvlText w:val="(%1)"/>
      <w:numFmt w:val="lowerLetter"/>
      <w:start w:val="1"/>
    </w:lvl>
  </w:abstractNum>
  <w:abstractNum w:abstractNumId="49">
    <w:nsid w:val="CBE5BE9"/>
    <w:multiLevelType w:val="hybridMultilevel"/>
    <w:lvl w:ilvl="0">
      <w:lvlJc w:val="left"/>
      <w:lvlText w:val="(%1)"/>
      <w:numFmt w:val="lowerLetter"/>
      <w:start w:val="1"/>
    </w:lvl>
  </w:abstractNum>
  <w:abstractNum w:abstractNumId="50">
    <w:nsid w:val="3102BBE2"/>
    <w:multiLevelType w:val="hybridMultilevel"/>
    <w:lvl w:ilvl="0">
      <w:lvlJc w:val="left"/>
      <w:lvlText w:val="•"/>
      <w:numFmt w:val="bullet"/>
      <w:start w:val="1"/>
    </w:lvl>
  </w:abstractNum>
  <w:abstractNum w:abstractNumId="51">
    <w:nsid w:val="26A02C5E"/>
    <w:multiLevelType w:val="hybridMultilevel"/>
    <w:lvl w:ilvl="0">
      <w:lvlJc w:val="left"/>
      <w:lvlText w:val="(%1)"/>
      <w:numFmt w:val="lowerLetter"/>
      <w:start w:val="1"/>
    </w:lvl>
  </w:abstractNum>
  <w:abstractNum w:abstractNumId="52">
    <w:nsid w:val="541C8153"/>
    <w:multiLevelType w:val="hybridMultilevel"/>
    <w:lvl w:ilvl="0">
      <w:lvlJc w:val="left"/>
      <w:lvlText w:val="(%1)"/>
      <w:numFmt w:val="lowerLetter"/>
      <w:start w:val="1"/>
    </w:lvl>
  </w:abstractNum>
  <w:abstractNum w:abstractNumId="53">
    <w:nsid w:val="67906F60"/>
    <w:multiLevelType w:val="hybridMultilevel"/>
    <w:lvl w:ilvl="0">
      <w:lvlJc w:val="left"/>
      <w:lvlText w:val="(%1)"/>
      <w:numFmt w:val="lowerLetter"/>
      <w:start w:val="1"/>
    </w:lvl>
  </w:abstractNum>
  <w:abstractNum w:abstractNumId="54">
    <w:nsid w:val="10DB9DA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
    <w:nsid w:val="697D2D2"/>
    <w:multiLevelType w:val="hybridMultilevel"/>
    <w:lvl w:ilvl="0">
      <w:lvlJc w:val="left"/>
      <w:lvlText w:val="%1"/>
      <w:numFmt w:val="lowerLetter"/>
      <w:start w:val="1"/>
    </w:lvl>
    <w:lvl w:ilvl="1">
      <w:lvlJc w:val="left"/>
      <w:lvlText w:val="(%2)"/>
      <w:numFmt w:val="upperLetter"/>
      <w:start w:val="2"/>
    </w:lvl>
  </w:abstractNum>
  <w:abstractNum w:abstractNumId="56">
    <w:nsid w:val="6D68AB2"/>
    <w:multiLevelType w:val="hybridMultilevel"/>
    <w:lvl w:ilvl="0">
      <w:lvlJc w:val="left"/>
      <w:lvlText w:val="(%1)"/>
      <w:numFmt w:val="lowerLetter"/>
      <w:start w:val="2"/>
    </w:lvl>
    <w:lvl w:ilvl="1">
      <w:lvlJc w:val="left"/>
      <w:lvlText w:val="%2"/>
      <w:numFmt w:val="upperLetter"/>
      <w:start w:val="1"/>
    </w:lvl>
  </w:abstractNum>
  <w:abstractNum w:abstractNumId="57">
    <w:nsid w:val="3A966CD0"/>
    <w:multiLevelType w:val="hybridMultilevel"/>
    <w:lvl w:ilvl="0">
      <w:lvlJc w:val="left"/>
      <w:lvlText w:val="%1"/>
      <w:numFmt w:val="lowerLetter"/>
      <w:start w:val="1"/>
    </w:lvl>
    <w:lvl w:ilvl="1">
      <w:lvlJc w:val="left"/>
      <w:lvlText w:val="(%2)"/>
      <w:numFmt w:val="lowerLetter"/>
      <w:start w:val="1"/>
    </w:lvl>
  </w:abstractNum>
  <w:abstractNum w:abstractNumId="58">
    <w:nsid w:val="63F37E85"/>
    <w:multiLevelType w:val="hybridMultilevel"/>
    <w:lvl w:ilvl="0">
      <w:lvlJc w:val="left"/>
      <w:lvlText w:val="(%1)"/>
      <w:numFmt w:val="lowerLetter"/>
      <w:start w:val="35"/>
    </w:lvl>
    <w:lvl w:ilvl="1">
      <w:lvlJc w:val="left"/>
      <w:lvlText w:val="(%2)"/>
      <w:numFmt w:val="lowerLetter"/>
      <w:start w:val="3"/>
    </w:lvl>
  </w:abstractNum>
  <w:abstractNum w:abstractNumId="59">
    <w:nsid w:val="5895F5FA"/>
    <w:multiLevelType w:val="hybridMultilevel"/>
    <w:lvl w:ilvl="0">
      <w:lvlJc w:val="left"/>
      <w:lvlText w:val="(%1)"/>
      <w:numFmt w:val="lowerLetter"/>
      <w:start w:val="1"/>
    </w:lvl>
  </w:abstractNum>
  <w:abstractNum w:abstractNumId="60">
    <w:nsid w:val="38A5D054"/>
    <w:multiLevelType w:val="hybridMultilevel"/>
    <w:lvl w:ilvl="0">
      <w:lvlJc w:val="left"/>
      <w:lvlText w:val="(%1)"/>
      <w:numFmt w:val="lowerLetter"/>
      <w:start w:val="1"/>
    </w:lvl>
  </w:abstractNum>
  <w:abstractNum w:abstractNumId="61">
    <w:nsid w:val="F3F09D8"/>
    <w:multiLevelType w:val="hybridMultilevel"/>
    <w:lvl w:ilvl="0">
      <w:lvlJc w:val="left"/>
      <w:lvlText w:val="(%1)"/>
      <w:numFmt w:val="lowerLetter"/>
      <w:start w:val="1"/>
    </w:lvl>
  </w:abstractNum>
  <w:abstractNum w:abstractNumId="62">
    <w:nsid w:val="4B793735"/>
    <w:multiLevelType w:val="hybridMultilevel"/>
    <w:lvl w:ilvl="0">
      <w:lvlJc w:val="left"/>
      <w:lvlText w:val="(%1)"/>
      <w:numFmt w:val="lowerLetter"/>
      <w:start w:val="1"/>
    </w:lvl>
  </w:abstractNum>
  <w:abstractNum w:abstractNumId="63">
    <w:nsid w:val="4A10B4E8"/>
    <w:multiLevelType w:val="hybridMultilevel"/>
    <w:lvl w:ilvl="0">
      <w:lvlJc w:val="left"/>
      <w:lvlText w:val="(%1)"/>
      <w:numFmt w:val="lowerLetter"/>
      <w:start w:val="1"/>
    </w:lvl>
  </w:abstractNum>
  <w:abstractNum w:abstractNumId="64">
    <w:nsid w:val="43D3BCD4"/>
    <w:multiLevelType w:val="hybridMultilevel"/>
    <w:lvl w:ilvl="0">
      <w:lvlJc w:val="left"/>
      <w:lvlText w:val="(%1)"/>
      <w:numFmt w:val="lowerLetter"/>
      <w:start w:val="2"/>
    </w:lvl>
  </w:abstractNum>
  <w:abstractNum w:abstractNumId="65">
    <w:nsid w:val="4C2A7166"/>
    <w:multiLevelType w:val="hybridMultilevel"/>
    <w:lvl w:ilvl="0">
      <w:lvlJc w:val="left"/>
      <w:lvlText w:val="(%1)"/>
      <w:numFmt w:val="lowerLetter"/>
      <w:start w:val="1"/>
    </w:lvl>
  </w:abstractNum>
  <w:abstractNum w:abstractNumId="66">
    <w:nsid w:val="2E534A82"/>
    <w:multiLevelType w:val="hybridMultilevel"/>
    <w:lvl w:ilvl="0">
      <w:lvlJc w:val="left"/>
      <w:lvlText w:val="(%1)"/>
      <w:numFmt w:val="lowerLetter"/>
      <w:start w:val="1"/>
    </w:lvl>
    <w:lvl w:ilvl="1">
      <w:lvlJc w:val="left"/>
      <w:lvlText w:val="(%2)"/>
      <w:numFmt w:val="lowerRoman"/>
      <w:start w:val="1"/>
    </w:lvl>
  </w:abstractNum>
  <w:abstractNum w:abstractNumId="67">
    <w:nsid w:val="26F2D364"/>
    <w:multiLevelType w:val="hybridMultilevel"/>
    <w:lvl w:ilvl="0">
      <w:lvlJc w:val="left"/>
      <w:lvlText w:val="(%1)"/>
      <w:numFmt w:val="lowerLetter"/>
      <w:start w:val="3"/>
    </w:lvl>
    <w:lvl w:ilvl="1">
      <w:lvlJc w:val="left"/>
      <w:lvlText w:val="(%2)"/>
      <w:numFmt w:val="lowerRoman"/>
      <w:start w:val="1"/>
    </w:lvl>
  </w:abstractNum>
  <w:abstractNum w:abstractNumId="68">
    <w:nsid w:val="71C1AF98"/>
    <w:multiLevelType w:val="hybridMultilevel"/>
    <w:lvl w:ilvl="0">
      <w:lvlJc w:val="left"/>
      <w:lvlText w:val="(%1)"/>
      <w:numFmt w:val="lowerLetter"/>
      <w:start w:val="1"/>
    </w:lvl>
  </w:abstractNum>
  <w:abstractNum w:abstractNumId="69">
    <w:nsid w:val="3D00B9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0">
    <w:nsid w:val="15BCABA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1">
    <w:nsid w:val="4E0B9A87"/>
    <w:multiLevelType w:val="hybridMultilevel"/>
    <w:lvl w:ilvl="0">
      <w:lvlJc w:val="left"/>
      <w:lvlText w:val="%1"/>
      <w:numFmt w:val="lowerLetter"/>
      <w:start w:val="1"/>
    </w:lvl>
    <w:lvl w:ilvl="1">
      <w:lvlJc w:val="left"/>
      <w:lvlText w:val="(%2)"/>
      <w:numFmt w:val="lowerRoman"/>
      <w:start w:val="3"/>
    </w:lvl>
  </w:abstractNum>
  <w:abstractNum w:abstractNumId="72">
    <w:nsid w:val="434BAE75"/>
    <w:multiLevelType w:val="hybridMultilevel"/>
    <w:lvl w:ilvl="0">
      <w:lvlJc w:val="left"/>
      <w:lvlText w:val="(%1)"/>
      <w:numFmt w:val="lowerLetter"/>
      <w:start w:val="2"/>
    </w:lvl>
    <w:lvl w:ilvl="1">
      <w:lvlJc w:val="left"/>
      <w:lvlText w:val="(%2)"/>
      <w:numFmt w:val="lowerRoman"/>
      <w:start w:val="1"/>
    </w:lvl>
  </w:abstractNum>
  <w:abstractNum w:abstractNumId="73">
    <w:nsid w:val="4F38F265"/>
    <w:multiLevelType w:val="hybridMultilevel"/>
    <w:lvl w:ilvl="0">
      <w:lvlJc w:val="left"/>
      <w:lvlText w:val="(%1)"/>
      <w:numFmt w:val="lowerRoman"/>
      <w:start w:val="3"/>
    </w:lvl>
  </w:abstractNum>
  <w:abstractNum w:abstractNumId="74">
    <w:nsid w:val="4C502870"/>
    <w:multiLevelType w:val="hybridMultilevel"/>
    <w:lvl w:ilvl="0">
      <w:lvlJc w:val="left"/>
      <w:lvlText w:val="(%1)"/>
      <w:numFmt w:val="lowerLetter"/>
      <w:start w:val="1"/>
    </w:lvl>
  </w:abstractNum>
  <w:abstractNum w:abstractNumId="75">
    <w:nsid w:val="1DE8725A"/>
    <w:multiLevelType w:val="hybridMultilevel"/>
    <w:lvl w:ilvl="0">
      <w:lvlJc w:val="left"/>
      <w:lvlText w:val="%1"/>
      <w:numFmt w:val="lowerLetter"/>
      <w:start w:val="1"/>
    </w:lvl>
    <w:lvl w:ilvl="1">
      <w:lvlJc w:val="left"/>
      <w:lvlText w:val="(%2)"/>
      <w:numFmt w:val="lowerRoman"/>
      <w:start w:val="2"/>
    </w:lvl>
  </w:abstractNum>
  <w:abstractNum w:abstractNumId="76">
    <w:nsid w:val="6A37288A"/>
    <w:multiLevelType w:val="hybridMultilevel"/>
    <w:lvl w:ilvl="0">
      <w:lvlJc w:val="left"/>
      <w:lvlText w:val="(%1)"/>
      <w:numFmt w:val="lowerLetter"/>
      <w:start w:val="2"/>
    </w:lvl>
    <w:lvl w:ilvl="1">
      <w:lvlJc w:val="left"/>
      <w:lvlText w:val="(%2)"/>
      <w:numFmt w:val="lowerRoman"/>
      <w:start w:val="1"/>
    </w:lvl>
  </w:abstractNum>
  <w:abstractNum w:abstractNumId="77">
    <w:nsid w:val="8F8B73F"/>
    <w:multiLevelType w:val="hybridMultilevel"/>
    <w:lvl w:ilvl="0">
      <w:lvlJc w:val="left"/>
      <w:lvlText w:val="(%1)"/>
      <w:numFmt w:val="lowerLetter"/>
      <w:start w:val="1"/>
    </w:lvl>
    <w:lvl w:ilvl="1">
      <w:lvlJc w:val="left"/>
      <w:lvlText w:val="(%2)"/>
      <w:numFmt w:val="lowerRoman"/>
      <w:start w:val="1"/>
    </w:lvl>
  </w:abstractNum>
  <w:abstractNum w:abstractNumId="78">
    <w:nsid w:val="CA6B46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9">
    <w:nsid w:val="763CB680"/>
    <w:multiLevelType w:val="hybridMultilevel"/>
    <w:lvl w:ilvl="0">
      <w:lvlJc w:val="left"/>
      <w:lvlText w:val="(%1)"/>
      <w:numFmt w:val="upperLetter"/>
      <w:start w:val="3"/>
    </w:lvl>
  </w:abstractNum>
  <w:abstractNum w:abstractNumId="80">
    <w:nsid w:val="15B71329"/>
    <w:multiLevelType w:val="hybridMultilevel"/>
    <w:lvl w:ilvl="0">
      <w:lvlJc w:val="left"/>
      <w:lvlText w:val="(%1)"/>
      <w:numFmt w:val="lowerLetter"/>
      <w:start w:val="1"/>
    </w:lvl>
    <w:lvl w:ilvl="1">
      <w:lvlJc w:val="left"/>
      <w:lvlText w:val="(%2)"/>
      <w:numFmt w:val="lowerRoman"/>
      <w:start w:val="1"/>
    </w:lvl>
  </w:abstractNum>
  <w:abstractNum w:abstractNumId="81">
    <w:nsid w:val="3DA97044"/>
    <w:multiLevelType w:val="hybridMultilevel"/>
    <w:lvl w:ilvl="0">
      <w:lvlJc w:val="left"/>
      <w:lvlText w:val="%1"/>
      <w:numFmt w:val="lowerLetter"/>
      <w:start w:val="1"/>
    </w:lvl>
    <w:lvl w:ilvl="1">
      <w:lvlJc w:val="left"/>
      <w:lvlText w:val="(%2)"/>
      <w:numFmt w:val="lowerLetter"/>
      <w:start w:val="35"/>
    </w:lvl>
  </w:abstractNum>
  <w:abstractNum w:abstractNumId="82">
    <w:nsid w:val="1CDCE2DE"/>
    <w:multiLevelType w:val="hybridMultilevel"/>
    <w:lvl w:ilvl="0">
      <w:lvlJc w:val="left"/>
      <w:lvlText w:val="(%1)"/>
      <w:numFmt w:val="lowerLetter"/>
      <w:start w:val="5"/>
    </w:lvl>
    <w:lvl w:ilvl="1">
      <w:lvlJc w:val="left"/>
      <w:lvlText w:val="(%2)"/>
      <w:numFmt w:val="lowerLetter"/>
      <w:start w:val="9"/>
    </w:lvl>
  </w:abstractNum>
  <w:abstractNum w:abstractNumId="83">
    <w:nsid w:val="69D3947C"/>
    <w:multiLevelType w:val="hybridMultilevel"/>
    <w:lvl w:ilvl="0">
      <w:lvlJc w:val="left"/>
      <w:lvlText w:val="(%1)"/>
      <w:numFmt w:val="lowerRoman"/>
      <w:start w:val="2"/>
    </w:lvl>
  </w:abstractNum>
  <w:abstractNum w:abstractNumId="84">
    <w:nsid w:val="2539DFA5"/>
    <w:multiLevelType w:val="hybridMultilevel"/>
    <w:lvl w:ilvl="0">
      <w:lvlJc w:val="left"/>
      <w:lvlText w:val="(%1)"/>
      <w:numFmt w:val="lowerLetter"/>
      <w:start w:val="1"/>
    </w:lvl>
  </w:abstractNum>
  <w:abstractNum w:abstractNumId="85">
    <w:nsid w:val="2DB88089"/>
    <w:multiLevelType w:val="hybridMultilevel"/>
    <w:lvl w:ilvl="0">
      <w:lvlJc w:val="left"/>
      <w:lvlText w:val="(%1)"/>
      <w:numFmt w:val="lowerLetter"/>
      <w:start w:val="1"/>
    </w:lvl>
    <w:lvl w:ilvl="1">
      <w:lvlJc w:val="left"/>
      <w:lvlText w:val="(%2)"/>
      <w:numFmt w:val="lowerRoman"/>
      <w:start w:val="1"/>
    </w:lvl>
  </w:abstractNum>
  <w:abstractNum w:abstractNumId="86">
    <w:nsid w:val="706B674E"/>
    <w:multiLevelType w:val="hybridMultilevel"/>
    <w:lvl w:ilvl="0">
      <w:lvlJc w:val="left"/>
      <w:lvlText w:val="(%1)"/>
      <w:numFmt w:val="lowerLetter"/>
      <w:start w:val="4"/>
    </w:lvl>
  </w:abstractNum>
  <w:abstractNum w:abstractNumId="87">
    <w:nsid w:val="2C106A57"/>
    <w:multiLevelType w:val="hybridMultilevel"/>
    <w:lvl w:ilvl="0">
      <w:lvlJc w:val="left"/>
      <w:lvlText w:val="(%1)"/>
      <w:numFmt w:val="lowerLetter"/>
      <w:start w:val="1"/>
    </w:lvl>
  </w:abstractNum>
  <w:abstractNum w:abstractNumId="88">
    <w:nsid w:val="684EED59"/>
    <w:multiLevelType w:val="hybridMultilevel"/>
    <w:lvl w:ilvl="0">
      <w:lvlJc w:val="left"/>
      <w:lvlText w:val="(%1)"/>
      <w:numFmt w:val="lowerLetter"/>
      <w:start w:val="2"/>
    </w:lvl>
  </w:abstractNum>
  <w:abstractNum w:abstractNumId="89">
    <w:nsid w:val="545EE5D3"/>
    <w:multiLevelType w:val="hybridMultilevel"/>
    <w:lvl w:ilvl="0">
      <w:lvlJc w:val="left"/>
      <w:lvlText w:val="(%1)"/>
      <w:numFmt w:val="lowerLetter"/>
      <w:start w:val="1"/>
    </w:lvl>
  </w:abstractNum>
  <w:abstractNum w:abstractNumId="90">
    <w:nsid w:val="4A66051"/>
    <w:multiLevelType w:val="hybridMultilevel"/>
    <w:lvl w:ilvl="0">
      <w:lvlJc w:val="left"/>
      <w:lvlText w:val="%1"/>
      <w:numFmt w:val="lowerLetter"/>
      <w:start w:val="1"/>
    </w:lvl>
    <w:lvl w:ilvl="1">
      <w:lvlJc w:val="left"/>
      <w:lvlText w:val="(%2)"/>
      <w:numFmt w:val="lowerLetter"/>
      <w:start w:val="1"/>
    </w:lvl>
  </w:abstractNum>
  <w:abstractNum w:abstractNumId="91">
    <w:nsid w:val="20F4BDAD"/>
    <w:multiLevelType w:val="hybridMultilevel"/>
    <w:lvl w:ilvl="0">
      <w:lvlJc w:val="left"/>
      <w:lvlText w:val="(%1)"/>
      <w:numFmt w:val="lowerLetter"/>
      <w:start w:val="9"/>
    </w:lvl>
    <w:lvl w:ilvl="1">
      <w:lvlJc w:val="left"/>
      <w:lvlText w:val="%2"/>
      <w:numFmt w:val="lowerLetter"/>
      <w:start w:val="1"/>
    </w:lvl>
  </w:abstractNum>
  <w:abstractNum w:abstractNumId="92">
    <w:nsid w:val="639DEFAC"/>
    <w:multiLevelType w:val="hybridMultilevel"/>
    <w:lvl w:ilvl="0">
      <w:lvlJc w:val="left"/>
      <w:lvlText w:val="(%1)"/>
      <w:numFmt w:val="lowerLetter"/>
      <w:start w:val="1"/>
    </w:lvl>
    <w:lvl w:ilvl="1">
      <w:lvlJc w:val="left"/>
      <w:lvlText w:val="(%2)"/>
      <w:numFmt w:val="lowerRoman"/>
      <w:start w:val="1"/>
    </w:lvl>
  </w:abstractNum>
  <w:abstractNum w:abstractNumId="93">
    <w:nsid w:val="501F9786"/>
    <w:multiLevelType w:val="hybridMultilevel"/>
    <w:lvl w:ilvl="0">
      <w:lvlJc w:val="left"/>
      <w:lvlText w:val="(%1)"/>
      <w:numFmt w:val="lowerLetter"/>
      <w:start w:val="2"/>
    </w:lvl>
  </w:abstractNum>
  <w:abstractNum w:abstractNumId="94">
    <w:nsid w:val="6B057295"/>
    <w:multiLevelType w:val="hybridMultilevel"/>
    <w:lvl w:ilvl="0">
      <w:lvlJc w:val="left"/>
      <w:lvlText w:val="(%1)"/>
      <w:numFmt w:val="lowerLetter"/>
      <w:start w:val="1"/>
    </w:lvl>
  </w:abstractNum>
  <w:abstractNum w:abstractNumId="95">
    <w:nsid w:val="2771AC80"/>
    <w:multiLevelType w:val="hybridMultilevel"/>
    <w:lvl w:ilvl="0">
      <w:lvlJc w:val="left"/>
      <w:lvlText w:val="(%1)"/>
      <w:numFmt w:val="lowerLetter"/>
      <w:start w:val="1"/>
    </w:lvl>
  </w:abstractNum>
  <w:abstractNum w:abstractNumId="96">
    <w:nsid w:val="1C4A08EC"/>
    <w:multiLevelType w:val="hybridMultilevel"/>
    <w:lvl w:ilvl="0">
      <w:lvlJc w:val="left"/>
      <w:lvlText w:val="(%1)"/>
      <w:numFmt w:val="lowerLetter"/>
      <w:start w:val="3"/>
    </w:lvl>
  </w:abstractNum>
  <w:abstractNum w:abstractNumId="97">
    <w:nsid w:val="1958BD17"/>
    <w:multiLevelType w:val="hybridMultilevel"/>
    <w:lvl w:ilvl="0">
      <w:lvlJc w:val="left"/>
      <w:lvlText w:val="(%1)"/>
      <w:numFmt w:val="lowerLetter"/>
      <w:start w:val="1"/>
    </w:lvl>
    <w:lvl w:ilvl="1">
      <w:lvlJc w:val="left"/>
      <w:lvlText w:val="(%2)"/>
      <w:numFmt w:val="lowerRoman"/>
      <w:start w:val="1"/>
    </w:lvl>
  </w:abstractNum>
  <w:abstractNum w:abstractNumId="98">
    <w:nsid w:val="4E647FE4"/>
    <w:multiLevelType w:val="hybridMultilevel"/>
    <w:lvl w:ilvl="0">
      <w:lvlJc w:val="left"/>
      <w:lvlText w:val="(%1)"/>
      <w:numFmt w:val="lowerRoman"/>
      <w:start w:val="6"/>
    </w:lvl>
  </w:abstractNum>
  <w:abstractNum w:abstractNumId="99">
    <w:nsid w:val="E0BB885"/>
    <w:multiLevelType w:val="hybridMultilevel"/>
    <w:lvl w:ilvl="0">
      <w:lvlJc w:val="left"/>
      <w:lvlText w:val="(%1)"/>
      <w:numFmt w:val="lowerLetter"/>
      <w:start w:val="1"/>
    </w:lvl>
  </w:abstractNum>
  <w:abstractNum w:abstractNumId="100">
    <w:nsid w:val="565976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64212B8C"/>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02">
    <w:nsid w:val="5C17530C"/>
    <w:multiLevelType w:val="hybridMultilevel"/>
    <w:lvl w:ilvl="0">
      <w:lvlJc w:val="left"/>
      <w:lvlText w:val="(%1)"/>
      <w:numFmt w:val="lowerLetter"/>
      <w:start w:val="1"/>
    </w:lvl>
  </w:abstractNum>
  <w:abstractNum w:abstractNumId="103">
    <w:nsid w:val="19A52566"/>
    <w:multiLevelType w:val="hybridMultilevel"/>
    <w:lvl w:ilvl="0">
      <w:lvlJc w:val="left"/>
      <w:lvlText w:val="(%1)"/>
      <w:numFmt w:val="lowerLetter"/>
      <w:start w:val="2"/>
    </w:lvl>
  </w:abstractNum>
  <w:abstractNum w:abstractNumId="104">
    <w:nsid w:val="335A1DF1"/>
    <w:multiLevelType w:val="hybridMultilevel"/>
    <w:lvl w:ilvl="0">
      <w:lvlJc w:val="left"/>
      <w:lvlText w:val="(%1)"/>
      <w:numFmt w:val="lowerLetter"/>
      <w:start w:val="1"/>
    </w:lvl>
  </w:abstractNum>
  <w:abstractNum w:abstractNumId="105">
    <w:nsid w:val="28677B7C"/>
    <w:multiLevelType w:val="hybridMultilevel"/>
    <w:lvl w:ilvl="0">
      <w:lvlJc w:val="left"/>
      <w:lvlText w:val="(%1)"/>
      <w:numFmt w:val="lowerLetter"/>
      <w:start w:val="1"/>
    </w:lvl>
  </w:abstractNum>
  <w:abstractNum w:abstractNumId="106">
    <w:nsid w:val="378D97C0"/>
    <w:multiLevelType w:val="hybridMultilevel"/>
    <w:lvl w:ilvl="0">
      <w:lvlJc w:val="left"/>
      <w:lvlText w:val="(%1)"/>
      <w:numFmt w:val="lowerLetter"/>
      <w:start w:val="5"/>
    </w:lvl>
  </w:abstractNum>
  <w:abstractNum w:abstractNumId="107">
    <w:nsid w:val="1D91467C"/>
    <w:multiLevelType w:val="hybridMultilevel"/>
    <w:lvl w:ilvl="0">
      <w:lvlJc w:val="left"/>
      <w:lvlText w:val="(%1)"/>
      <w:numFmt w:val="lowerLetter"/>
      <w:start w:val="1"/>
    </w:lvl>
  </w:abstractNum>
  <w:abstractNum w:abstractNumId="108">
    <w:nsid w:val="316032BB"/>
    <w:multiLevelType w:val="hybridMultilevel"/>
    <w:lvl w:ilvl="0">
      <w:lvlJc w:val="left"/>
      <w:lvlText w:val="%1."/>
      <w:numFmt w:val="decimal"/>
      <w:start w:val="1"/>
    </w:lvl>
    <w:lvl w:ilvl="1">
      <w:lvlJc w:val="left"/>
      <w:lvlText w:val="(%2)"/>
      <w:numFmt w:val="lowerLetter"/>
      <w:start w:val="1"/>
    </w:lvl>
  </w:abstractNum>
  <w:abstractNum w:abstractNumId="109">
    <w:nsid w:val="44344C2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0">
    <w:nsid w:val="13CDFCFC"/>
    <w:multiLevelType w:val="hybridMultilevel"/>
    <w:lvl w:ilvl="0">
      <w:lvlJc w:val="left"/>
      <w:lvlText w:val="%1"/>
      <w:numFmt w:val="lowerLetter"/>
      <w:start w:val="1"/>
    </w:lvl>
    <w:lvl w:ilvl="1">
      <w:lvlJc w:val="left"/>
      <w:lvlText w:val="(%2)"/>
      <w:numFmt w:val="upperLetter"/>
      <w:start w:val="2"/>
    </w:lvl>
  </w:abstractNum>
  <w:abstractNum w:abstractNumId="111">
    <w:nsid w:val="471745E4"/>
    <w:multiLevelType w:val="hybridMultilevel"/>
    <w:lvl w:ilvl="0">
      <w:lvlJc w:val="left"/>
      <w:lvlText w:val="(%1)"/>
      <w:numFmt w:val="lowerLetter"/>
      <w:start w:val="35"/>
    </w:lvl>
    <w:lvl w:ilvl="1">
      <w:lvlJc w:val="left"/>
      <w:lvlText w:val="%2"/>
      <w:numFmt w:val="upperLetter"/>
      <w:start w:val="1"/>
    </w:lvl>
  </w:abstractNum>
  <w:abstractNum w:abstractNumId="112">
    <w:nsid w:val="1DDBC66"/>
    <w:multiLevelType w:val="hybridMultilevel"/>
    <w:lvl w:ilvl="0">
      <w:lvlJc w:val="left"/>
      <w:lvlText w:val="(%1)"/>
      <w:numFmt w:val="lowerLetter"/>
      <w:start w:val="7"/>
    </w:lvl>
    <w:lvl w:ilvl="1">
      <w:lvlJc w:val="left"/>
      <w:lvlText w:val="(%2)"/>
      <w:numFmt w:val="lowerRoman"/>
      <w:start w:val="1"/>
    </w:lvl>
  </w:abstractNum>
  <w:abstractNum w:abstractNumId="113">
    <w:nsid w:val="30AADFDA"/>
    <w:multiLevelType w:val="hybridMultilevel"/>
    <w:lvl w:ilvl="0">
      <w:lvlJc w:val="left"/>
      <w:lvlText w:val="(%1)"/>
      <w:numFmt w:val="lowerLetter"/>
      <w:start w:val="13"/>
    </w:lvl>
    <w:lvl w:ilvl="1">
      <w:lvlJc w:val="left"/>
      <w:lvlText w:val="(%2)"/>
      <w:numFmt w:val="lowerRoman"/>
      <w:start w:val="1"/>
    </w:lvl>
  </w:abstractNum>
  <w:abstractNum w:abstractNumId="114">
    <w:nsid w:val="30EADA61"/>
    <w:multiLevelType w:val="hybridMultilevel"/>
    <w:lvl w:ilvl="0">
      <w:lvlJc w:val="left"/>
      <w:lvlText w:val="(%1)"/>
      <w:numFmt w:val="upperLetter"/>
      <w:start w:val="1"/>
    </w:lvl>
  </w:abstractNum>
  <w:abstractNum w:abstractNumId="115">
    <w:nsid w:val="27179C0B"/>
    <w:multiLevelType w:val="hybridMultilevel"/>
    <w:lvl w:ilvl="0">
      <w:lvlJc w:val="left"/>
      <w:lvlText w:val="%1"/>
      <w:numFmt w:val="lowerRoman"/>
      <w:start w:val="1"/>
    </w:lvl>
    <w:lvl w:ilvl="1">
      <w:lvlJc w:val="left"/>
      <w:lvlText w:val="(%2)"/>
      <w:numFmt w:val="upperLetter"/>
      <w:start w:val="2"/>
    </w:lvl>
  </w:abstractNum>
  <w:abstractNum w:abstractNumId="116">
    <w:nsid w:val="5E636063"/>
    <w:multiLevelType w:val="hybridMultilevel"/>
    <w:lvl w:ilvl="0">
      <w:lvlJc w:val="left"/>
      <w:lvlText w:val="(%1)"/>
      <w:numFmt w:val="lowerRoman"/>
      <w:start w:val="2"/>
    </w:lvl>
    <w:lvl w:ilvl="1">
      <w:lvlJc w:val="left"/>
      <w:lvlText w:val="(%2)"/>
      <w:numFmt w:val="upperLetter"/>
      <w:start w:val="1"/>
    </w:lvl>
  </w:abstractNum>
  <w:abstractNum w:abstractNumId="117">
    <w:nsid w:val="215641AF"/>
    <w:multiLevelType w:val="hybridMultilevel"/>
    <w:lvl w:ilvl="0">
      <w:lvlJc w:val="left"/>
      <w:lvlText w:val="(%1)"/>
      <w:numFmt w:val="lowerLetter"/>
      <w:start w:val="20"/>
    </w:lvl>
    <w:lvl w:ilvl="1">
      <w:lvlJc w:val="left"/>
      <w:lvlText w:val="(%2)"/>
      <w:numFmt w:val="lowerRoman"/>
      <w:start w:val="1"/>
    </w:lvl>
  </w:abstractNum>
  <w:abstractNum w:abstractNumId="118">
    <w:nsid w:val="53280662"/>
    <w:multiLevelType w:val="hybridMultilevel"/>
    <w:lvl w:ilvl="0">
      <w:lvlJc w:val="left"/>
      <w:lvlText w:val="(%1)"/>
      <w:numFmt w:val="lowerLetter"/>
      <w:start w:val="22"/>
    </w:lvl>
    <w:lvl w:ilvl="1">
      <w:lvlJc w:val="left"/>
      <w:lvlText w:val="(%2)"/>
      <w:numFmt w:val="lowerRoman"/>
      <w:start w:val="1"/>
    </w:lvl>
  </w:abstractNum>
  <w:abstractNum w:abstractNumId="119">
    <w:nsid w:val="46B24DBC"/>
    <w:multiLevelType w:val="hybridMultilevel"/>
    <w:lvl w:ilvl="0">
      <w:lvlJc w:val="left"/>
      <w:lvlText w:val="(%1)"/>
      <w:numFmt w:val="lowerLetter"/>
      <w:start w:val="27"/>
    </w:lvl>
  </w:abstractNum>
  <w:abstractNum w:abstractNumId="120">
    <w:nsid w:val="75B52783"/>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121">
    <w:nsid w:val="57CE66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22">
    <w:nsid w:val="67A70B69"/>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abstractNum>
  <w:abstractNum w:abstractNumId="123">
    <w:nsid w:val="5953172F"/>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4">
    <w:nsid w:val="27EDFE3A"/>
    <w:multiLevelType w:val="hybridMultilevel"/>
    <w:lvl w:ilvl="0">
      <w:lvlJc w:val="left"/>
      <w:lvlText w:val="(%1)"/>
      <w:numFmt w:val="lowerLetter"/>
      <w:start w:val="38"/>
    </w:lvl>
  </w:abstractNum>
  <w:abstractNum w:abstractNumId="125">
    <w:nsid w:val="52AC7DFF"/>
    <w:multiLevelType w:val="hybridMultilevel"/>
    <w:lvl w:ilvl="0">
      <w:lvlJc w:val="left"/>
      <w:lvlText w:val="(%1)"/>
      <w:numFmt w:val="lowerLetter"/>
      <w:start w:val="48"/>
    </w:lvl>
    <w:lvl w:ilvl="1">
      <w:lvlJc w:val="left"/>
      <w:lvlText w:val="(%2)"/>
      <w:numFmt w:val="lowerRoman"/>
      <w:start w:val="1"/>
    </w:lvl>
  </w:abstractNum>
  <w:abstractNum w:abstractNumId="126">
    <w:nsid w:val="C4C3AF"/>
    <w:multiLevelType w:val="hybridMultilevel"/>
    <w:lvl w:ilvl="0">
      <w:lvlJc w:val="left"/>
      <w:lvlText w:val="(%1)"/>
      <w:numFmt w:val="lowerLetter"/>
      <w:start w:val="53"/>
    </w:lvl>
    <w:lvl w:ilvl="1">
      <w:lvlJc w:val="left"/>
      <w:lvlText w:val="(%2)"/>
      <w:numFmt w:val="lowerRoman"/>
      <w:start w:val="1"/>
    </w:lvl>
  </w:abstractNum>
  <w:abstractNum w:abstractNumId="127">
    <w:nsid w:val="44380727"/>
    <w:multiLevelType w:val="hybridMultilevel"/>
    <w:lvl w:ilvl="0">
      <w:lvlJc w:val="left"/>
      <w:lvlText w:val="%1"/>
      <w:numFmt w:val="decimal"/>
      <w:start w:val="1"/>
    </w:lvl>
    <w:lvl w:ilvl="1">
      <w:lvlJc w:val="left"/>
      <w:lvlText w:val="(%2)"/>
      <w:numFmt w:val="lowerLetter"/>
      <w:start w:val="57"/>
    </w:lvl>
  </w:abstractNum>
  <w:abstractNum w:abstractNumId="128">
    <w:nsid w:val="6C053B16"/>
    <w:multiLevelType w:val="hybridMultilevel"/>
    <w:lvl w:ilvl="0">
      <w:lvlJc w:val="left"/>
      <w:lvlText w:val="%1."/>
      <w:numFmt w:val="decimal"/>
      <w:start w:val="3"/>
    </w:lvl>
    <w:lvl w:ilvl="1">
      <w:lvlJc w:val="left"/>
      <w:lvlText w:val="(%2)"/>
      <w:numFmt w:val="lowerLetter"/>
      <w:start w:val="1"/>
    </w:lvl>
  </w:abstractNum>
  <w:abstractNum w:abstractNumId="129">
    <w:nsid w:val="4F294393"/>
    <w:multiLevelType w:val="hybridMultilevel"/>
    <w:lvl w:ilvl="0">
      <w:lvlJc w:val="left"/>
      <w:lvlText w:val="(%1)"/>
      <w:numFmt w:val="lowerRoman"/>
      <w:start w:val="1"/>
    </w:lvl>
  </w:abstractNum>
  <w:abstractNum w:abstractNumId="130">
    <w:nsid w:val="5243BFAC"/>
    <w:multiLevelType w:val="hybridMultilevel"/>
    <w:lvl w:ilvl="0">
      <w:lvlJc w:val="left"/>
      <w:lvlText w:val="(%1)"/>
      <w:numFmt w:val="lowerRoman"/>
      <w:start w:val="2"/>
    </w:lvl>
  </w:abstractNum>
  <w:abstractNum w:abstractNumId="131">
    <w:nsid w:val="425EB207"/>
    <w:multiLevelType w:val="hybridMultilevel"/>
    <w:lvl w:ilvl="0">
      <w:lvlJc w:val="left"/>
      <w:lvlText w:val="(%1)"/>
      <w:numFmt w:val="lowerLetter"/>
      <w:start w:val="3"/>
    </w:lvl>
    <w:lvl w:ilvl="1">
      <w:lvlJc w:val="left"/>
      <w:lvlText w:val="(%2)"/>
      <w:numFmt w:val="lowerRoman"/>
      <w:start w:val="1"/>
    </w:lvl>
  </w:abstractNum>
  <w:abstractNum w:abstractNumId="132">
    <w:nsid w:val="334A6F1F"/>
    <w:multiLevelType w:val="hybridMultilevel"/>
    <w:lvl w:ilvl="0">
      <w:lvlJc w:val="left"/>
      <w:lvlText w:val="%1"/>
      <w:numFmt w:val="decimal"/>
      <w:start w:val="1"/>
    </w:lvl>
    <w:lvl w:ilvl="1">
      <w:lvlJc w:val="left"/>
      <w:lvlText w:val="(%2)"/>
      <w:numFmt w:val="lowerRoman"/>
      <w:start w:val="3"/>
    </w:lvl>
  </w:abstractNum>
  <w:abstractNum w:abstractNumId="133">
    <w:nsid w:val="2E5B12B8"/>
    <w:multiLevelType w:val="hybridMultilevel"/>
    <w:lvl w:ilvl="0">
      <w:lvlJc w:val="left"/>
      <w:lvlText w:val="%1."/>
      <w:numFmt w:val="decimal"/>
      <w:start w:val="6"/>
    </w:lvl>
    <w:lvl w:ilvl="1">
      <w:lvlJc w:val="left"/>
      <w:lvlText w:val="%2"/>
      <w:numFmt w:val="lowerRoman"/>
      <w:start w:val="1"/>
    </w:lvl>
  </w:abstractNum>
  <w:abstractNum w:abstractNumId="134">
    <w:nsid w:val="5C03D76D"/>
    <w:multiLevelType w:val="hybridMultilevel"/>
    <w:lvl w:ilvl="0">
      <w:lvlJc w:val="left"/>
      <w:lvlText w:val="(%1)"/>
      <w:numFmt w:val="lowerLetter"/>
      <w:start w:val="1"/>
    </w:lvl>
  </w:abstractNum>
  <w:abstractNum w:abstractNumId="135">
    <w:nsid w:val="66A48D11"/>
    <w:multiLevelType w:val="hybridMultilevel"/>
    <w:lvl w:ilvl="0">
      <w:lvlJc w:val="left"/>
      <w:lvlText w:val="(%1)"/>
      <w:numFmt w:val="lowerLetter"/>
      <w:start w:val="6"/>
    </w:lvl>
  </w:abstractNum>
  <w:abstractNum w:abstractNumId="136">
    <w:nsid w:val="56C28E34"/>
    <w:multiLevelType w:val="hybridMultilevel"/>
    <w:lvl w:ilvl="0">
      <w:lvlJc w:val="left"/>
      <w:lvlText w:val="%1."/>
      <w:numFmt w:val="decimal"/>
      <w:start w:val="8"/>
    </w:lvl>
  </w:abstractNum>
  <w:abstractNum w:abstractNumId="137">
    <w:nsid w:val="13916F2D"/>
    <w:multiLevelType w:val="hybridMultilevel"/>
    <w:lvl w:ilvl="0">
      <w:lvlJc w:val="left"/>
      <w:lvlText w:val="(%1)"/>
      <w:numFmt w:val="lowerLetter"/>
      <w:start w:val="1"/>
    </w:lvl>
    <w:lvl w:ilvl="1">
      <w:lvlJc w:val="left"/>
      <w:lvlText w:val="(%2)"/>
      <w:numFmt w:val="lowerRoman"/>
      <w:start w:val="1"/>
    </w:lvl>
  </w:abstractNum>
  <w:abstractNum w:abstractNumId="138">
    <w:nsid w:val="435D38D"/>
    <w:multiLevelType w:val="hybridMultilevel"/>
    <w:lvl w:ilvl="0">
      <w:lvlJc w:val="left"/>
      <w:lvlText w:val="(%1)"/>
      <w:numFmt w:val="lowerLetter"/>
      <w:start w:val="4"/>
    </w:lvl>
    <w:lvl w:ilvl="1">
      <w:lvlJc w:val="left"/>
      <w:lvlText w:val="(%2)"/>
      <w:numFmt w:val="lowerRoman"/>
      <w:start w:val="1"/>
    </w:lvl>
  </w:abstractNum>
  <w:abstractNum w:abstractNumId="139">
    <w:nsid w:val="822C0EF"/>
    <w:multiLevelType w:val="hybridMultilevel"/>
    <w:lvl w:ilvl="0">
      <w:lvlJc w:val="left"/>
      <w:lvlText w:val="(%1)"/>
      <w:numFmt w:val="lowerLetter"/>
      <w:start w:val="6"/>
    </w:lvl>
    <w:lvl w:ilvl="1">
      <w:lvlJc w:val="left"/>
      <w:lvlText w:val="(%2)"/>
      <w:numFmt w:val="lowerRoman"/>
      <w:start w:val="1"/>
    </w:lvl>
  </w:abstractNum>
  <w:abstractNum w:abstractNumId="140">
    <w:nsid w:val="57C5BB4F"/>
    <w:multiLevelType w:val="hybridMultilevel"/>
    <w:lvl w:ilvl="0">
      <w:lvlJc w:val="left"/>
      <w:lvlText w:val="(%1)"/>
      <w:numFmt w:val="lowerRoman"/>
      <w:start w:val="1"/>
    </w:lvl>
    <w:lvl w:ilvl="1">
      <w:lvlJc w:val="left"/>
      <w:lvlText w:val="(%2)"/>
      <w:numFmt w:val="lowerRoman"/>
      <w:start w:val="1"/>
    </w:lvl>
  </w:abstractNum>
  <w:abstractNum w:abstractNumId="141">
    <w:nsid w:val="1803D089"/>
    <w:multiLevelType w:val="hybridMultilevel"/>
    <w:lvl w:ilvl="0">
      <w:lvlJc w:val="left"/>
      <w:lvlText w:val="(%1)"/>
      <w:numFmt w:val="lowerLetter"/>
      <w:start w:val="10"/>
    </w:lvl>
    <w:lvl w:ilvl="1">
      <w:lvlJc w:val="left"/>
      <w:lvlText w:val="(%2)"/>
      <w:numFmt w:val="lowerLetter"/>
      <w:start w:val="9"/>
    </w:lvl>
  </w:abstractNum>
  <w:abstractNum w:abstractNumId="142">
    <w:nsid w:val="4F3A06D4"/>
    <w:multiLevelType w:val="hybridMultilevel"/>
    <w:lvl w:ilvl="0">
      <w:lvlJc w:val="left"/>
      <w:lvlText w:val="(%1)"/>
      <w:numFmt w:val="upperLetter"/>
      <w:start w:val="1"/>
    </w:lvl>
  </w:abstractNum>
  <w:abstractNum w:abstractNumId="143">
    <w:nsid w:val="59A377B6"/>
    <w:multiLevelType w:val="hybridMultilevel"/>
    <w:lvl w:ilvl="0">
      <w:lvlJc w:val="left"/>
      <w:lvlText w:val="%1"/>
      <w:numFmt w:val="lowerRoman"/>
      <w:start w:val="1"/>
    </w:lvl>
    <w:lvl w:ilvl="1">
      <w:lvlJc w:val="left"/>
      <w:lvlText w:val="(%2)"/>
      <w:numFmt w:val="upperLetter"/>
      <w:start w:val="2"/>
    </w:lvl>
  </w:abstractNum>
  <w:abstractNum w:abstractNumId="144">
    <w:nsid w:val="48AEB063"/>
    <w:multiLevelType w:val="hybridMultilevel"/>
    <w:lvl w:ilvl="0">
      <w:lvlJc w:val="left"/>
      <w:lvlText w:val="(%1)"/>
      <w:numFmt w:val="lowerRoman"/>
      <w:start w:val="2"/>
    </w:lvl>
    <w:lvl w:ilvl="1">
      <w:lvlJc w:val="left"/>
      <w:lvlText w:val="(%2)"/>
      <w:numFmt w:val="upperLetter"/>
      <w:start w:val="2"/>
    </w:lvl>
  </w:abstractNum>
  <w:abstractNum w:abstractNumId="145">
    <w:nsid w:val="24E135"/>
    <w:multiLevelType w:val="hybridMultilevel"/>
    <w:lvl w:ilvl="0">
      <w:lvlJc w:val="left"/>
      <w:lvlText w:val="%1"/>
      <w:numFmt w:val="decimal"/>
      <w:start w:val="1"/>
    </w:lvl>
    <w:lvl w:ilvl="1">
      <w:lvlJc w:val="left"/>
      <w:lvlText w:val="(%2)"/>
      <w:numFmt w:val="lowerLetter"/>
      <w:start w:val="12"/>
    </w:lvl>
  </w:abstractNum>
  <w:abstractNum w:abstractNumId="146">
    <w:nsid w:val="BB13C1"/>
    <w:multiLevelType w:val="hybridMultilevel"/>
    <w:lvl w:ilvl="0">
      <w:lvlJc w:val="left"/>
      <w:lvlText w:val="%1."/>
      <w:numFmt w:val="decimal"/>
      <w:start w:val="9"/>
    </w:lvl>
    <w:lvl w:ilvl="1">
      <w:lvlJc w:val="left"/>
      <w:lvlText w:val="(%2)"/>
      <w:numFmt w:val="lowerLetter"/>
      <w:start w:val="1"/>
    </w:lvl>
  </w:abstractNum>
  <w:abstractNum w:abstractNumId="147">
    <w:nsid w:val="271210C7"/>
    <w:multiLevelType w:val="hybridMultilevel"/>
    <w:lvl w:ilvl="0">
      <w:lvlJc w:val="left"/>
      <w:lvlText w:val="(%1)"/>
      <w:numFmt w:val="lowerLetter"/>
      <w:start w:val="2"/>
    </w:lvl>
    <w:lvl w:ilvl="1">
      <w:lvlJc w:val="left"/>
      <w:lvlText w:val="(%2)"/>
      <w:numFmt w:val="lowerRoman"/>
      <w:start w:val="1"/>
    </w:lvl>
  </w:abstractNum>
  <w:abstractNum w:abstractNumId="148">
    <w:nsid w:val="217B22E4"/>
    <w:multiLevelType w:val="hybridMultilevel"/>
    <w:lvl w:ilvl="0">
      <w:lvlJc w:val="left"/>
      <w:lvlText w:val="(%1)"/>
      <w:numFmt w:val="lowerRoman"/>
      <w:start w:val="3"/>
    </w:lvl>
  </w:abstractNum>
  <w:abstractNum w:abstractNumId="149">
    <w:nsid w:val="53E31A24"/>
    <w:multiLevelType w:val="hybridMultilevel"/>
    <w:lvl w:ilvl="0">
      <w:lvlJc w:val="left"/>
      <w:lvlText w:val="%1."/>
      <w:numFmt w:val="decimal"/>
      <w:start w:val="10"/>
    </w:lvl>
  </w:abstractNum>
  <w:abstractNum w:abstractNumId="150">
    <w:nsid w:val="6DC45E83"/>
    <w:multiLevelType w:val="hybridMultilevel"/>
    <w:lvl w:ilvl="0">
      <w:lvlJc w:val="left"/>
      <w:lvlText w:val="%1."/>
      <w:numFmt w:val="decimal"/>
      <w:start w:val="11"/>
    </w:lvl>
  </w:abstractNum>
  <w:abstractNum w:abstractNumId="151">
    <w:nsid w:val="17304A67"/>
    <w:multiLevelType w:val="hybridMultilevel"/>
    <w:lvl w:ilvl="0">
      <w:lvlJc w:val="left"/>
      <w:lvlText w:val="%1."/>
      <w:numFmt w:val="decimal"/>
      <w:start w:val="12"/>
    </w:lvl>
  </w:abstractNum>
  <w:abstractNum w:abstractNumId="152">
    <w:nsid w:val="2BB180D8"/>
    <w:multiLevelType w:val="hybridMultilevel"/>
    <w:lvl w:ilvl="0">
      <w:lvlJc w:val="left"/>
      <w:lvlText w:val="(%1)"/>
      <w:numFmt w:val="lowerLetter"/>
      <w:start w:val="1"/>
    </w:lvl>
  </w:abstractNum>
  <w:abstractNum w:abstractNumId="153">
    <w:nsid w:val="556B69ED"/>
    <w:multiLevelType w:val="hybridMultilevel"/>
    <w:lvl w:ilvl="0">
      <w:lvlJc w:val="left"/>
      <w:lvlText w:val="(%1)"/>
      <w:numFmt w:val="lowerLetter"/>
      <w:start w:val="3"/>
    </w:lvl>
  </w:abstractNum>
  <w:abstractNum w:abstractNumId="154">
    <w:nsid w:val="70836196"/>
    <w:multiLevelType w:val="hybridMultilevel"/>
    <w:lvl w:ilvl="0">
      <w:lvlJc w:val="left"/>
      <w:lvlText w:val="%1."/>
      <w:numFmt w:val="decimal"/>
      <w:start w:val="13"/>
    </w:lvl>
  </w:abstractNum>
  <w:abstractNum w:abstractNumId="155">
    <w:nsid w:val="539F7F12"/>
    <w:multiLevelType w:val="hybridMultilevel"/>
    <w:lvl w:ilvl="0">
      <w:lvlJc w:val="left"/>
      <w:lvlText w:val="%1."/>
      <w:numFmt w:val="decimal"/>
      <w:start w:val="14"/>
    </w:lvl>
  </w:abstractNum>
  <w:abstractNum w:abstractNumId="156">
    <w:nsid w:val="2817E7EC"/>
    <w:multiLevelType w:val="hybridMultilevel"/>
    <w:lvl w:ilvl="0">
      <w:lvlJc w:val="left"/>
      <w:lvlText w:val="%1."/>
      <w:numFmt w:val="decimal"/>
      <w:start w:val="15"/>
    </w:lvl>
  </w:abstractNum>
  <w:abstractNum w:abstractNumId="157">
    <w:nsid w:val="71482545"/>
    <w:multiLevelType w:val="hybridMultilevel"/>
    <w:lvl w:ilvl="0">
      <w:lvlJc w:val="left"/>
      <w:lvlText w:val="(%1)"/>
      <w:numFmt w:val="decimal"/>
      <w:start w:val="1"/>
    </w:lvl>
  </w:abstractNum>
  <w:abstractNum w:abstractNumId="158">
    <w:nsid w:val="17D78639"/>
    <w:multiLevelType w:val="hybridMultilevel"/>
    <w:lvl w:ilvl="0">
      <w:lvlJc w:val="left"/>
      <w:lvlText w:val="(%1)"/>
      <w:numFmt w:val="decimal"/>
      <w:start w:val="1"/>
    </w:lvl>
  </w:abstractNum>
  <w:abstractNum w:abstractNumId="159">
    <w:nsid w:val="141D2302"/>
    <w:multiLevelType w:val="hybridMultilevel"/>
    <w:lvl w:ilvl="0">
      <w:lvlJc w:val="left"/>
      <w:lvlText w:val="¿¿¿¿"/>
      <w:numFmt w:val="bullet"/>
      <w:start w:val="1"/>
    </w:lvl>
  </w:abstractNum>
  <w:abstractNum w:abstractNumId="160">
    <w:nsid w:val="407168D8"/>
    <w:multiLevelType w:val="hybridMultilevel"/>
    <w:lvl w:ilvl="0">
      <w:lvlJc w:val="left"/>
      <w:lvlText w:val="(%1)"/>
      <w:numFmt w:val="lowerLetter"/>
      <w:start w:val="1"/>
    </w:lvl>
    <w:lvl w:ilvl="1">
      <w:lvlJc w:val="left"/>
      <w:lvlText w:val="(%2)"/>
      <w:numFmt w:val="decimal"/>
      <w:start w:val="1"/>
    </w:lvl>
  </w:abstractNum>
  <w:abstractNum w:abstractNumId="161">
    <w:nsid w:val="6A1B45E5"/>
    <w:multiLevelType w:val="hybridMultilevel"/>
    <w:lvl w:ilvl="0">
      <w:lvlJc w:val="left"/>
      <w:lvlText w:val="(%1)"/>
      <w:numFmt w:val="lowerLetter"/>
      <w:start w:val="1"/>
    </w:lvl>
    <w:lvl w:ilvl="1">
      <w:lvlJc w:val="left"/>
      <w:lvlText w:val="(%2)"/>
      <w:numFmt w:val="decimal"/>
      <w:start w:val="1"/>
    </w:lvl>
  </w:abstractNum>
  <w:abstractNum w:abstractNumId="162">
    <w:nsid w:val="567BD50A"/>
    <w:multiLevelType w:val="hybridMultilevel"/>
    <w:lvl w:ilvl="0">
      <w:lvlJc w:val="left"/>
      <w:lvlText w:val="(%1)"/>
      <w:numFmt w:val="lowerLetter"/>
      <w:start w:val="1"/>
    </w:lvl>
  </w:abstractNum>
  <w:abstractNum w:abstractNumId="163">
    <w:nsid w:val="73BBD7F8"/>
    <w:multiLevelType w:val="hybridMultilevel"/>
    <w:lvl w:ilvl="0">
      <w:lvlJc w:val="left"/>
      <w:lvlText w:val="(%1)"/>
      <w:numFmt w:val="lowerLetter"/>
      <w:start w:val="2"/>
    </w:lvl>
  </w:abstractNum>
  <w:abstractNum w:abstractNumId="164">
    <w:nsid w:val="1876589D"/>
    <w:multiLevelType w:val="hybridMultilevel"/>
    <w:lvl w:ilvl="0">
      <w:lvlJc w:val="left"/>
      <w:lvlText w:val="%1"/>
      <w:numFmt w:val="lowerLetter"/>
      <w:start w:val="1"/>
    </w:lvl>
    <w:lvl w:ilvl="1">
      <w:lvlJc w:val="left"/>
      <w:lvlText w:val="(%2)"/>
      <w:numFmt w:val="decimal"/>
      <w:start w:val="1"/>
    </w:lvl>
  </w:abstractNum>
  <w:abstractNum w:abstractNumId="165">
    <w:nsid w:val="327FAC77"/>
    <w:multiLevelType w:val="hybridMultilevel"/>
    <w:lvl w:ilvl="0">
      <w:lvlJc w:val="left"/>
      <w:lvlText w:val="(%1)"/>
      <w:numFmt w:val="lowerLetter"/>
      <w:start w:val="2"/>
    </w:lvl>
    <w:lvl w:ilvl="1">
      <w:lvlJc w:val="left"/>
      <w:lvlText w:val="%2"/>
      <w:numFmt w:val="decimal"/>
      <w:start w:val="1"/>
    </w:lvl>
  </w:abstractNum>
  <w:abstractNum w:abstractNumId="166">
    <w:nsid w:val="5A606509"/>
    <w:multiLevelType w:val="hybridMultilevel"/>
    <w:lvl w:ilvl="0">
      <w:lvlJc w:val="left"/>
      <w:lvlText w:val="(%1)"/>
      <w:numFmt w:val="lowerLetter"/>
      <w:start w:val="1"/>
    </w:lvl>
  </w:abstractNum>
  <w:abstractNum w:abstractNumId="167">
    <w:nsid w:val="6F38E6D1"/>
    <w:multiLevelType w:val="hybridMultilevel"/>
    <w:lvl w:ilvl="0">
      <w:lvlJc w:val="left"/>
      <w:lvlText w:val="(%1)"/>
      <w:numFmt w:val="lowerLetter"/>
      <w:start w:val="1"/>
    </w:lvl>
  </w:abstractNum>
  <w:abstractNum w:abstractNumId="168">
    <w:nsid w:val="46111BA5"/>
    <w:multiLevelType w:val="hybridMultilevel"/>
    <w:lvl w:ilvl="0">
      <w:lvlJc w:val="left"/>
      <w:lvlText w:val="(%1)"/>
      <w:numFmt w:val="lowerLetter"/>
      <w:start w:val="1"/>
    </w:lvl>
    <w:lvl w:ilvl="1">
      <w:lvlJc w:val="left"/>
      <w:lvlText w:val="(%2)"/>
      <w:numFmt w:val="decimal"/>
      <w:start w:val="1"/>
    </w:lvl>
  </w:abstractNum>
  <w:abstractNum w:abstractNumId="169">
    <w:nsid w:val="5E963896"/>
    <w:multiLevelType w:val="hybridMultilevel"/>
    <w:lvl w:ilvl="0">
      <w:lvlJc w:val="left"/>
      <w:lvlText w:val="(%1)"/>
      <w:numFmt w:val="decimal"/>
      <w:start w:val="2"/>
    </w:lvl>
  </w:abstractNum>
  <w:abstractNum w:abstractNumId="170">
    <w:nsid w:val="775BA7C1"/>
    <w:multiLevelType w:val="hybridMultilevel"/>
    <w:lvl w:ilvl="0">
      <w:lvlJc w:val="left"/>
      <w:lvlText w:val="(%1)"/>
      <w:numFmt w:val="lowerLetter"/>
      <w:start w:val="1"/>
    </w:lvl>
  </w:abstractNum>
  <w:abstractNum w:abstractNumId="171">
    <w:nsid w:val="1DD6D6F4"/>
    <w:multiLevelType w:val="hybridMultilevel"/>
    <w:lvl w:ilvl="0">
      <w:lvlJc w:val="left"/>
      <w:lvlText w:val="(%1)"/>
      <w:numFmt w:val="decimal"/>
      <w:start w:val="2"/>
    </w:lvl>
  </w:abstractNum>
  <w:abstractNum w:abstractNumId="172">
    <w:nsid w:val="769A091F"/>
    <w:multiLevelType w:val="hybridMultilevel"/>
    <w:lvl w:ilvl="0">
      <w:lvlJc w:val="left"/>
      <w:lvlText w:val="(%1)"/>
      <w:numFmt w:val="lowerLetter"/>
      <w:start w:val="1"/>
    </w:lvl>
  </w:abstractNum>
  <w:abstractNum w:abstractNumId="173">
    <w:nsid w:val="4695AE95"/>
    <w:multiLevelType w:val="hybridMultilevel"/>
    <w:lvl w:ilvl="0">
      <w:lvlJc w:val="left"/>
      <w:lvlText w:val="(%1)"/>
      <w:numFmt w:val="lowerLetter"/>
      <w:start w:val="1"/>
    </w:lvl>
  </w:abstractNum>
  <w:abstractNum w:abstractNumId="174">
    <w:nsid w:val="777A4EAA"/>
    <w:multiLevelType w:val="hybridMultilevel"/>
    <w:lvl w:ilvl="0">
      <w:lvlJc w:val="left"/>
      <w:lvlText w:val="(%1)"/>
      <w:numFmt w:val="lowerLetter"/>
      <w:start w:val="2"/>
    </w:lvl>
  </w:abstractNum>
  <w:abstractNum w:abstractNumId="175">
    <w:nsid w:val="3F48B982"/>
    <w:multiLevelType w:val="hybridMultilevel"/>
    <w:lvl w:ilvl="0">
      <w:lvlJc w:val="left"/>
      <w:lvlText w:val="(%1)"/>
      <w:numFmt w:val="lowerLetter"/>
      <w:start w:val="1"/>
    </w:lvl>
  </w:abstractNum>
  <w:abstractNum w:abstractNumId="176">
    <w:nsid w:val="46BA8FCA"/>
    <w:multiLevelType w:val="hybridMultilevel"/>
    <w:lvl w:ilvl="0">
      <w:lvlJc w:val="left"/>
      <w:lvlText w:val="(%1)"/>
      <w:numFmt w:val="lowerLetter"/>
      <w:start w:val="1"/>
    </w:lvl>
  </w:abstractNum>
  <w:abstractNum w:abstractNumId="177">
    <w:nsid w:val="7835626C"/>
    <w:multiLevelType w:val="hybridMultilevel"/>
    <w:lvl w:ilvl="0">
      <w:lvlJc w:val="left"/>
      <w:lvlText w:val="(%1)"/>
      <w:numFmt w:val="lowerLetter"/>
      <w:start w:val="1"/>
    </w:lvl>
  </w:abstractNum>
  <w:abstractNum w:abstractNumId="178">
    <w:nsid w:val="665ACA49"/>
    <w:multiLevelType w:val="hybridMultilevel"/>
    <w:lvl w:ilvl="0">
      <w:lvlJc w:val="left"/>
      <w:lvlText w:val="%1"/>
      <w:numFmt w:val="lowerLetter"/>
      <w:start w:val="1"/>
    </w:lvl>
    <w:lvl w:ilvl="1">
      <w:lvlJc w:val="left"/>
      <w:lvlText w:val="(%2)"/>
      <w:numFmt w:val="lowerLetter"/>
      <w:start w:val="3"/>
    </w:lvl>
  </w:abstractNum>
  <w:abstractNum w:abstractNumId="179">
    <w:nsid w:val="6835B2AE"/>
    <w:multiLevelType w:val="hybridMultilevel"/>
    <w:lvl w:ilvl="0">
      <w:lvlJc w:val="left"/>
      <w:lvlText w:val="(%1)"/>
      <w:numFmt w:val="lowerLetter"/>
      <w:start w:val="35"/>
    </w:lvl>
    <w:lvl w:ilvl="1">
      <w:lvlJc w:val="left"/>
      <w:lvlText w:val="%2"/>
      <w:numFmt w:val="lowerLetter"/>
      <w:start w:val="1"/>
    </w:lvl>
  </w:abstractNum>
  <w:abstractNum w:abstractNumId="180">
    <w:nsid w:val="4C187C90"/>
    <w:multiLevelType w:val="hybridMultilevel"/>
    <w:lvl w:ilvl="0">
      <w:lvlJc w:val="left"/>
      <w:lvlText w:val="(%1)"/>
      <w:numFmt w:val="lowerLetter"/>
      <w:start w:val="1"/>
    </w:lvl>
    <w:lvl w:ilvl="1">
      <w:lvlJc w:val="left"/>
      <w:lvlText w:val="(%2)"/>
      <w:numFmt w:val="decimal"/>
      <w:start w:val="1"/>
    </w:lvl>
  </w:abstractNum>
  <w:abstractNum w:abstractNumId="181">
    <w:nsid w:val="541F28CD"/>
    <w:multiLevelType w:val="hybridMultilevel"/>
    <w:lvl w:ilvl="0">
      <w:lvlJc w:val="left"/>
      <w:lvlText w:val="(%1)"/>
      <w:numFmt w:val="lowerLetter"/>
      <w:start w:val="1"/>
    </w:lvl>
    <w:lvl w:ilvl="1">
      <w:lvlJc w:val="left"/>
      <w:lvlText w:val="(%2)"/>
      <w:numFmt w:val="decimal"/>
      <w:start w:val="1"/>
    </w:lvl>
  </w:abstractNum>
  <w:abstractNum w:abstractNumId="182">
    <w:nsid w:val="7F65FD16"/>
    <w:multiLevelType w:val="hybridMultilevel"/>
    <w:lvl w:ilvl="0">
      <w:lvlJc w:val="left"/>
      <w:lvlText w:val="(%1)"/>
      <w:numFmt w:val="lowerRoman"/>
      <w:start w:val="2"/>
    </w:lvl>
  </w:abstractNum>
  <w:abstractNum w:abstractNumId="183">
    <w:nsid w:val="77C9FD68"/>
    <w:multiLevelType w:val="hybridMultilevel"/>
    <w:lvl w:ilvl="0">
      <w:lvlJc w:val="left"/>
      <w:lvlText w:val="(%1)"/>
      <w:numFmt w:val="lowerLetter"/>
      <w:start w:val="2"/>
    </w:lvl>
  </w:abstractNum>
  <w:abstractNum w:abstractNumId="184">
    <w:nsid w:val="298A92BA"/>
    <w:multiLevelType w:val="hybridMultilevel"/>
    <w:lvl w:ilvl="0">
      <w:lvlJc w:val="left"/>
      <w:lvlText w:val="(%1)"/>
      <w:numFmt w:val="lowerLetter"/>
      <w:start w:val="2"/>
    </w:lvl>
  </w:abstractNum>
  <w:abstractNum w:abstractNumId="185">
    <w:nsid w:val="6FE95EAC"/>
    <w:multiLevelType w:val="hybridMultilevel"/>
    <w:lvl w:ilvl="0">
      <w:lvlJc w:val="left"/>
      <w:lvlText w:val="(%1)"/>
      <w:numFmt w:val="lowerLetter"/>
      <w:start w:val="1"/>
    </w:lvl>
  </w:abstractNum>
  <w:abstractNum w:abstractNumId="186">
    <w:nsid w:val="4B697C7A"/>
    <w:multiLevelType w:val="hybridMultilevel"/>
    <w:lvl w:ilvl="0">
      <w:lvlJc w:val="left"/>
      <w:lvlText w:val="(%1)"/>
      <w:numFmt w:val="lowerRoman"/>
      <w:start w:val="4"/>
    </w:lvl>
    <w:lvl w:ilvl="1">
      <w:lvlJc w:val="left"/>
      <w:lvlText w:val="(%2)"/>
      <w:numFmt w:val="lowerLetter"/>
      <w:start w:val="3"/>
    </w:lvl>
  </w:abstractNum>
  <w:abstractNum w:abstractNumId="187">
    <w:nsid w:val="51A27AA6"/>
    <w:multiLevelType w:val="hybridMultilevel"/>
    <w:lvl w:ilvl="0">
      <w:lvlJc w:val="left"/>
      <w:lvlText w:val="(%1)"/>
      <w:numFmt w:val="lowerLetter"/>
      <w:start w:val="1"/>
    </w:lvl>
  </w:abstractNum>
  <w:abstractNum w:abstractNumId="188">
    <w:nsid w:val="613183F2"/>
    <w:multiLevelType w:val="hybridMultilevel"/>
    <w:lvl w:ilvl="0">
      <w:lvlJc w:val="left"/>
      <w:lvlText w:val="(%1)"/>
      <w:numFmt w:val="lowerLetter"/>
      <w:start w:val="3"/>
    </w:lvl>
  </w:abstractNum>
  <w:abstractNum w:abstractNumId="189">
    <w:nsid w:val="634102B4"/>
    <w:multiLevelType w:val="hybridMultilevel"/>
    <w:lvl w:ilvl="0">
      <w:lvlJc w:val="left"/>
      <w:lvlText w:val="(%1)"/>
      <w:numFmt w:val="lowerLetter"/>
      <w:start w:val="2"/>
    </w:lvl>
    <w:lvl w:ilvl="1">
      <w:lvlJc w:val="left"/>
      <w:lvlText w:val="(%2)"/>
      <w:numFmt w:val="decimal"/>
      <w:start w:val="1"/>
    </w:lvl>
  </w:abstractNum>
  <w:abstractNum w:abstractNumId="190">
    <w:nsid w:val="65BF9DA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1">
    <w:nsid w:val="21A2ECC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92">
    <w:nsid w:val="4D5C489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93">
    <w:nsid w:val="3C3B72B2"/>
    <w:multiLevelType w:val="hybridMultilevel"/>
    <w:lvl w:ilvl="0">
      <w:lvlJc w:val="left"/>
      <w:lvlText w:val="(%1)"/>
      <w:numFmt w:val="decimal"/>
      <w:start w:val="1"/>
    </w:lvl>
  </w:abstractNum>
  <w:abstractNum w:abstractNumId="194">
    <w:nsid w:val="155EC4C2"/>
    <w:multiLevelType w:val="hybridMultilevel"/>
    <w:lvl w:ilvl="0">
      <w:lvlJc w:val="left"/>
      <w:lvlText w:val="(%1)"/>
      <w:numFmt w:val="decimal"/>
      <w:start w:val="5"/>
    </w:lvl>
  </w:abstractNum>
  <w:abstractNum w:abstractNumId="195">
    <w:nsid w:val="65D2A137"/>
    <w:multiLevelType w:val="hybridMultilevel"/>
    <w:lvl w:ilvl="0">
      <w:lvlJc w:val="left"/>
      <w:lvlText w:val="(%1)"/>
      <w:numFmt w:val="lowerLetter"/>
      <w:start w:val="2"/>
    </w:lvl>
    <w:lvl w:ilvl="1">
      <w:lvlJc w:val="left"/>
      <w:lvlText w:val="(%2)"/>
      <w:numFmt w:val="decimal"/>
      <w:start w:val="1"/>
    </w:lvl>
  </w:abstractNum>
  <w:abstractNum w:abstractNumId="196">
    <w:nsid w:val="6EBB1F2A"/>
    <w:multiLevelType w:val="hybridMultilevel"/>
    <w:lvl w:ilvl="0">
      <w:lvlJc w:val="left"/>
      <w:lvlText w:val="(%1)"/>
      <w:numFmt w:val="lowerLetter"/>
      <w:start w:val="1"/>
    </w:lvl>
  </w:abstractNum>
  <w:abstractNum w:abstractNumId="197">
    <w:nsid w:val="6FBF29CB"/>
    <w:multiLevelType w:val="hybridMultilevel"/>
    <w:lvl w:ilvl="0">
      <w:lvlJc w:val="left"/>
      <w:lvlText w:val="(%1)"/>
      <w:numFmt w:val="lowerLetter"/>
      <w:start w:val="5"/>
    </w:lvl>
  </w:abstractNum>
  <w:abstractNum w:abstractNumId="198">
    <w:nsid w:val="550B8808"/>
    <w:multiLevelType w:val="hybridMultilevel"/>
    <w:lvl w:ilvl="0">
      <w:lvlJc w:val="left"/>
      <w:lvlText w:val="(%1)"/>
      <w:numFmt w:val="lowerLetter"/>
      <w:start w:val="1"/>
    </w:lvl>
  </w:abstractNum>
  <w:abstractNum w:abstractNumId="199">
    <w:nsid w:val="34CC3ACF"/>
    <w:multiLevelType w:val="hybridMultilevel"/>
    <w:lvl w:ilvl="0">
      <w:lvlJc w:val="left"/>
      <w:lvlText w:val="%1"/>
      <w:numFmt w:val="lowerLetter"/>
      <w:start w:val="1"/>
    </w:lvl>
    <w:lvl w:ilvl="1">
      <w:lvlJc w:val="left"/>
      <w:lvlText w:val="(%2)"/>
      <w:numFmt w:val="decimal"/>
      <w:start w:val="2"/>
    </w:lvl>
  </w:abstractNum>
  <w:abstractNum w:abstractNumId="200">
    <w:nsid w:val="4E556261"/>
    <w:multiLevelType w:val="hybridMultilevel"/>
    <w:lvl w:ilvl="0">
      <w:lvlJc w:val="left"/>
      <w:lvlText w:val="(%1)"/>
      <w:numFmt w:val="lowerLetter"/>
      <w:start w:val="2"/>
    </w:lvl>
    <w:lvl w:ilvl="1">
      <w:lvlJc w:val="left"/>
      <w:lvlText w:val="%2"/>
      <w:numFmt w:val="decimal"/>
      <w:start w:val="1"/>
    </w:lvl>
  </w:abstractNum>
  <w:abstractNum w:abstractNumId="201">
    <w:nsid w:val="4C672FC9"/>
    <w:multiLevelType w:val="hybridMultilevel"/>
    <w:lvl w:ilvl="0">
      <w:lvlJc w:val="left"/>
      <w:lvlText w:val="(%1)"/>
      <w:numFmt w:val="lowerLetter"/>
      <w:start w:val="1"/>
    </w:lvl>
  </w:abstractNum>
  <w:abstractNum w:abstractNumId="202">
    <w:nsid w:val="52A311C3"/>
    <w:multiLevelType w:val="hybridMultilevel"/>
    <w:lvl w:ilvl="0">
      <w:lvlJc w:val="left"/>
      <w:lvlText w:val="(%1)"/>
      <w:numFmt w:val="lowerLetter"/>
      <w:start w:val="3"/>
    </w:lvl>
  </w:abstractNum>
  <w:abstractNum w:abstractNumId="203">
    <w:nsid w:val="44EF6B80"/>
    <w:multiLevelType w:val="hybridMultilevel"/>
    <w:lvl w:ilvl="0">
      <w:lvlJc w:val="left"/>
      <w:lvlText w:val="(%1)"/>
      <w:numFmt w:val="lowerLetter"/>
      <w:start w:val="1"/>
    </w:lvl>
  </w:abstractNum>
  <w:abstractNum w:abstractNumId="204">
    <w:nsid w:val="12FCDE5E"/>
    <w:multiLevelType w:val="hybridMultilevel"/>
    <w:lvl w:ilvl="0">
      <w:lvlJc w:val="left"/>
      <w:lvlText w:val="(%1)"/>
      <w:numFmt w:val="lowerLetter"/>
      <w:start w:val="1"/>
    </w:lvl>
  </w:abstractNum>
  <w:abstractNum w:abstractNumId="205">
    <w:nsid w:val="4A1D606E"/>
    <w:multiLevelType w:val="hybridMultilevel"/>
    <w:lvl w:ilvl="0">
      <w:lvlJc w:val="left"/>
      <w:lvlText w:val="(%1)"/>
      <w:numFmt w:val="lowerLetter"/>
      <w:start w:val="5"/>
    </w:lvl>
  </w:abstractNum>
  <w:abstractNum w:abstractNumId="206">
    <w:nsid w:val="4382503"/>
    <w:multiLevelType w:val="hybridMultilevel"/>
    <w:lvl w:ilvl="0">
      <w:lvlJc w:val="left"/>
      <w:lvlText w:val="(%1)"/>
      <w:numFmt w:val="lowerLetter"/>
      <w:start w:val="1"/>
    </w:lvl>
  </w:abstractNum>
  <w:abstractNum w:abstractNumId="207">
    <w:nsid w:val="59B76E28"/>
    <w:multiLevelType w:val="hybridMultilevel"/>
    <w:lvl w:ilvl="0">
      <w:lvlJc w:val="left"/>
      <w:lvlText w:val="%1"/>
      <w:numFmt w:val="decimal"/>
      <w:start w:val="1"/>
    </w:lvl>
    <w:lvl w:ilvl="1">
      <w:lvlJc w:val="left"/>
      <w:lvlText w:val="(%2)"/>
      <w:numFmt w:val="lowerLetter"/>
      <w:start w:val="1"/>
    </w:lvl>
  </w:abstractNum>
  <w:abstractNum w:abstractNumId="208">
    <w:nsid w:val="4252C2DA"/>
    <w:multiLevelType w:val="hybridMultilevel"/>
    <w:lvl w:ilvl="0">
      <w:lvlJc w:val="left"/>
      <w:lvlText w:val="(%1)"/>
      <w:numFmt w:val="decimal"/>
      <w:start w:val="2"/>
    </w:lvl>
    <w:lvl w:ilvl="1">
      <w:lvlJc w:val="left"/>
      <w:lvlText w:val="%2"/>
      <w:numFmt w:val="lowerLetter"/>
      <w:start w:val="1"/>
    </w:lvl>
  </w:abstractNum>
  <w:abstractNum w:abstractNumId="209">
    <w:nsid w:val="6A92EF4C"/>
    <w:multiLevelType w:val="hybridMultilevel"/>
    <w:lvl w:ilvl="0">
      <w:lvlJc w:val="left"/>
      <w:lvlText w:val="(%1)"/>
      <w:numFmt w:val="lowerLetter"/>
      <w:start w:val="1"/>
    </w:lvl>
    <w:lvl w:ilvl="1">
      <w:lvlJc w:val="left"/>
      <w:lvlText w:val="(%2)"/>
      <w:numFmt w:val="decimal"/>
      <w:start w:val="1"/>
    </w:lvl>
  </w:abstractNum>
  <w:abstractNum w:abstractNumId="210">
    <w:nsid w:val="41ED20D7"/>
    <w:multiLevelType w:val="hybridMultilevel"/>
    <w:lvl w:ilvl="0">
      <w:lvlJc w:val="left"/>
      <w:lvlText w:val="%1"/>
      <w:numFmt w:val="lowerLetter"/>
      <w:start w:val="1"/>
    </w:lvl>
    <w:lvl w:ilvl="1">
      <w:lvlJc w:val="left"/>
      <w:lvlText w:val="(%2)"/>
      <w:numFmt w:val="decimal"/>
      <w:start w:val="2"/>
    </w:lvl>
  </w:abstractNum>
  <w:abstractNum w:abstractNumId="211">
    <w:nsid w:val="E6B3F6A"/>
    <w:multiLevelType w:val="hybridMultilevel"/>
    <w:lvl w:ilvl="0">
      <w:lvlJc w:val="left"/>
      <w:lvlText w:val="(%1)"/>
      <w:numFmt w:val="lowerLetter"/>
      <w:start w:val="2"/>
    </w:lvl>
    <w:lvl w:ilvl="1">
      <w:lvlJc w:val="left"/>
      <w:lvlText w:val="%2"/>
      <w:numFmt w:val="decimal"/>
      <w:start w:val="1"/>
    </w:lvl>
  </w:abstractNum>
  <w:abstractNum w:abstractNumId="212">
    <w:nsid w:val="3EB21819"/>
    <w:multiLevelType w:val="hybridMultilevel"/>
    <w:lvl w:ilvl="0">
      <w:lvlJc w:val="left"/>
      <w:lvlText w:val="(%1)"/>
      <w:numFmt w:val="lowerLetter"/>
      <w:start w:val="2"/>
    </w:lvl>
  </w:abstractNum>
  <w:abstractNum w:abstractNumId="213">
    <w:nsid w:val="41531DED"/>
    <w:multiLevelType w:val="hybridMultilevel"/>
    <w:lvl w:ilvl="0">
      <w:lvlJc w:val="left"/>
      <w:lvlText w:val="(%1)"/>
      <w:numFmt w:val="lowerLetter"/>
      <w:start w:val="1"/>
    </w:lvl>
  </w:abstractNum>
  <w:abstractNum w:abstractNumId="214">
    <w:nsid w:val="6353CD2"/>
    <w:multiLevelType w:val="hybridMultilevel"/>
    <w:lvl w:ilvl="0">
      <w:lvlJc w:val="left"/>
      <w:lvlText w:val="(%1)"/>
      <w:numFmt w:val="lowerLetter"/>
      <w:start w:val="7"/>
    </w:lvl>
  </w:abstractNum>
  <w:abstractNum w:abstractNumId="215">
    <w:nsid w:val="683CAAD3"/>
    <w:multiLevelType w:val="hybridMultilevel"/>
    <w:lvl w:ilvl="0">
      <w:lvlJc w:val="left"/>
      <w:lvlText w:val="(%1)"/>
      <w:numFmt w:val="lowerLetter"/>
      <w:start w:val="10"/>
    </w:lvl>
  </w:abstractNum>
  <w:abstractNum w:abstractNumId="216">
    <w:nsid w:val="313C7C99"/>
    <w:multiLevelType w:val="hybridMultilevel"/>
    <w:lvl w:ilvl="0">
      <w:lvlJc w:val="left"/>
      <w:lvlText w:val="(%1)"/>
      <w:numFmt w:val="lowerLetter"/>
      <w:start w:val="1"/>
    </w:lvl>
  </w:abstractNum>
  <w:abstractNum w:abstractNumId="217">
    <w:nsid w:val="519EB94C"/>
    <w:multiLevelType w:val="hybridMultilevel"/>
    <w:lvl w:ilvl="0">
      <w:lvlJc w:val="left"/>
      <w:lvlText w:val="(%1)"/>
      <w:numFmt w:val="lowerLetter"/>
      <w:start w:val="4"/>
    </w:lvl>
  </w:abstractNum>
  <w:abstractNum w:abstractNumId="218">
    <w:nsid w:val="39DF2579"/>
    <w:multiLevelType w:val="hybridMultilevel"/>
    <w:lvl w:ilvl="0">
      <w:lvlJc w:val="left"/>
      <w:lvlText w:val="(%1)"/>
      <w:numFmt w:val="lowerLetter"/>
      <w:start w:val="7"/>
    </w:lvl>
  </w:abstractNum>
  <w:abstractNum w:abstractNumId="219">
    <w:nsid w:val="126E008B"/>
    <w:multiLevelType w:val="hybridMultilevel"/>
    <w:lvl w:ilvl="0">
      <w:lvlJc w:val="left"/>
      <w:lvlText w:val="(%1)"/>
      <w:numFmt w:val="lowerLetter"/>
      <w:start w:val="1"/>
    </w:lvl>
  </w:abstractNum>
  <w:abstractNum w:abstractNumId="220">
    <w:nsid w:val="34DFBC00"/>
    <w:multiLevelType w:val="hybridMultilevel"/>
    <w:lvl w:ilvl="0">
      <w:lvlJc w:val="left"/>
      <w:lvlText w:val="(%1)"/>
      <w:numFmt w:val="lowerLetter"/>
      <w:start w:val="1"/>
    </w:lvl>
  </w:abstractNum>
  <w:abstractNum w:abstractNumId="221">
    <w:nsid w:val="1F9EC322"/>
    <w:multiLevelType w:val="hybridMultilevel"/>
    <w:lvl w:ilvl="0">
      <w:lvlJc w:val="left"/>
      <w:lvlText w:val="(%1)"/>
      <w:numFmt w:val="decimal"/>
      <w:start w:val="1"/>
    </w:lvl>
  </w:abstractNum>
  <w:abstractNum w:abstractNumId="222">
    <w:nsid w:val="3410ED56"/>
    <w:multiLevelType w:val="hybridMultilevel"/>
    <w:lvl w:ilvl="0">
      <w:lvlJc w:val="left"/>
      <w:lvlText w:val="(%1)"/>
      <w:numFmt w:val="lowerLetter"/>
      <w:start w:val="1"/>
    </w:lvl>
    <w:lvl w:ilvl="1">
      <w:lvlJc w:val="left"/>
      <w:lvlText w:val="(%2)"/>
      <w:numFmt w:val="lowerRoman"/>
      <w:start w:val="1"/>
    </w:lvl>
  </w:abstractNum>
  <w:abstractNum w:abstractNumId="223">
    <w:nsid w:val="23C049A"/>
    <w:multiLevelType w:val="hybridMultilevel"/>
    <w:lvl w:ilvl="0">
      <w:lvlJc w:val="left"/>
      <w:lvlText w:val="(%1)"/>
      <w:numFmt w:val="lowerLetter"/>
      <w:start w:val="1"/>
    </w:lvl>
  </w:abstractNum>
  <w:abstractNum w:abstractNumId="224">
    <w:nsid w:val="5BDA35D4"/>
    <w:multiLevelType w:val="hybridMultilevel"/>
    <w:lvl w:ilvl="0">
      <w:lvlJc w:val="left"/>
      <w:lvlText w:val="%1"/>
      <w:numFmt w:val="lowerLetter"/>
      <w:start w:val="1"/>
    </w:lvl>
    <w:lvl w:ilvl="1">
      <w:lvlJc w:val="left"/>
      <w:lvlText w:val="(%2)"/>
      <w:numFmt w:val="decimal"/>
      <w:start w:val="3"/>
    </w:lvl>
  </w:abstractNum>
  <w:abstractNum w:abstractNumId="225">
    <w:nsid w:val="496FB218"/>
    <w:multiLevelType w:val="hybridMultilevel"/>
    <w:lvl w:ilvl="0">
      <w:lvlJc w:val="left"/>
      <w:lvlText w:val="(%1)"/>
      <w:numFmt w:val="lowerLetter"/>
      <w:start w:val="2"/>
    </w:lvl>
    <w:lvl w:ilvl="1">
      <w:lvlJc w:val="left"/>
      <w:lvlText w:val="(%2)"/>
      <w:numFmt w:val="decimal"/>
      <w:start w:val="1"/>
    </w:lvl>
  </w:abstractNum>
  <w:abstractNum w:abstractNumId="226">
    <w:nsid w:val="680EA5D1"/>
    <w:multiLevelType w:val="hybridMultilevel"/>
    <w:lvl w:ilvl="0">
      <w:lvlJc w:val="left"/>
      <w:lvlText w:val="(%1)"/>
      <w:numFmt w:val="lowerLetter"/>
      <w:start w:val="1"/>
    </w:lvl>
  </w:abstractNum>
  <w:abstractNum w:abstractNumId="227">
    <w:nsid w:val="4A9554FE"/>
    <w:multiLevelType w:val="hybridMultilevel"/>
    <w:lvl w:ilvl="0">
      <w:lvlJc w:val="left"/>
      <w:lvlText w:val="(%1)"/>
      <w:numFmt w:val="lowerLetter"/>
      <w:start w:val="1"/>
    </w:lvl>
  </w:abstractNum>
  <w:abstractNum w:abstractNumId="228">
    <w:nsid w:val="392EDBE4"/>
    <w:multiLevelType w:val="hybridMultilevel"/>
    <w:lvl w:ilvl="0">
      <w:lvlJc w:val="left"/>
      <w:lvlText w:val="(%1)"/>
      <w:numFmt w:val="lowerLetter"/>
      <w:start w:val="1"/>
    </w:lvl>
  </w:abstractNum>
  <w:abstractNum w:abstractNumId="229">
    <w:nsid w:val="3D1A2DD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30">
    <w:nsid w:val="7F618FCD"/>
    <w:multiLevelType w:val="hybridMultilevel"/>
    <w:lvl w:ilvl="0">
      <w:lvlJc w:val="left"/>
      <w:lvlText w:val="(%1)"/>
      <w:numFmt w:val="decimal"/>
      <w:start w:val="4"/>
    </w:lvl>
  </w:abstractNum>
  <w:abstractNum w:abstractNumId="231">
    <w:nsid w:val="7843E45"/>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232">
    <w:nsid w:val="9815DA3"/>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33">
    <w:nsid w:val="5204A19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34">
    <w:nsid w:val="4C73A9C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35">
    <w:nsid w:val="1C7E3C01"/>
    <w:multiLevelType w:val="hybridMultilevel"/>
    <w:lvl w:ilvl="0">
      <w:lvlJc w:val="left"/>
      <w:lvlText w:val="%1"/>
      <w:numFmt w:val="decimal"/>
      <w:start w:val="1"/>
    </w:lvl>
    <w:lvl w:ilvl="1">
      <w:lvlJc w:val="left"/>
      <w:lvlText w:val="%2"/>
      <w:numFmt w:val="upperLetter"/>
      <w:start w:val="1"/>
    </w:lvl>
    <w:lvl w:ilvl="2">
      <w:lvlJc w:val="left"/>
      <w:lvlText w:val="(%3)"/>
      <w:numFmt w:val="decimal"/>
      <w:start w:val="3"/>
    </w:lvl>
  </w:abstractNum>
  <w:abstractNum w:abstractNumId="236">
    <w:nsid w:val="1C2201FF"/>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237">
    <w:nsid w:val="50ABCEC9"/>
    <w:multiLevelType w:val="hybridMultilevel"/>
    <w:lvl w:ilvl="0">
      <w:lvlJc w:val="left"/>
      <w:lvlText w:val="(%1)"/>
      <w:numFmt w:val="upperLetter"/>
      <w:start w:val="3"/>
    </w:lvl>
  </w:abstractNum>
  <w:abstractNum w:abstractNumId="238">
    <w:nsid w:val="7635AA2A"/>
    <w:multiLevelType w:val="hybridMultilevel"/>
    <w:lvl w:ilvl="0">
      <w:lvlJc w:val="left"/>
      <w:lvlText w:val="•"/>
      <w:numFmt w:val="bullet"/>
      <w:start w:val="1"/>
    </w:lvl>
  </w:abstractNum>
  <w:abstractNum w:abstractNumId="239">
    <w:nsid w:val="5E74C4D9"/>
    <w:multiLevelType w:val="hybridMultilevel"/>
    <w:lvl w:ilvl="0">
      <w:lvlJc w:val="left"/>
      <w:lvlText w:val="•"/>
      <w:numFmt w:val="bullet"/>
      <w:start w:val="1"/>
    </w:lvl>
  </w:abstractNum>
  <w:abstractNum w:abstractNumId="240">
    <w:nsid w:val="3B3EBE15"/>
    <w:multiLevelType w:val="hybridMultilevel"/>
    <w:lvl w:ilvl="0">
      <w:lvlJc w:val="left"/>
      <w:lvlText w:val="•"/>
      <w:numFmt w:val="bullet"/>
      <w:start w:val="1"/>
    </w:lvl>
  </w:abstractNum>
  <w:abstractNum w:abstractNumId="241">
    <w:nsid w:val="3822CB01"/>
    <w:multiLevelType w:val="hybridMultilevel"/>
    <w:lvl w:ilvl="0">
      <w:lvlJc w:val="left"/>
      <w:lvlText w:val="(%1)"/>
      <w:numFmt w:val="lowerLetter"/>
      <w:start w:val="1"/>
    </w:lvl>
  </w:abstractNum>
  <w:abstractNum w:abstractNumId="242">
    <w:nsid w:val="6CE00443"/>
    <w:multiLevelType w:val="hybridMultilevel"/>
    <w:lvl w:ilvl="0">
      <w:lvlJc w:val="left"/>
      <w:lvlText w:val="(%1)"/>
      <w:numFmt w:val="lowerLetter"/>
      <w:start w:val="1"/>
    </w:lvl>
  </w:abstractNum>
  <w:abstractNum w:abstractNumId="243">
    <w:nsid w:val="79F0D62F"/>
    <w:multiLevelType w:val="hybridMultilevel"/>
    <w:lvl w:ilvl="0">
      <w:lvlJc w:val="left"/>
      <w:lvlText w:val="(%1)"/>
      <w:numFmt w:val="lowerLetter"/>
      <w:start w:val="2"/>
    </w:lvl>
  </w:abstractNum>
  <w:abstractNum w:abstractNumId="244">
    <w:nsid w:val="7975E8EE"/>
    <w:multiLevelType w:val="hybridMultilevel"/>
    <w:lvl w:ilvl="0">
      <w:lvlJc w:val="left"/>
      <w:lvlText w:val="(%1)"/>
      <w:numFmt w:val="lowerLetter"/>
      <w:start w:val="1"/>
    </w:lvl>
  </w:abstractNum>
  <w:abstractNum w:abstractNumId="245">
    <w:nsid w:val="73154115"/>
    <w:multiLevelType w:val="hybridMultilevel"/>
    <w:lvl w:ilvl="0">
      <w:lvlJc w:val="left"/>
      <w:lvlText w:val="(%1)"/>
      <w:numFmt w:val="lowerLetter"/>
      <w:start w:val="3"/>
    </w:lvl>
  </w:abstractNum>
  <w:abstractNum w:abstractNumId="246">
    <w:nsid w:val="622D8102"/>
    <w:multiLevelType w:val="hybridMultilevel"/>
    <w:lvl w:ilvl="0">
      <w:lvlJc w:val="left"/>
      <w:lvlText w:val="%1."/>
      <w:numFmt w:val="decimal"/>
      <w:start w:val="1"/>
    </w:lvl>
  </w:abstractNum>
  <w:abstractNum w:abstractNumId="247">
    <w:nsid w:val="2AB26587"/>
    <w:multiLevelType w:val="hybridMultilevel"/>
    <w:lvl w:ilvl="0">
      <w:lvlJc w:val="left"/>
      <w:lvlText w:val="%1."/>
      <w:numFmt w:val="decimal"/>
      <w:start w:val="2"/>
    </w:lvl>
    <w:lvl w:ilvl="1">
      <w:lvlJc w:val="left"/>
      <w:lvlText w:val="(%2)"/>
      <w:numFmt w:val="lowerLetter"/>
      <w:start w:val="1"/>
    </w:lvl>
  </w:abstractNum>
  <w:abstractNum w:abstractNumId="248">
    <w:nsid w:val="44B3FA61"/>
    <w:multiLevelType w:val="hybridMultilevel"/>
    <w:lvl w:ilvl="0">
      <w:lvlJc w:val="left"/>
      <w:lvlText w:val="(%1)"/>
      <w:numFmt w:val="lowerLetter"/>
      <w:start w:val="9"/>
    </w:lvl>
    <w:lvl w:ilvl="1">
      <w:lvlJc w:val="left"/>
      <w:lvlText w:val="(%2)"/>
      <w:numFmt w:val="decimal"/>
      <w:start w:val="1"/>
    </w:lvl>
  </w:abstractNum>
  <w:abstractNum w:abstractNumId="249">
    <w:nsid w:val="1C0CA67C"/>
    <w:multiLevelType w:val="hybridMultilevel"/>
    <w:lvl w:ilvl="0">
      <w:lvlJc w:val="left"/>
      <w:lvlText w:val="(%1)"/>
      <w:numFmt w:val="lowerLetter"/>
      <w:start w:val="17"/>
    </w:lvl>
    <w:lvl w:ilvl="1">
      <w:lvlJc w:val="left"/>
      <w:lvlText w:val="(%2)"/>
      <w:numFmt w:val="decimal"/>
      <w:start w:val="1"/>
    </w:lvl>
  </w:abstractNum>
  <w:abstractNum w:abstractNumId="250">
    <w:nsid w:val="3D206613"/>
    <w:multiLevelType w:val="hybridMultilevel"/>
    <w:lvl w:ilvl="0">
      <w:lvlJc w:val="left"/>
      <w:lvlText w:val="(%1)"/>
      <w:numFmt w:val="lowerLetter"/>
      <w:start w:val="27"/>
    </w:lvl>
  </w:abstractNum>
  <w:abstractNum w:abstractNumId="251">
    <w:nsid w:val="7993B662"/>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252">
    <w:nsid w:val="3BAB699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53">
    <w:nsid w:val="71315369"/>
    <w:multiLevelType w:val="hybridMultilevel"/>
    <w:lvl w:ilvl="0">
      <w:lvlJc w:val="left"/>
      <w:lvlText w:val="%1."/>
      <w:numFmt w:val="decimal"/>
      <w:start w:val="4"/>
    </w:lvl>
  </w:abstractNum>
  <w:abstractNum w:abstractNumId="254">
    <w:nsid w:val="7BCFBAFC"/>
    <w:multiLevelType w:val="hybridMultilevel"/>
    <w:lvl w:ilvl="0">
      <w:lvlJc w:val="left"/>
      <w:lvlText w:val="%1."/>
      <w:numFmt w:val="decimal"/>
      <w:start w:val="5"/>
    </w:lvl>
    <w:lvl w:ilvl="1">
      <w:lvlJc w:val="left"/>
      <w:lvlText w:val="(%2)"/>
      <w:numFmt w:val="lowerLetter"/>
      <w:start w:val="1"/>
    </w:lvl>
  </w:abstractNum>
  <w:abstractNum w:abstractNumId="255">
    <w:nsid w:val="17859F72"/>
    <w:multiLevelType w:val="hybridMultilevel"/>
    <w:lvl w:ilvl="0">
      <w:lvlJc w:val="left"/>
      <w:lvlText w:val="%1"/>
      <w:numFmt w:val="decimal"/>
      <w:start w:val="1"/>
    </w:lvl>
    <w:lvl w:ilvl="1">
      <w:lvlJc w:val="left"/>
      <w:lvlText w:val="(%2)"/>
      <w:numFmt w:val="lowerLetter"/>
      <w:start w:val="2"/>
    </w:lvl>
  </w:abstractNum>
  <w:abstractNum w:abstractNumId="256">
    <w:nsid w:val="3AA10581"/>
    <w:multiLevelType w:val="hybridMultilevel"/>
    <w:lvl w:ilvl="0">
      <w:lvlJc w:val="left"/>
      <w:lvlText w:val="%1."/>
      <w:numFmt w:val="decimal"/>
      <w:start w:val="7"/>
    </w:lvl>
    <w:lvl w:ilvl="1">
      <w:lvlJc w:val="left"/>
      <w:lvlText w:val="(%2)"/>
      <w:numFmt w:val="lowerLetter"/>
      <w:start w:val="1"/>
    </w:lvl>
  </w:abstractNum>
  <w:abstractNum w:abstractNumId="257">
    <w:nsid w:val="63DE60CD"/>
    <w:multiLevelType w:val="hybridMultilevel"/>
    <w:lvl w:ilvl="0">
      <w:lvlJc w:val="left"/>
      <w:lvlText w:val="%1"/>
      <w:numFmt w:val="decimal"/>
      <w:start w:val="1"/>
    </w:lvl>
    <w:lvl w:ilvl="1">
      <w:lvlJc w:val="left"/>
      <w:lvlText w:val="(%2)"/>
      <w:numFmt w:val="lowerLetter"/>
      <w:start w:val="3"/>
    </w:lvl>
  </w:abstractNum>
  <w:abstractNum w:abstractNumId="258">
    <w:nsid w:val="621AF471"/>
    <w:multiLevelType w:val="hybridMultilevel"/>
    <w:lvl w:ilvl="0">
      <w:lvlJc w:val="left"/>
      <w:lvlText w:val="%1."/>
      <w:numFmt w:val="decimal"/>
      <w:start w:val="8"/>
    </w:lvl>
    <w:lvl w:ilvl="1">
      <w:lvlJc w:val="left"/>
      <w:lvlText w:val="(%2)"/>
      <w:numFmt w:val="lowerLetter"/>
      <w:start w:val="1"/>
    </w:lvl>
  </w:abstractNum>
  <w:abstractNum w:abstractNumId="259">
    <w:nsid w:val="73CFE165"/>
    <w:multiLevelType w:val="hybridMultilevel"/>
    <w:lvl w:ilvl="0">
      <w:lvlJc w:val="left"/>
      <w:lvlText w:val="%1."/>
      <w:numFmt w:val="decimal"/>
      <w:start w:val="9"/>
    </w:lvl>
    <w:lvl w:ilvl="1">
      <w:lvlJc w:val="left"/>
      <w:lvlText w:val="(%2)"/>
      <w:numFmt w:val="lowerLetter"/>
      <w:start w:val="2"/>
    </w:lvl>
  </w:abstractNum>
  <w:abstractNum w:abstractNumId="260">
    <w:nsid w:val="20F88EA6"/>
    <w:multiLevelType w:val="hybridMultilevel"/>
    <w:lvl w:ilvl="0">
      <w:lvlJc w:val="left"/>
      <w:lvlText w:val="%1."/>
      <w:numFmt w:val="decimal"/>
      <w:start w:val="10"/>
    </w:lvl>
  </w:abstractNum>
  <w:abstractNum w:abstractNumId="261">
    <w:nsid w:val="617C843E"/>
    <w:multiLevelType w:val="hybridMultilevel"/>
    <w:lvl w:ilvl="0">
      <w:lvlJc w:val="left"/>
      <w:lvlText w:val="%1."/>
      <w:numFmt w:val="decimal"/>
      <w:start w:val="11"/>
    </w:lvl>
  </w:abstractNum>
  <w:abstractNum w:abstractNumId="262">
    <w:nsid w:val="7B541FAB"/>
    <w:multiLevelType w:val="hybridMultilevel"/>
    <w:lvl w:ilvl="0">
      <w:lvlJc w:val="left"/>
      <w:lvlText w:val="%1."/>
      <w:numFmt w:val="decimal"/>
      <w:start w:val="12"/>
    </w:lvl>
  </w:abstractNum>
  <w:abstractNum w:abstractNumId="263">
    <w:nsid w:val="2A79EC49"/>
    <w:multiLevelType w:val="hybridMultilevel"/>
    <w:lvl w:ilvl="0">
      <w:lvlJc w:val="left"/>
      <w:lvlText w:val="%1."/>
      <w:numFmt w:val="decimal"/>
      <w:start w:val="14"/>
    </w:lvl>
  </w:abstractNum>
  <w:abstractNum w:abstractNumId="264">
    <w:nsid w:val="338125CF"/>
    <w:multiLevelType w:val="hybridMultilevel"/>
    <w:lvl w:ilvl="0">
      <w:lvlJc w:val="left"/>
      <w:lvlText w:val="%1."/>
      <w:numFmt w:val="decimal"/>
      <w:start w:val="15"/>
    </w:lvl>
    <w:lvl w:ilvl="1">
      <w:lvlJc w:val="left"/>
      <w:lvlText w:val="(%2)"/>
      <w:numFmt w:val="lowerLetter"/>
      <w:start w:val="1"/>
    </w:lvl>
  </w:abstractNum>
  <w:abstractNum w:abstractNumId="265">
    <w:nsid w:val="47C7C971"/>
    <w:multiLevelType w:val="hybridMultilevel"/>
    <w:lvl w:ilvl="0">
      <w:lvlJc w:val="left"/>
      <w:lvlText w:val="%1."/>
      <w:numFmt w:val="decimal"/>
      <w:start w:val="18"/>
    </w:lvl>
  </w:abstractNum>
  <w:abstractNum w:abstractNumId="266">
    <w:nsid w:val="46F8284B"/>
    <w:multiLevelType w:val="hybridMultilevel"/>
    <w:lvl w:ilvl="0">
      <w:lvlJc w:val="left"/>
      <w:lvlText w:val="%1."/>
      <w:numFmt w:val="decimal"/>
      <w:start w:val="19"/>
    </w:lvl>
  </w:abstractNum>
  <w:abstractNum w:abstractNumId="267">
    <w:nsid w:val="4FA327CE"/>
    <w:multiLevelType w:val="hybridMultilevel"/>
    <w:lvl w:ilvl="0">
      <w:lvlJc w:val="left"/>
      <w:lvlText w:val="%1."/>
      <w:numFmt w:val="decimal"/>
      <w:start w:val="21"/>
    </w:lvl>
  </w:abstractNum>
  <w:abstractNum w:abstractNumId="268">
    <w:nsid w:val="1873983A"/>
    <w:multiLevelType w:val="hybridMultilevel"/>
    <w:lvl w:ilvl="0">
      <w:lvlJc w:val="left"/>
      <w:lvlText w:val="%1."/>
      <w:numFmt w:val="decimal"/>
      <w:start w:val="22"/>
    </w:lvl>
  </w:abstractNum>
  <w:abstractNum w:abstractNumId="269">
    <w:nsid w:val="3D2DD275"/>
    <w:multiLevelType w:val="hybridMultilevel"/>
    <w:lvl w:ilvl="0">
      <w:lvlJc w:val="left"/>
      <w:lvlText w:val="%1."/>
      <w:numFmt w:val="decimal"/>
      <w:start w:val="1"/>
    </w:lvl>
  </w:abstractNum>
  <w:abstractNum w:abstractNumId="270">
    <w:nsid w:val="2E17ECA7"/>
    <w:multiLevelType w:val="hybridMultilevel"/>
    <w:lvl w:ilvl="0">
      <w:lvlJc w:val="left"/>
      <w:lvlText w:val="%1."/>
      <w:numFmt w:val="decimal"/>
      <w:start w:val="2"/>
    </w:lvl>
    <w:lvl w:ilvl="1">
      <w:lvlJc w:val="left"/>
      <w:lvlText w:val="(%2)"/>
      <w:numFmt w:val="lowerLetter"/>
      <w:start w:val="1"/>
    </w:lvl>
  </w:abstractNum>
  <w:abstractNum w:abstractNumId="271">
    <w:nsid w:val="53B2564F"/>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272">
    <w:nsid w:val="75509D76"/>
    <w:multiLevelType w:val="hybridMultilevel"/>
    <w:lvl w:ilvl="0">
      <w:lvlJc w:val="left"/>
      <w:lvlText w:val="(%1)"/>
      <w:numFmt w:val="decimal"/>
      <w:start w:val="3"/>
    </w:lvl>
    <w:lvl w:ilvl="1">
      <w:lvlJc w:val="left"/>
      <w:lvlText w:val="(%2)"/>
      <w:numFmt w:val="lowerLetter"/>
      <w:start w:val="10"/>
    </w:lvl>
    <w:lvl w:ilvl="2">
      <w:lvlJc w:val="left"/>
      <w:lvlText w:val="(%3)"/>
      <w:numFmt w:val="decimal"/>
      <w:start w:val="1"/>
    </w:lvl>
  </w:abstractNum>
  <w:abstractNum w:abstractNumId="273">
    <w:nsid w:val="1AF7F0EA"/>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274">
    <w:nsid w:val="4DA32C7E"/>
    <w:multiLevelType w:val="hybridMultilevel"/>
    <w:lvl w:ilvl="0">
      <w:lvlJc w:val="left"/>
      <w:lvlText w:val="(%1)"/>
      <w:numFmt w:val="lowerLetter"/>
      <w:start w:val="15"/>
    </w:lvl>
    <w:lvl w:ilvl="1">
      <w:lvlJc w:val="left"/>
      <w:lvlText w:val="(%2)"/>
      <w:numFmt w:val="decimal"/>
      <w:start w:val="1"/>
    </w:lvl>
    <w:lvl w:ilvl="2">
      <w:lvlJc w:val="left"/>
      <w:lvlText w:val="%3."/>
      <w:numFmt w:val="lowerRoman"/>
      <w:start w:val="1"/>
    </w:lvl>
  </w:abstractNum>
  <w:abstractNum w:abstractNumId="275">
    <w:nsid w:val="6EC68664"/>
    <w:multiLevelType w:val="hybridMultilevel"/>
    <w:lvl w:ilvl="0">
      <w:lvlJc w:val="left"/>
      <w:lvlText w:val="(%1)"/>
      <w:numFmt w:val="decimal"/>
      <w:start w:val="2"/>
    </w:lvl>
    <w:lvl w:ilvl="1">
      <w:lvlJc w:val="left"/>
      <w:lvlText w:val="%2."/>
      <w:numFmt w:val="lowerRoman"/>
      <w:start w:val="1"/>
    </w:lvl>
  </w:abstractNum>
  <w:abstractNum w:abstractNumId="276">
    <w:nsid w:val="E0D31FF"/>
    <w:multiLevelType w:val="hybridMultilevel"/>
    <w:lvl w:ilvl="0">
      <w:lvlJc w:val="left"/>
      <w:lvlText w:val="%1."/>
      <w:numFmt w:val="lowerRoman"/>
      <w:start w:val="4"/>
    </w:lvl>
  </w:abstractNum>
  <w:abstractNum w:abstractNumId="277">
    <w:nsid w:val="2FD0AD81"/>
    <w:multiLevelType w:val="hybridMultilevel"/>
    <w:lvl w:ilvl="0">
      <w:lvlJc w:val="left"/>
      <w:lvlText w:val="(%1)"/>
      <w:numFmt w:val="lowerLetter"/>
      <w:start w:val="17"/>
    </w:lvl>
  </w:abstractNum>
  <w:abstractNum w:abstractNumId="278">
    <w:nsid w:val="1978EBEB"/>
    <w:multiLevelType w:val="hybridMultilevel"/>
    <w:lvl w:ilvl="0">
      <w:lvlJc w:val="left"/>
      <w:lvlText w:val="(%1)"/>
      <w:numFmt w:val="lowerLetter"/>
      <w:start w:val="27"/>
    </w:lvl>
    <w:lvl w:ilvl="1">
      <w:lvlJc w:val="left"/>
      <w:lvlText w:val="(%2)"/>
      <w:numFmt w:val="decimal"/>
      <w:start w:val="1"/>
    </w:lvl>
  </w:abstractNum>
  <w:abstractNum w:abstractNumId="279">
    <w:nsid w:val="52C12C6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80">
    <w:nsid w:val="4BDD53FD"/>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281">
    <w:nsid w:val="569951F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82">
    <w:nsid w:val="4C54E2C3"/>
    <w:multiLevelType w:val="hybridMultilevel"/>
    <w:lvl w:ilvl="0">
      <w:lvlJc w:val="left"/>
      <w:lvlText w:val="%1."/>
      <w:numFmt w:val="decimal"/>
      <w:start w:val="4"/>
    </w:lvl>
  </w:abstractNum>
  <w:abstractNum w:abstractNumId="283">
    <w:nsid w:val="788BD9B"/>
    <w:multiLevelType w:val="hybridMultilevel"/>
    <w:lvl w:ilvl="0">
      <w:lvlJc w:val="left"/>
      <w:lvlText w:val="%1."/>
      <w:numFmt w:val="decimal"/>
      <w:start w:val="5"/>
    </w:lvl>
    <w:lvl w:ilvl="1">
      <w:lvlJc w:val="left"/>
      <w:lvlText w:val="(%2)"/>
      <w:numFmt w:val="lowerLetter"/>
      <w:start w:val="1"/>
    </w:lvl>
  </w:abstractNum>
  <w:abstractNum w:abstractNumId="284">
    <w:nsid w:val="47CAA567"/>
    <w:multiLevelType w:val="hybridMultilevel"/>
    <w:lvl w:ilvl="0">
      <w:lvlJc w:val="left"/>
      <w:lvlText w:val="%1"/>
      <w:numFmt w:val="decimal"/>
      <w:start w:val="1"/>
    </w:lvl>
    <w:lvl w:ilvl="1">
      <w:lvlJc w:val="left"/>
      <w:lvlText w:val="(%2)"/>
      <w:numFmt w:val="lowerLetter"/>
      <w:start w:val="1"/>
    </w:lvl>
  </w:abstractNum>
  <w:abstractNum w:abstractNumId="285">
    <w:nsid w:val="48249DBF"/>
    <w:multiLevelType w:val="hybridMultilevel"/>
    <w:lvl w:ilvl="0">
      <w:lvlJc w:val="left"/>
      <w:lvlText w:val="%1."/>
      <w:numFmt w:val="decimal"/>
      <w:start w:val="7"/>
    </w:lvl>
    <w:lvl w:ilvl="1">
      <w:lvlJc w:val="left"/>
      <w:lvlText w:val="(%2)"/>
      <w:numFmt w:val="lowerLetter"/>
      <w:start w:val="1"/>
    </w:lvl>
  </w:abstractNum>
  <w:abstractNum w:abstractNumId="286">
    <w:nsid w:val="1F0E5D0D"/>
    <w:multiLevelType w:val="hybridMultilevel"/>
    <w:lvl w:ilvl="0">
      <w:lvlJc w:val="left"/>
      <w:lvlText w:val="%1"/>
      <w:numFmt w:val="decimal"/>
      <w:start w:val="1"/>
    </w:lvl>
    <w:lvl w:ilvl="1">
      <w:lvlJc w:val="left"/>
      <w:lvlText w:val="(%2)"/>
      <w:numFmt w:val="lowerLetter"/>
      <w:start w:val="3"/>
    </w:lvl>
  </w:abstractNum>
  <w:abstractNum w:abstractNumId="287">
    <w:nsid w:val="26BAAE9"/>
    <w:multiLevelType w:val="hybridMultilevel"/>
    <w:lvl w:ilvl="0">
      <w:lvlJc w:val="left"/>
      <w:lvlText w:val="%1."/>
      <w:numFmt w:val="decimal"/>
      <w:start w:val="8"/>
    </w:lvl>
    <w:lvl w:ilvl="1">
      <w:lvlJc w:val="left"/>
      <w:lvlText w:val="%2"/>
      <w:numFmt w:val="lowerLetter"/>
      <w:start w:val="1"/>
    </w:lvl>
  </w:abstractNum>
  <w:abstractNum w:abstractNumId="288">
    <w:nsid w:val="2C02FE8C"/>
    <w:multiLevelType w:val="hybridMultilevel"/>
    <w:lvl w:ilvl="0">
      <w:lvlJc w:val="left"/>
      <w:lvlText w:val="%1."/>
      <w:numFmt w:val="decimal"/>
      <w:start w:val="9"/>
    </w:lvl>
    <w:lvl w:ilvl="1">
      <w:lvlJc w:val="left"/>
      <w:lvlText w:val="(%2)"/>
      <w:numFmt w:val="lowerLetter"/>
      <w:start w:val="1"/>
    </w:lvl>
  </w:abstractNum>
  <w:abstractNum w:abstractNumId="289">
    <w:nsid w:val="129517E"/>
    <w:multiLevelType w:val="hybridMultilevel"/>
    <w:lvl w:ilvl="0">
      <w:lvlJc w:val="left"/>
      <w:lvlText w:val="%1"/>
      <w:numFmt w:val="decimal"/>
      <w:start w:val="1"/>
    </w:lvl>
    <w:lvl w:ilvl="1">
      <w:lvlJc w:val="left"/>
      <w:lvlText w:val="(%2)"/>
      <w:numFmt w:val="lowerLetter"/>
      <w:start w:val="5"/>
    </w:lvl>
  </w:abstractNum>
  <w:abstractNum w:abstractNumId="290">
    <w:nsid w:val="763B8C4E"/>
    <w:multiLevelType w:val="hybridMultilevel"/>
    <w:lvl w:ilvl="0">
      <w:lvlJc w:val="left"/>
      <w:lvlText w:val="%1."/>
      <w:numFmt w:val="decimal"/>
      <w:start w:val="10"/>
    </w:lvl>
    <w:lvl w:ilvl="1">
      <w:lvlJc w:val="left"/>
      <w:lvlText w:val="%2"/>
      <w:numFmt w:val="lowerLetter"/>
      <w:start w:val="1"/>
    </w:lvl>
  </w:abstractNum>
  <w:abstractNum w:abstractNumId="291">
    <w:nsid w:val="4CFB8D32"/>
    <w:multiLevelType w:val="hybridMultilevel"/>
    <w:lvl w:ilvl="0">
      <w:lvlJc w:val="left"/>
      <w:lvlText w:val="%1."/>
      <w:numFmt w:val="decimal"/>
      <w:start w:val="11"/>
    </w:lvl>
  </w:abstractNum>
  <w:abstractNum w:abstractNumId="292">
    <w:nsid w:val="62A5D5BD"/>
    <w:multiLevelType w:val="hybridMultilevel"/>
    <w:lvl w:ilvl="0">
      <w:lvlJc w:val="left"/>
      <w:lvlText w:val="%1."/>
      <w:numFmt w:val="decimal"/>
      <w:start w:val="12"/>
    </w:lvl>
  </w:abstractNum>
  <w:abstractNum w:abstractNumId="293">
    <w:nsid w:val="718FABF9"/>
    <w:multiLevelType w:val="hybridMultilevel"/>
    <w:lvl w:ilvl="0">
      <w:lvlJc w:val="left"/>
      <w:lvlText w:val="%1."/>
      <w:numFmt w:val="decimal"/>
      <w:start w:val="13"/>
    </w:lvl>
  </w:abstractNum>
  <w:abstractNum w:abstractNumId="294">
    <w:nsid w:val="7775797C"/>
    <w:multiLevelType w:val="hybridMultilevel"/>
    <w:lvl w:ilvl="0">
      <w:lvlJc w:val="left"/>
      <w:lvlText w:val="%1."/>
      <w:numFmt w:val="decimal"/>
      <w:start w:val="14"/>
    </w:lvl>
  </w:abstractNum>
  <w:abstractNum w:abstractNumId="295">
    <w:nsid w:val="1626FB8C"/>
    <w:multiLevelType w:val="hybridMultilevel"/>
    <w:lvl w:ilvl="0">
      <w:lvlJc w:val="left"/>
      <w:lvlText w:val="%1."/>
      <w:numFmt w:val="decimal"/>
      <w:start w:val="15"/>
    </w:lvl>
  </w:abstractNum>
  <w:abstractNum w:abstractNumId="296">
    <w:nsid w:val="3957756A"/>
    <w:multiLevelType w:val="hybridMultilevel"/>
    <w:lvl w:ilvl="0">
      <w:lvlJc w:val="left"/>
      <w:lvlText w:val="%1."/>
      <w:numFmt w:val="decimal"/>
      <w:start w:val="16"/>
    </w:lvl>
    <w:lvl w:ilvl="1">
      <w:lvlJc w:val="left"/>
      <w:lvlText w:val="(%2)"/>
      <w:numFmt w:val="lowerLetter"/>
      <w:start w:val="1"/>
    </w:lvl>
  </w:abstractNum>
  <w:abstractNum w:abstractNumId="297">
    <w:nsid w:val="3E6DA1C7"/>
    <w:multiLevelType w:val="hybridMultilevel"/>
    <w:lvl w:ilvl="0">
      <w:lvlJc w:val="left"/>
      <w:lvlText w:val="%1."/>
      <w:numFmt w:val="decimal"/>
      <w:start w:val="18"/>
    </w:lvl>
  </w:abstractNum>
  <w:abstractNum w:abstractNumId="298">
    <w:nsid w:val="65CA235B"/>
    <w:multiLevelType w:val="hybridMultilevel"/>
    <w:lvl w:ilvl="0">
      <w:lvlJc w:val="left"/>
      <w:lvlText w:val="%1."/>
      <w:numFmt w:val="decimal"/>
      <w:start w:val="19"/>
    </w:lvl>
  </w:abstractNum>
  <w:abstractNum w:abstractNumId="299">
    <w:nsid w:val="51CB0DA4"/>
    <w:multiLevelType w:val="hybridMultilevel"/>
    <w:lvl w:ilvl="0">
      <w:lvlJc w:val="left"/>
      <w:lvlText w:val="%1."/>
      <w:numFmt w:val="decimal"/>
      <w:start w:val="20"/>
    </w:lvl>
  </w:abstractNum>
  <w:abstractNum w:abstractNumId="300">
    <w:nsid w:val="7B9B743C"/>
    <w:multiLevelType w:val="hybridMultilevel"/>
    <w:lvl w:ilvl="0">
      <w:lvlJc w:val="left"/>
      <w:lvlText w:val="%1."/>
      <w:numFmt w:val="decimal"/>
      <w:start w:val="21"/>
    </w:lvl>
  </w:abstractNum>
  <w:abstractNum w:abstractNumId="301">
    <w:nsid w:val="13E21002"/>
    <w:multiLevelType w:val="hybridMultilevel"/>
    <w:lvl w:ilvl="0">
      <w:lvlJc w:val="left"/>
      <w:lvlText w:val="%1."/>
      <w:numFmt w:val="decimal"/>
      <w:start w:val="22"/>
    </w:lvl>
  </w:abstractNum>
  <w:abstractNum w:abstractNumId="302">
    <w:nsid w:val="257D63F4"/>
    <w:multiLevelType w:val="hybridMultilevel"/>
    <w:lvl w:ilvl="0">
      <w:lvlJc w:val="left"/>
      <w:lvlText w:val="%1."/>
      <w:numFmt w:val="decimal"/>
      <w:start w:val="1"/>
    </w:lvl>
  </w:abstractNum>
  <w:abstractNum w:abstractNumId="303">
    <w:nsid w:val="70EC11B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04">
    <w:nsid w:val="2EDA00ED"/>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5"/>
    </w:lvl>
  </w:abstractNum>
  <w:abstractNum w:abstractNumId="305">
    <w:nsid w:val="73209072"/>
    <w:multiLevelType w:val="hybridMultilevel"/>
    <w:lvl w:ilvl="0">
      <w:lvlJc w:val="left"/>
      <w:lvlText w:val="(%1)"/>
      <w:numFmt w:val="lowerRoman"/>
      <w:start w:val="1"/>
    </w:lvl>
    <w:lvl w:ilvl="1">
      <w:lvlJc w:val="left"/>
      <w:lvlText w:val="(%2)"/>
      <w:numFmt w:val="decimal"/>
      <w:start w:val="1"/>
    </w:lvl>
  </w:abstractNum>
  <w:abstractNum w:abstractNumId="306">
    <w:nsid w:val="5FB29816"/>
    <w:multiLevelType w:val="hybridMultilevel"/>
    <w:lvl w:ilvl="0">
      <w:lvlJc w:val="left"/>
      <w:lvlText w:val="(%1)"/>
      <w:numFmt w:val="lowerLetter"/>
      <w:start w:val="10"/>
    </w:lvl>
  </w:abstractNum>
  <w:abstractNum w:abstractNumId="307">
    <w:nsid w:val="3CE732EC"/>
    <w:multiLevelType w:val="hybridMultilevel"/>
    <w:lvl w:ilvl="0">
      <w:lvlJc w:val="left"/>
      <w:lvlText w:val="(%1)"/>
      <w:numFmt w:val="lowerLetter"/>
      <w:start w:val="12"/>
    </w:lvl>
    <w:lvl w:ilvl="1">
      <w:lvlJc w:val="left"/>
      <w:lvlText w:val="(%2)"/>
      <w:numFmt w:val="decimal"/>
      <w:start w:val="1"/>
    </w:lvl>
  </w:abstractNum>
  <w:abstractNum w:abstractNumId="308">
    <w:nsid w:val="22F13DF3"/>
    <w:multiLevelType w:val="hybridMultilevel"/>
    <w:lvl w:ilvl="0">
      <w:lvlJc w:val="left"/>
      <w:lvlText w:val="(%1)"/>
      <w:numFmt w:val="lowerLetter"/>
      <w:start w:val="16"/>
    </w:lvl>
  </w:abstractNum>
  <w:abstractNum w:abstractNumId="309">
    <w:nsid w:val="792B8401"/>
    <w:multiLevelType w:val="hybridMultilevel"/>
    <w:lvl w:ilvl="0">
      <w:lvlJc w:val="left"/>
      <w:lvlText w:val="(%1)"/>
      <w:numFmt w:val="decimal"/>
      <w:start w:val="4"/>
    </w:lvl>
  </w:abstractNum>
  <w:abstractNum w:abstractNumId="310">
    <w:nsid w:val="FA85F4D"/>
    <w:multiLevelType w:val="hybridMultilevel"/>
    <w:lvl w:ilvl="0">
      <w:lvlJc w:val="left"/>
      <w:lvlText w:val="(%1)"/>
      <w:numFmt w:val="lowerLetter"/>
      <w:start w:val="17"/>
    </w:lvl>
  </w:abstractNum>
  <w:abstractNum w:abstractNumId="311">
    <w:nsid w:val="6ECE91F0"/>
    <w:multiLevelType w:val="hybridMultilevel"/>
    <w:lvl w:ilvl="0">
      <w:lvlJc w:val="left"/>
      <w:lvlText w:val="(%1)"/>
      <w:numFmt w:val="lowerLetter"/>
      <w:start w:val="19"/>
    </w:lvl>
  </w:abstractNum>
  <w:abstractNum w:abstractNumId="312">
    <w:nsid w:val="4FC4D600"/>
    <w:multiLevelType w:val="hybridMultilevel"/>
    <w:lvl w:ilvl="0">
      <w:lvlJc w:val="left"/>
      <w:lvlText w:val="%1."/>
      <w:numFmt w:val="decimal"/>
      <w:start w:val="2"/>
    </w:lvl>
    <w:lvl w:ilvl="1">
      <w:lvlJc w:val="left"/>
      <w:lvlText w:val="(%2)"/>
      <w:numFmt w:val="lowerLetter"/>
      <w:start w:val="1"/>
    </w:lvl>
  </w:abstractNum>
  <w:abstractNum w:abstractNumId="313">
    <w:nsid w:val="5BFD4210"/>
    <w:multiLevelType w:val="hybridMultilevel"/>
    <w:lvl w:ilvl="0">
      <w:lvlJc w:val="left"/>
      <w:lvlText w:val="%1"/>
      <w:numFmt w:val="lowerLetter"/>
      <w:start w:val="1"/>
    </w:lvl>
    <w:lvl w:ilvl="1">
      <w:lvlJc w:val="left"/>
      <w:lvlText w:val="(%2)"/>
      <w:numFmt w:val="decimal"/>
      <w:start w:val="1"/>
    </w:lvl>
  </w:abstractNum>
  <w:abstractNum w:abstractNumId="314">
    <w:nsid w:val="76574F8B"/>
    <w:multiLevelType w:val="hybridMultilevel"/>
    <w:lvl w:ilvl="0">
      <w:lvlJc w:val="left"/>
      <w:lvlText w:val="(%1)"/>
      <w:numFmt w:val="lowerLetter"/>
      <w:start w:val="4"/>
    </w:lvl>
    <w:lvl w:ilvl="1">
      <w:lvlJc w:val="left"/>
      <w:lvlText w:val="(%2)"/>
      <w:numFmt w:val="decimal"/>
      <w:start w:val="1"/>
    </w:lvl>
  </w:abstractNum>
  <w:abstractNum w:abstractNumId="315">
    <w:nsid w:val="178F7B67"/>
    <w:multiLevelType w:val="hybridMultilevel"/>
    <w:lvl w:ilvl="0">
      <w:lvlJc w:val="left"/>
      <w:lvlText w:val="%1"/>
      <w:numFmt w:val="decimal"/>
      <w:start w:val="1"/>
    </w:lvl>
    <w:lvl w:ilvl="1">
      <w:lvlJc w:val="left"/>
      <w:lvlText w:val="(%2)"/>
      <w:numFmt w:val="lowerLetter"/>
      <w:start w:val="5"/>
    </w:lvl>
  </w:abstractNum>
  <w:abstractNum w:abstractNumId="316">
    <w:nsid w:val="2421DFCF"/>
    <w:multiLevelType w:val="hybridMultilevel"/>
    <w:lvl w:ilvl="0">
      <w:lvlJc w:val="left"/>
      <w:lvlText w:val="%1."/>
      <w:numFmt w:val="decimal"/>
      <w:start w:val="5"/>
    </w:lvl>
    <w:lvl w:ilvl="1">
      <w:lvlJc w:val="left"/>
      <w:lvlText w:val="(%2)"/>
      <w:numFmt w:val="lowerLetter"/>
      <w:start w:val="1"/>
    </w:lvl>
  </w:abstractNum>
  <w:abstractNum w:abstractNumId="317">
    <w:nsid w:val="1565AC99"/>
    <w:multiLevelType w:val="hybridMultilevel"/>
    <w:lvl w:ilvl="0">
      <w:lvlJc w:val="left"/>
      <w:lvlText w:val="(%1)"/>
      <w:numFmt w:val="lowerLetter"/>
      <w:start w:val="1"/>
    </w:lvl>
    <w:lvl w:ilvl="1">
      <w:lvlJc w:val="left"/>
      <w:lvlText w:val="(%2)"/>
      <w:numFmt w:val="decimal"/>
      <w:start w:val="1"/>
    </w:lvl>
  </w:abstractNum>
  <w:abstractNum w:abstractNumId="318">
    <w:nsid w:val="19FB2650"/>
    <w:multiLevelType w:val="hybridMultilevel"/>
    <w:lvl w:ilvl="0">
      <w:lvlJc w:val="left"/>
      <w:lvlText w:val="(%1)"/>
      <w:numFmt w:val="lowerLetter"/>
      <w:start w:val="2"/>
    </w:lvl>
    <w:lvl w:ilvl="1">
      <w:lvlJc w:val="left"/>
      <w:lvlText w:val="(%2)"/>
      <w:numFmt w:val="decimal"/>
      <w:start w:val="1"/>
    </w:lvl>
  </w:abstractNum>
  <w:abstractNum w:abstractNumId="319">
    <w:nsid w:val="5024DE5B"/>
    <w:multiLevelType w:val="hybridMultilevel"/>
    <w:lvl w:ilvl="0">
      <w:lvlJc w:val="left"/>
      <w:lvlText w:val="%1"/>
      <w:numFmt w:val="decimal"/>
      <w:start w:val="1"/>
    </w:lvl>
    <w:lvl w:ilvl="1">
      <w:lvlJc w:val="left"/>
      <w:lvlText w:val="(%2)"/>
      <w:numFmt w:val="lowerLetter"/>
      <w:start w:val="6"/>
    </w:lvl>
  </w:abstractNum>
  <w:abstractNum w:abstractNumId="320">
    <w:nsid w:val="168EFE17"/>
    <w:multiLevelType w:val="hybridMultilevel"/>
    <w:lvl w:ilvl="0">
      <w:lvlJc w:val="left"/>
      <w:lvlText w:val="%1."/>
      <w:numFmt w:val="decimal"/>
      <w:start w:val="7"/>
    </w:lvl>
    <w:lvl w:ilvl="1">
      <w:lvlJc w:val="left"/>
      <w:lvlText w:val="(%2)"/>
      <w:numFmt w:val="lowerLetter"/>
      <w:start w:val="1"/>
    </w:lvl>
  </w:abstractNum>
  <w:abstractNum w:abstractNumId="321">
    <w:nsid w:val="1036B29F"/>
    <w:multiLevelType w:val="hybridMultilevel"/>
    <w:lvl w:ilvl="0">
      <w:lvlJc w:val="left"/>
      <w:lvlText w:val="%1."/>
      <w:numFmt w:val="decimal"/>
      <w:start w:val="10"/>
    </w:lvl>
    <w:lvl w:ilvl="1">
      <w:lvlJc w:val="left"/>
      <w:lvlText w:val="(%2)"/>
      <w:numFmt w:val="lowerLetter"/>
      <w:start w:val="1"/>
    </w:lvl>
  </w:abstractNum>
  <w:abstractNum w:abstractNumId="322">
    <w:nsid w:val="1D206B8E"/>
    <w:multiLevelType w:val="hybridMultilevel"/>
    <w:lvl w:ilvl="0">
      <w:lvlJc w:val="left"/>
      <w:lvlText w:val="%1."/>
      <w:numFmt w:val="decimal"/>
      <w:start w:val="1"/>
    </w:lvl>
    <w:lvl w:ilvl="1">
      <w:lvlJc w:val="left"/>
      <w:lvlText w:val="(%2)"/>
      <w:numFmt w:val="lowerLetter"/>
      <w:start w:val="1"/>
    </w:lvl>
  </w:abstractNum>
  <w:abstractNum w:abstractNumId="323">
    <w:nsid w:val="7934D3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24">
    <w:nsid w:val="1C65E9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25">
    <w:nsid w:val="1495E50A"/>
    <w:multiLevelType w:val="hybridMultilevel"/>
    <w:lvl w:ilvl="0">
      <w:lvlJc w:val="left"/>
      <w:lvlText w:val="(%1)"/>
      <w:numFmt w:val="decimal"/>
      <w:start w:val="10"/>
    </w:lvl>
    <w:lvl w:ilvl="1">
      <w:lvlJc w:val="left"/>
      <w:lvlText w:val="%2."/>
      <w:numFmt w:val="decimal"/>
      <w:start w:val="6"/>
    </w:lvl>
    <w:lvl w:ilvl="2">
      <w:lvlJc w:val="left"/>
      <w:lvlText w:val="(%3)"/>
      <w:numFmt w:val="lowerLetter"/>
      <w:start w:val="1"/>
    </w:lvl>
  </w:abstractNum>
  <w:abstractNum w:abstractNumId="326">
    <w:nsid w:val="F5BCF61"/>
    <w:multiLevelType w:val="hybridMultilevel"/>
    <w:lvl w:ilvl="0">
      <w:lvlJc w:val="left"/>
      <w:lvlText w:val="(%1)"/>
      <w:numFmt w:val="lowerLetter"/>
      <w:start w:val="2"/>
    </w:lvl>
  </w:abstractNum>
  <w:abstractNum w:abstractNumId="327">
    <w:nsid w:val="3B1DD403"/>
    <w:multiLevelType w:val="hybridMultilevel"/>
    <w:lvl w:ilvl="0">
      <w:lvlJc w:val="left"/>
      <w:lvlText w:val="(%1)"/>
      <w:numFmt w:val="lowerLetter"/>
      <w:start w:val="3"/>
    </w:lvl>
  </w:abstractNum>
  <w:abstractNum w:abstractNumId="328">
    <w:nsid w:val="530386D1"/>
    <w:multiLevelType w:val="hybridMultilevel"/>
    <w:lvl w:ilvl="0">
      <w:lvlJc w:val="left"/>
      <w:lvlText w:val="%1."/>
      <w:numFmt w:val="decimal"/>
      <w:start w:val="1"/>
    </w:lvl>
  </w:abstractNum>
  <w:abstractNum w:abstractNumId="329">
    <w:nsid w:val="7525F2BC"/>
    <w:multiLevelType w:val="hybridMultilevel"/>
    <w:lvl w:ilvl="0">
      <w:lvlJc w:val="left"/>
      <w:lvlText w:val="%1."/>
      <w:numFmt w:val="decimal"/>
      <w:start w:val="2"/>
    </w:lvl>
    <w:lvl w:ilvl="1">
      <w:lvlJc w:val="left"/>
      <w:lvlText w:val="(%2)"/>
      <w:numFmt w:val="lowerLetter"/>
      <w:start w:val="1"/>
    </w:lvl>
  </w:abstractNum>
  <w:abstractNum w:abstractNumId="330">
    <w:nsid w:val="CE8E1A7"/>
    <w:multiLevelType w:val="hybridMultilevel"/>
    <w:lvl w:ilvl="0">
      <w:lvlJc w:val="left"/>
      <w:lvlText w:val="%1."/>
      <w:numFmt w:val="decimal"/>
      <w:start w:val="6"/>
    </w:lvl>
    <w:lvl w:ilvl="1">
      <w:lvlJc w:val="left"/>
      <w:lvlText w:val="(%2)"/>
      <w:numFmt w:val="lowerLetter"/>
      <w:start w:val="1"/>
    </w:lvl>
  </w:abstractNum>
  <w:abstractNum w:abstractNumId="331">
    <w:nsid w:val="4E9EFB0D"/>
    <w:multiLevelType w:val="hybridMultilevel"/>
    <w:lvl w:ilvl="0">
      <w:lvlJc w:val="left"/>
      <w:lvlText w:val="%1."/>
      <w:numFmt w:val="decimal"/>
      <w:start w:val="12"/>
    </w:lvl>
  </w:abstractNum>
  <w:abstractNum w:abstractNumId="332">
    <w:nsid w:val="90802BE"/>
    <w:multiLevelType w:val="hybridMultilevel"/>
    <w:lvl w:ilvl="0">
      <w:lvlJc w:val="left"/>
      <w:lvlText w:val="(%1)"/>
      <w:numFmt w:val="lowerLetter"/>
      <w:start w:val="1"/>
    </w:lvl>
  </w:abstractNum>
  <w:abstractNum w:abstractNumId="333">
    <w:nsid w:val="3266459B"/>
    <w:multiLevelType w:val="hybridMultilevel"/>
    <w:lvl w:ilvl="0">
      <w:lvlJc w:val="left"/>
      <w:lvlText w:val="%1."/>
      <w:numFmt w:val="decimal"/>
      <w:start w:val="1"/>
    </w:lvl>
    <w:lvl w:ilvl="1">
      <w:lvlJc w:val="left"/>
      <w:lvlText w:val="%2)"/>
      <w:numFmt w:val="lowerLetter"/>
      <w:start w:val="1"/>
    </w:lvl>
  </w:abstractNum>
  <w:abstractNum w:abstractNumId="334">
    <w:nsid w:val="3F8B0CBF"/>
    <w:multiLevelType w:val="hybridMultilevel"/>
    <w:lvl w:ilvl="0">
      <w:lvlJc w:val="left"/>
      <w:lvlText w:val="%1."/>
      <w:numFmt w:val="decimal"/>
      <w:start w:val="1"/>
    </w:lvl>
    <w:lvl w:ilvl="1">
      <w:lvlJc w:val="left"/>
      <w:lvlText w:val="%2)"/>
      <w:numFmt w:val="lowerLetter"/>
      <w:start w:val="1"/>
    </w:lvl>
  </w:abstractNum>
  <w:abstractNum w:abstractNumId="335">
    <w:nsid w:val="37E203AB"/>
    <w:multiLevelType w:val="hybridMultilevel"/>
    <w:lvl w:ilvl="0">
      <w:lvlJc w:val="left"/>
      <w:lvlText w:val="%1."/>
      <w:numFmt w:val="decimal"/>
      <w:start w:val="1"/>
    </w:lvl>
    <w:lvl w:ilvl="1">
      <w:lvlJc w:val="left"/>
      <w:lvlText w:val="%2)"/>
      <w:numFmt w:val="lowerLetter"/>
      <w:start w:val="1"/>
    </w:lvl>
  </w:abstractNum>
  <w:abstractNum w:abstractNumId="336">
    <w:nsid w:val="2586D60E"/>
    <w:multiLevelType w:val="hybridMultilevel"/>
    <w:lvl w:ilvl="0">
      <w:lvlJc w:val="left"/>
      <w:lvlText w:val="%1."/>
      <w:numFmt w:val="decimal"/>
      <w:start w:val="1"/>
    </w:lvl>
    <w:lvl w:ilvl="1">
      <w:lvlJc w:val="left"/>
      <w:lvlText w:val="%2)"/>
      <w:numFmt w:val="lowerLetter"/>
      <w:start w:val="1"/>
    </w:lvl>
  </w:abstractNum>
  <w:abstractNum w:abstractNumId="337">
    <w:nsid w:val="1F3DA4D5"/>
    <w:multiLevelType w:val="hybridMultilevel"/>
    <w:lvl w:ilvl="0">
      <w:lvlJc w:val="left"/>
      <w:lvlText w:val="%1."/>
      <w:numFmt w:val="decimal"/>
      <w:start w:val="1"/>
    </w:lvl>
  </w:abstractNum>
  <w:abstractNum w:abstractNumId="338">
    <w:nsid w:val="74C936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2019-12-29T18:18:27Z</dcterms:created>
  <dcterms:modified xsi:type="dcterms:W3CDTF">2019-12-29T18:18:27Z</dcterms:modified>
</cp:coreProperties>
</file>