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333-101861</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(To prospectus dated December 23,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9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860"/>
        <w:spacing w:after="0"/>
        <w:rPr>
          <w:sz w:val="20"/>
          <w:szCs w:val="20"/>
          <w:color w:val="auto"/>
        </w:rPr>
      </w:pPr>
      <w:r>
        <w:rPr>
          <w:rFonts w:ascii="Arial" w:cs="Arial" w:eastAsia="Arial" w:hAnsi="Arial"/>
          <w:sz w:val="24"/>
          <w:szCs w:val="24"/>
          <w:b w:val="1"/>
          <w:bCs w:val="1"/>
          <w:color w:val="auto"/>
        </w:rPr>
        <w:t>$600,000,000 5.85% Notes due 2010</w:t>
      </w:r>
    </w:p>
    <w:p>
      <w:pPr>
        <w:spacing w:after="0" w:line="224" w:lineRule="exact"/>
        <w:rPr>
          <w:sz w:val="24"/>
          <w:szCs w:val="24"/>
          <w:color w:val="auto"/>
        </w:rPr>
      </w:pPr>
    </w:p>
    <w:p>
      <w:pPr>
        <w:ind w:left="3860"/>
        <w:spacing w:after="0"/>
        <w:rPr>
          <w:sz w:val="20"/>
          <w:szCs w:val="20"/>
          <w:color w:val="auto"/>
        </w:rPr>
      </w:pPr>
      <w:r>
        <w:rPr>
          <w:rFonts w:ascii="Arial" w:cs="Arial" w:eastAsia="Arial" w:hAnsi="Arial"/>
          <w:sz w:val="24"/>
          <w:szCs w:val="24"/>
          <w:b w:val="1"/>
          <w:bCs w:val="1"/>
          <w:color w:val="auto"/>
        </w:rPr>
        <w:t>$900,000,000 6.50% Notes due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both"/>
        <w:ind w:right="120" w:firstLine="699"/>
        <w:spacing w:after="0" w:line="298" w:lineRule="auto"/>
        <w:rPr>
          <w:sz w:val="20"/>
          <w:szCs w:val="20"/>
          <w:color w:val="auto"/>
        </w:rPr>
      </w:pPr>
      <w:r>
        <w:rPr>
          <w:rFonts w:ascii="Arial" w:cs="Arial" w:eastAsia="Arial" w:hAnsi="Arial"/>
          <w:sz w:val="16"/>
          <w:szCs w:val="16"/>
          <w:color w:val="auto"/>
        </w:rPr>
        <w:t>We will pay interest on the notes on January 15 and July 15 of each year beginning on July 15, 2003. The notes due 2010 will bear interest at a rate of 5.85% per year and will mature on January 15, 2010. The notes due 2015 will bear interest at a rate of 6.50% per year and will mature on January 15, 2015. 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167" w:lineRule="exact"/>
        <w:rPr>
          <w:sz w:val="24"/>
          <w:szCs w:val="24"/>
          <w:color w:val="auto"/>
        </w:rPr>
      </w:pPr>
    </w:p>
    <w:p>
      <w:pPr>
        <w:ind w:right="220" w:firstLine="699"/>
        <w:spacing w:after="0" w:line="268" w:lineRule="auto"/>
        <w:rPr>
          <w:sz w:val="20"/>
          <w:szCs w:val="20"/>
          <w:color w:val="auto"/>
        </w:rPr>
      </w:pPr>
      <w:r>
        <w:rPr>
          <w:rFonts w:ascii="Arial" w:cs="Arial" w:eastAsia="Arial" w:hAnsi="Arial"/>
          <w:sz w:val="18"/>
          <w:szCs w:val="18"/>
          <w:color w:val="auto"/>
        </w:rPr>
        <w:t>We may redeem any of the notes at any time by paying the greater of the principal amount of the notes or a "make-whole" amount, plus, in each case, accrued interest. See "Description of the Notes and the Cable Guarantees—Optional Redemption."</w:t>
      </w:r>
    </w:p>
    <w:p>
      <w:pPr>
        <w:spacing w:after="0" w:line="167" w:lineRule="exact"/>
        <w:rPr>
          <w:sz w:val="24"/>
          <w:szCs w:val="24"/>
          <w:color w:val="auto"/>
        </w:rPr>
      </w:pPr>
    </w:p>
    <w:p>
      <w:pPr>
        <w:ind w:right="520" w:firstLine="702"/>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beginning on page 3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118745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Price to</w:t>
            </w:r>
          </w:p>
        </w:tc>
        <w:tc>
          <w:tcPr>
            <w:tcW w:w="320" w:type="dxa"/>
            <w:vAlign w:val="bottom"/>
          </w:tcPr>
          <w:p>
            <w:pPr>
              <w:spacing w:after="0"/>
              <w:rPr>
                <w:sz w:val="14"/>
                <w:szCs w:val="14"/>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Underwriters'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Proceeds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Investors(1)</w:t>
            </w:r>
          </w:p>
        </w:tc>
        <w:tc>
          <w:tcPr>
            <w:tcW w:w="320" w:type="dxa"/>
            <w:vAlign w:val="bottom"/>
          </w:tcPr>
          <w:p>
            <w:pPr>
              <w:spacing w:after="0"/>
              <w:rPr>
                <w:sz w:val="15"/>
                <w:szCs w:val="15"/>
                <w:color w:val="auto"/>
              </w:rPr>
            </w:pPr>
          </w:p>
        </w:tc>
        <w:tc>
          <w:tcPr>
            <w:tcW w:w="18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Us Before Expenses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2010</w:t>
            </w: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99.862%</w:t>
            </w: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599,172,000</w:t>
            </w:r>
          </w:p>
        </w:tc>
        <w:tc>
          <w:tcPr>
            <w:tcW w:w="34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3,750,000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40"/>
              <w:spacing w:after="0"/>
              <w:rPr>
                <w:sz w:val="20"/>
                <w:szCs w:val="20"/>
                <w:color w:val="auto"/>
              </w:rPr>
            </w:pPr>
            <w:r>
              <w:rPr>
                <w:rFonts w:ascii="Arial" w:cs="Arial" w:eastAsia="Arial" w:hAnsi="Arial"/>
                <w:sz w:val="18"/>
                <w:szCs w:val="18"/>
                <w:color w:val="auto"/>
              </w:rPr>
              <w:t>595,422,000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2015</w:t>
            </w: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99.710%</w:t>
            </w: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897,390,000</w:t>
            </w:r>
          </w:p>
        </w:tc>
        <w:tc>
          <w:tcPr>
            <w:tcW w:w="34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6,075,000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40"/>
              <w:spacing w:after="0"/>
              <w:rPr>
                <w:sz w:val="20"/>
                <w:szCs w:val="20"/>
                <w:color w:val="auto"/>
              </w:rPr>
            </w:pPr>
            <w:r>
              <w:rPr>
                <w:rFonts w:ascii="Arial" w:cs="Arial" w:eastAsia="Arial" w:hAnsi="Arial"/>
                <w:sz w:val="18"/>
                <w:szCs w:val="18"/>
                <w:color w:val="auto"/>
              </w:rPr>
              <w:t>891,315,000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3699510</wp:posOffset>
            </wp:positionH>
            <wp:positionV relativeFrom="paragraph">
              <wp:posOffset>-650875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-650875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-650875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-650875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-650875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-650875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2" w:lineRule="exact"/>
        <w:rPr>
          <w:sz w:val="24"/>
          <w:szCs w:val="24"/>
          <w:color w:val="auto"/>
        </w:rPr>
      </w:pPr>
    </w:p>
    <w:p>
      <w:pPr>
        <w:ind w:left="1620" w:hanging="532"/>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January 10, 2003, if settlement occurs after that date.</w:t>
      </w:r>
    </w:p>
    <w:p>
      <w:pPr>
        <w:spacing w:after="0" w:line="225" w:lineRule="exact"/>
        <w:rPr>
          <w:sz w:val="24"/>
          <w:szCs w:val="24"/>
          <w:color w:val="auto"/>
        </w:rPr>
      </w:pPr>
    </w:p>
    <w:p>
      <w:pPr>
        <w:ind w:right="140" w:firstLine="702"/>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9" w:lineRule="exact"/>
        <w:rPr>
          <w:sz w:val="24"/>
          <w:szCs w:val="24"/>
          <w:color w:val="auto"/>
        </w:rPr>
      </w:pPr>
    </w:p>
    <w:p>
      <w:pPr>
        <w:ind w:left="700"/>
        <w:spacing w:after="0"/>
        <w:rPr>
          <w:sz w:val="20"/>
          <w:szCs w:val="20"/>
          <w:color w:val="auto"/>
        </w:rPr>
      </w:pPr>
      <w:r>
        <w:rPr>
          <w:rFonts w:ascii="Arial" w:cs="Arial" w:eastAsia="Arial" w:hAnsi="Arial"/>
          <w:sz w:val="18"/>
          <w:szCs w:val="18"/>
          <w:color w:val="auto"/>
        </w:rPr>
        <w:t>The notes will be ready for delivery only through The Depository Trust Company in book-entry form on or about January 10,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496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89"/>
              </w:rPr>
              <w:t>Joint Book-Running Managers</w:t>
            </w:r>
          </w:p>
        </w:tc>
        <w:tc>
          <w:tcPr>
            <w:tcW w:w="2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8"/>
        </w:trPr>
        <w:tc>
          <w:tcPr>
            <w:tcW w:w="3340" w:type="dxa"/>
            <w:vAlign w:val="bottom"/>
          </w:tcPr>
          <w:p>
            <w:pPr>
              <w:spacing w:after="0"/>
              <w:rPr>
                <w:sz w:val="20"/>
                <w:szCs w:val="20"/>
                <w:color w:val="auto"/>
              </w:rPr>
            </w:pPr>
            <w:r>
              <w:rPr>
                <w:rFonts w:ascii="Arial" w:cs="Arial" w:eastAsia="Arial" w:hAnsi="Arial"/>
                <w:sz w:val="32"/>
                <w:szCs w:val="32"/>
                <w:b w:val="1"/>
                <w:bCs w:val="1"/>
                <w:color w:val="auto"/>
              </w:rPr>
              <w:t>JPMorgan</w:t>
            </w:r>
          </w:p>
        </w:tc>
        <w:tc>
          <w:tcPr>
            <w:tcW w:w="4960" w:type="dxa"/>
            <w:vAlign w:val="bottom"/>
            <w:gridSpan w:val="3"/>
          </w:tcPr>
          <w:p>
            <w:pPr>
              <w:ind w:left="1020"/>
              <w:spacing w:after="0"/>
              <w:rPr>
                <w:sz w:val="20"/>
                <w:szCs w:val="20"/>
                <w:color w:val="auto"/>
              </w:rPr>
            </w:pPr>
            <w:r>
              <w:rPr>
                <w:rFonts w:ascii="Arial" w:cs="Arial" w:eastAsia="Arial" w:hAnsi="Arial"/>
                <w:sz w:val="32"/>
                <w:szCs w:val="32"/>
                <w:b w:val="1"/>
                <w:bCs w:val="1"/>
                <w:color w:val="auto"/>
              </w:rPr>
              <w:t>Merrill Lynch &amp; Co.</w:t>
            </w:r>
          </w:p>
        </w:tc>
        <w:tc>
          <w:tcPr>
            <w:tcW w:w="3120" w:type="dxa"/>
            <w:vAlign w:val="bottom"/>
            <w:gridSpan w:val="2"/>
          </w:tcPr>
          <w:p>
            <w:pPr>
              <w:jc w:val="right"/>
              <w:spacing w:after="0"/>
              <w:rPr>
                <w:sz w:val="20"/>
                <w:szCs w:val="20"/>
                <w:color w:val="auto"/>
              </w:rPr>
            </w:pPr>
            <w:r>
              <w:rPr>
                <w:rFonts w:ascii="Arial" w:cs="Arial" w:eastAsia="Arial" w:hAnsi="Arial"/>
                <w:sz w:val="32"/>
                <w:szCs w:val="32"/>
                <w:b w:val="1"/>
                <w:bCs w:val="1"/>
                <w:color w:val="auto"/>
              </w:rPr>
              <w:t>Morgan Stanley</w:t>
            </w:r>
          </w:p>
        </w:tc>
        <w:tc>
          <w:tcPr>
            <w:tcW w:w="0" w:type="dxa"/>
            <w:vAlign w:val="bottom"/>
          </w:tcPr>
          <w:p>
            <w:pPr>
              <w:spacing w:after="0"/>
              <w:rPr>
                <w:sz w:val="1"/>
                <w:szCs w:val="1"/>
                <w:color w:val="auto"/>
              </w:rPr>
            </w:pPr>
          </w:p>
        </w:tc>
      </w:tr>
      <w:tr>
        <w:trPr>
          <w:trHeight w:val="103"/>
        </w:trPr>
        <w:tc>
          <w:tcPr>
            <w:tcW w:w="3340" w:type="dxa"/>
            <w:vAlign w:val="bottom"/>
            <w:vMerge w:val="restart"/>
          </w:tcPr>
          <w:p>
            <w:pPr>
              <w:spacing w:after="0"/>
              <w:rPr>
                <w:sz w:val="20"/>
                <w:szCs w:val="20"/>
                <w:color w:val="auto"/>
              </w:rPr>
            </w:pPr>
            <w:r>
              <w:rPr>
                <w:rFonts w:ascii="Arial" w:cs="Arial" w:eastAsia="Arial" w:hAnsi="Arial"/>
                <w:sz w:val="22"/>
                <w:szCs w:val="22"/>
                <w:b w:val="1"/>
                <w:bCs w:val="1"/>
                <w:color w:val="auto"/>
                <w:w w:val="99"/>
              </w:rPr>
              <w:t>Banc of America Securities LLC</w:t>
            </w:r>
          </w:p>
        </w:tc>
        <w:tc>
          <w:tcPr>
            <w:tcW w:w="15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760" w:type="dxa"/>
            <w:vAlign w:val="bottom"/>
          </w:tcPr>
          <w:p>
            <w:pPr>
              <w:spacing w:after="0"/>
              <w:rPr>
                <w:sz w:val="8"/>
                <w:szCs w:val="8"/>
                <w:color w:val="auto"/>
              </w:rPr>
            </w:pPr>
          </w:p>
        </w:tc>
        <w:tc>
          <w:tcPr>
            <w:tcW w:w="31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Salomon Smith Barney</w:t>
            </w:r>
          </w:p>
        </w:tc>
        <w:tc>
          <w:tcPr>
            <w:tcW w:w="0" w:type="dxa"/>
            <w:vAlign w:val="bottom"/>
          </w:tcPr>
          <w:p>
            <w:pPr>
              <w:spacing w:after="0"/>
              <w:rPr>
                <w:sz w:val="1"/>
                <w:szCs w:val="1"/>
                <w:color w:val="auto"/>
              </w:rPr>
            </w:pPr>
          </w:p>
        </w:tc>
      </w:tr>
      <w:tr>
        <w:trPr>
          <w:trHeight w:val="358"/>
        </w:trPr>
        <w:tc>
          <w:tcPr>
            <w:tcW w:w="33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340" w:type="dxa"/>
            <w:vAlign w:val="bottom"/>
          </w:tcPr>
          <w:p>
            <w:pPr>
              <w:jc w:val="center"/>
              <w:ind w:left="236"/>
              <w:spacing w:after="0"/>
              <w:rPr>
                <w:sz w:val="20"/>
                <w:szCs w:val="20"/>
                <w:color w:val="auto"/>
              </w:rPr>
            </w:pPr>
            <w:r>
              <w:rPr>
                <w:rFonts w:ascii="Arial" w:cs="Arial" w:eastAsia="Arial" w:hAnsi="Arial"/>
                <w:sz w:val="18"/>
                <w:szCs w:val="18"/>
                <w:b w:val="1"/>
                <w:bCs w:val="1"/>
                <w:color w:val="auto"/>
                <w:w w:val="93"/>
              </w:rPr>
              <w:t>ABN AMRO Incorporated</w:t>
            </w:r>
          </w:p>
        </w:tc>
        <w:tc>
          <w:tcPr>
            <w:tcW w:w="49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Banc One Capital Markets, Inc.</w:t>
            </w:r>
          </w:p>
        </w:tc>
        <w:tc>
          <w:tcPr>
            <w:tcW w:w="3120" w:type="dxa"/>
            <w:vAlign w:val="bottom"/>
            <w:gridSpan w:val="2"/>
            <w:vMerge w:val="restart"/>
          </w:tcPr>
          <w:p>
            <w:pPr>
              <w:jc w:val="center"/>
              <w:ind w:right="232"/>
              <w:spacing w:after="0"/>
              <w:rPr>
                <w:sz w:val="20"/>
                <w:szCs w:val="20"/>
                <w:color w:val="auto"/>
              </w:rPr>
            </w:pPr>
            <w:r>
              <w:rPr>
                <w:rFonts w:ascii="Arial" w:cs="Arial" w:eastAsia="Arial" w:hAnsi="Arial"/>
                <w:sz w:val="18"/>
                <w:szCs w:val="18"/>
                <w:b w:val="1"/>
                <w:bCs w:val="1"/>
                <w:color w:val="auto"/>
                <w:w w:val="89"/>
              </w:rPr>
              <w:t>Barclays Capital</w:t>
            </w:r>
          </w:p>
        </w:tc>
        <w:tc>
          <w:tcPr>
            <w:tcW w:w="0" w:type="dxa"/>
            <w:vAlign w:val="bottom"/>
          </w:tcPr>
          <w:p>
            <w:pPr>
              <w:spacing w:after="0"/>
              <w:rPr>
                <w:sz w:val="1"/>
                <w:szCs w:val="1"/>
                <w:color w:val="auto"/>
              </w:rPr>
            </w:pPr>
          </w:p>
        </w:tc>
      </w:tr>
      <w:tr>
        <w:trPr>
          <w:trHeight w:val="135"/>
        </w:trPr>
        <w:tc>
          <w:tcPr>
            <w:tcW w:w="3340" w:type="dxa"/>
            <w:vAlign w:val="bottom"/>
            <w:vMerge w:val="restart"/>
          </w:tcPr>
          <w:p>
            <w:pPr>
              <w:jc w:val="center"/>
              <w:ind w:left="236"/>
              <w:spacing w:after="0"/>
              <w:rPr>
                <w:sz w:val="20"/>
                <w:szCs w:val="20"/>
                <w:color w:val="auto"/>
              </w:rPr>
            </w:pPr>
            <w:r>
              <w:rPr>
                <w:rFonts w:ascii="Arial" w:cs="Arial" w:eastAsia="Arial" w:hAnsi="Arial"/>
                <w:sz w:val="18"/>
                <w:szCs w:val="18"/>
                <w:b w:val="1"/>
                <w:bCs w:val="1"/>
                <w:color w:val="auto"/>
                <w:w w:val="93"/>
              </w:rPr>
              <w:t>BNP PARIBAS</w:t>
            </w:r>
          </w:p>
        </w:tc>
        <w:tc>
          <w:tcPr>
            <w:tcW w:w="4960" w:type="dxa"/>
            <w:vAlign w:val="bottom"/>
            <w:gridSpan w:val="3"/>
            <w:vMerge w:val="continue"/>
          </w:tcPr>
          <w:p>
            <w:pPr>
              <w:spacing w:after="0"/>
              <w:rPr>
                <w:sz w:val="11"/>
                <w:szCs w:val="11"/>
                <w:color w:val="auto"/>
              </w:rPr>
            </w:pPr>
          </w:p>
        </w:tc>
        <w:tc>
          <w:tcPr>
            <w:tcW w:w="3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49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BNY Capital Markets, Inc.</w:t>
            </w:r>
          </w:p>
        </w:tc>
        <w:tc>
          <w:tcPr>
            <w:tcW w:w="3120" w:type="dxa"/>
            <w:vAlign w:val="bottom"/>
            <w:gridSpan w:val="2"/>
            <w:vMerge w:val="restart"/>
          </w:tcPr>
          <w:p>
            <w:pPr>
              <w:jc w:val="center"/>
              <w:ind w:right="232"/>
              <w:spacing w:after="0"/>
              <w:rPr>
                <w:sz w:val="20"/>
                <w:szCs w:val="20"/>
                <w:color w:val="auto"/>
              </w:rPr>
            </w:pPr>
            <w:r>
              <w:rPr>
                <w:rFonts w:ascii="Arial" w:cs="Arial" w:eastAsia="Arial" w:hAnsi="Arial"/>
                <w:sz w:val="18"/>
                <w:szCs w:val="18"/>
                <w:b w:val="1"/>
                <w:bCs w:val="1"/>
                <w:color w:val="auto"/>
                <w:w w:val="90"/>
              </w:rPr>
              <w:t>Dresdner Kleinwort</w:t>
            </w:r>
          </w:p>
        </w:tc>
        <w:tc>
          <w:tcPr>
            <w:tcW w:w="0" w:type="dxa"/>
            <w:vAlign w:val="bottom"/>
          </w:tcPr>
          <w:p>
            <w:pPr>
              <w:spacing w:after="0"/>
              <w:rPr>
                <w:sz w:val="1"/>
                <w:szCs w:val="1"/>
                <w:color w:val="auto"/>
              </w:rPr>
            </w:pPr>
          </w:p>
        </w:tc>
      </w:tr>
      <w:tr>
        <w:trPr>
          <w:trHeight w:val="135"/>
        </w:trPr>
        <w:tc>
          <w:tcPr>
            <w:tcW w:w="3340" w:type="dxa"/>
            <w:vAlign w:val="bottom"/>
            <w:vMerge w:val="restart"/>
          </w:tcPr>
          <w:p>
            <w:pPr>
              <w:jc w:val="center"/>
              <w:ind w:left="236"/>
              <w:spacing w:after="0"/>
              <w:rPr>
                <w:sz w:val="20"/>
                <w:szCs w:val="20"/>
                <w:color w:val="auto"/>
              </w:rPr>
            </w:pPr>
            <w:r>
              <w:rPr>
                <w:rFonts w:ascii="Arial" w:cs="Arial" w:eastAsia="Arial" w:hAnsi="Arial"/>
                <w:sz w:val="18"/>
                <w:szCs w:val="18"/>
                <w:b w:val="1"/>
                <w:bCs w:val="1"/>
                <w:color w:val="auto"/>
                <w:w w:val="87"/>
              </w:rPr>
              <w:t>Deutsche Bank Securities Inc.</w:t>
            </w:r>
          </w:p>
        </w:tc>
        <w:tc>
          <w:tcPr>
            <w:tcW w:w="4960" w:type="dxa"/>
            <w:vAlign w:val="bottom"/>
            <w:gridSpan w:val="3"/>
            <w:vMerge w:val="continue"/>
          </w:tcPr>
          <w:p>
            <w:pPr>
              <w:spacing w:after="0"/>
              <w:rPr>
                <w:sz w:val="11"/>
                <w:szCs w:val="11"/>
                <w:color w:val="auto"/>
              </w:rPr>
            </w:pPr>
          </w:p>
        </w:tc>
        <w:tc>
          <w:tcPr>
            <w:tcW w:w="3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3400" w:type="dxa"/>
            <w:vAlign w:val="bottom"/>
            <w:gridSpan w:val="2"/>
            <w:vMerge w:val="restart"/>
          </w:tcPr>
          <w:p>
            <w:pPr>
              <w:jc w:val="center"/>
              <w:ind w:right="1560"/>
              <w:spacing w:after="0"/>
              <w:rPr>
                <w:sz w:val="20"/>
                <w:szCs w:val="20"/>
                <w:color w:val="auto"/>
              </w:rPr>
            </w:pPr>
            <w:r>
              <w:rPr>
                <w:rFonts w:ascii="Arial" w:cs="Arial" w:eastAsia="Arial" w:hAnsi="Arial"/>
                <w:sz w:val="18"/>
                <w:szCs w:val="18"/>
                <w:b w:val="1"/>
                <w:bCs w:val="1"/>
                <w:color w:val="auto"/>
                <w:w w:val="87"/>
              </w:rPr>
              <w:t>Fleet Securities, Inc.</w:t>
            </w:r>
          </w:p>
        </w:tc>
        <w:tc>
          <w:tcPr>
            <w:tcW w:w="3120" w:type="dxa"/>
            <w:vAlign w:val="bottom"/>
            <w:gridSpan w:val="2"/>
            <w:vMerge w:val="restart"/>
          </w:tcPr>
          <w:p>
            <w:pPr>
              <w:jc w:val="center"/>
              <w:ind w:right="232"/>
              <w:spacing w:after="0"/>
              <w:rPr>
                <w:sz w:val="20"/>
                <w:szCs w:val="20"/>
                <w:color w:val="auto"/>
              </w:rPr>
            </w:pPr>
            <w:r>
              <w:rPr>
                <w:rFonts w:ascii="Arial" w:cs="Arial" w:eastAsia="Arial" w:hAnsi="Arial"/>
                <w:sz w:val="18"/>
                <w:szCs w:val="18"/>
                <w:b w:val="1"/>
                <w:bCs w:val="1"/>
                <w:color w:val="auto"/>
                <w:w w:val="84"/>
              </w:rPr>
              <w:t>Wasserstein</w:t>
            </w:r>
          </w:p>
        </w:tc>
        <w:tc>
          <w:tcPr>
            <w:tcW w:w="0" w:type="dxa"/>
            <w:vAlign w:val="bottom"/>
          </w:tcPr>
          <w:p>
            <w:pPr>
              <w:spacing w:after="0"/>
              <w:rPr>
                <w:sz w:val="1"/>
                <w:szCs w:val="1"/>
                <w:color w:val="auto"/>
              </w:rPr>
            </w:pPr>
          </w:p>
        </w:tc>
      </w:tr>
      <w:tr>
        <w:trPr>
          <w:trHeight w:val="135"/>
        </w:trPr>
        <w:tc>
          <w:tcPr>
            <w:tcW w:w="3340" w:type="dxa"/>
            <w:vAlign w:val="bottom"/>
            <w:vMerge w:val="restart"/>
          </w:tcPr>
          <w:p>
            <w:pPr>
              <w:jc w:val="center"/>
              <w:ind w:left="236"/>
              <w:spacing w:after="0"/>
              <w:rPr>
                <w:sz w:val="20"/>
                <w:szCs w:val="20"/>
                <w:color w:val="auto"/>
              </w:rPr>
            </w:pPr>
            <w:r>
              <w:rPr>
                <w:rFonts w:ascii="Arial" w:cs="Arial" w:eastAsia="Arial" w:hAnsi="Arial"/>
                <w:sz w:val="18"/>
                <w:szCs w:val="18"/>
                <w:b w:val="1"/>
                <w:bCs w:val="1"/>
                <w:color w:val="auto"/>
                <w:w w:val="89"/>
              </w:rPr>
              <w:t>The Royal Bank of Scotland</w:t>
            </w:r>
          </w:p>
        </w:tc>
        <w:tc>
          <w:tcPr>
            <w:tcW w:w="156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3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34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3400" w:type="dxa"/>
            <w:vAlign w:val="bottom"/>
            <w:gridSpan w:val="2"/>
            <w:vMerge w:val="restart"/>
          </w:tcPr>
          <w:p>
            <w:pPr>
              <w:jc w:val="center"/>
              <w:ind w:right="1540"/>
              <w:spacing w:after="0"/>
              <w:rPr>
                <w:sz w:val="20"/>
                <w:szCs w:val="20"/>
                <w:color w:val="auto"/>
              </w:rPr>
            </w:pPr>
            <w:r>
              <w:rPr>
                <w:rFonts w:ascii="Arial" w:cs="Arial" w:eastAsia="Arial" w:hAnsi="Arial"/>
                <w:sz w:val="18"/>
                <w:szCs w:val="18"/>
                <w:b w:val="1"/>
                <w:bCs w:val="1"/>
                <w:color w:val="auto"/>
                <w:w w:val="89"/>
              </w:rPr>
              <w:t>Scotia Capital</w:t>
            </w:r>
          </w:p>
        </w:tc>
        <w:tc>
          <w:tcPr>
            <w:tcW w:w="3120" w:type="dxa"/>
            <w:vAlign w:val="bottom"/>
            <w:gridSpan w:val="2"/>
            <w:vMerge w:val="restart"/>
          </w:tcPr>
          <w:p>
            <w:pPr>
              <w:jc w:val="center"/>
              <w:ind w:right="252"/>
              <w:spacing w:after="0"/>
              <w:rPr>
                <w:sz w:val="20"/>
                <w:szCs w:val="20"/>
                <w:color w:val="auto"/>
              </w:rPr>
            </w:pPr>
            <w:r>
              <w:rPr>
                <w:rFonts w:ascii="Arial" w:cs="Arial" w:eastAsia="Arial" w:hAnsi="Arial"/>
                <w:sz w:val="18"/>
                <w:szCs w:val="18"/>
                <w:b w:val="1"/>
                <w:bCs w:val="1"/>
                <w:color w:val="auto"/>
                <w:w w:val="89"/>
              </w:rPr>
              <w:t>Goldman, Sachs &amp; Co.</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3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340" w:type="dxa"/>
            <w:vAlign w:val="bottom"/>
          </w:tcPr>
          <w:p>
            <w:pPr>
              <w:spacing w:after="0"/>
              <w:rPr>
                <w:sz w:val="24"/>
                <w:szCs w:val="24"/>
                <w:color w:val="auto"/>
              </w:rPr>
            </w:pPr>
          </w:p>
        </w:tc>
        <w:tc>
          <w:tcPr>
            <w:tcW w:w="496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The date of this prospectus supplement is January 7, 2003.</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gridSpan w:val="3"/>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3340" w:type="dxa"/>
            <w:vAlign w:val="bottom"/>
          </w:tcPr>
          <w:p>
            <w:pPr>
              <w:spacing w:after="0"/>
              <w:rPr>
                <w:sz w:val="24"/>
                <w:szCs w:val="24"/>
                <w:color w:val="auto"/>
              </w:rPr>
            </w:pPr>
          </w:p>
        </w:tc>
        <w:tc>
          <w:tcPr>
            <w:tcW w:w="4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Prospectus Supplement</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-2510155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-2510155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-1035050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-1035050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4640" w:type="dxa"/>
            <w:vAlign w:val="bottom"/>
          </w:tcPr>
          <w:p>
            <w:pPr>
              <w:ind w:left="4400"/>
              <w:spacing w:after="0"/>
              <w:rPr>
                <w:sz w:val="20"/>
                <w:szCs w:val="20"/>
                <w:color w:val="auto"/>
              </w:rPr>
            </w:pPr>
            <w:r>
              <w:rPr>
                <w:rFonts w:ascii="Arial" w:cs="Arial" w:eastAsia="Arial" w:hAnsi="Arial"/>
                <w:sz w:val="18"/>
                <w:szCs w:val="18"/>
                <w:color w:val="auto"/>
                <w:w w:val="78"/>
              </w:rPr>
              <w:t>S-1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Use of Proceeds</w:t>
            </w:r>
          </w:p>
        </w:tc>
        <w:tc>
          <w:tcPr>
            <w:tcW w:w="4640" w:type="dxa"/>
            <w:vAlign w:val="bottom"/>
          </w:tcPr>
          <w:p>
            <w:pPr>
              <w:ind w:left="4400"/>
              <w:spacing w:after="0"/>
              <w:rPr>
                <w:sz w:val="20"/>
                <w:szCs w:val="20"/>
                <w:color w:val="auto"/>
              </w:rPr>
            </w:pPr>
            <w:r>
              <w:rPr>
                <w:rFonts w:ascii="Arial" w:cs="Arial" w:eastAsia="Arial" w:hAnsi="Arial"/>
                <w:sz w:val="18"/>
                <w:szCs w:val="18"/>
                <w:color w:val="auto"/>
                <w:w w:val="78"/>
              </w:rPr>
              <w:t>S-5</w:t>
            </w: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Capitalization</w:t>
            </w:r>
          </w:p>
        </w:tc>
        <w:tc>
          <w:tcPr>
            <w:tcW w:w="4640" w:type="dxa"/>
            <w:vAlign w:val="bottom"/>
          </w:tcPr>
          <w:p>
            <w:pPr>
              <w:ind w:left="4400"/>
              <w:spacing w:after="0"/>
              <w:rPr>
                <w:sz w:val="20"/>
                <w:szCs w:val="20"/>
                <w:color w:val="auto"/>
              </w:rPr>
            </w:pPr>
            <w:r>
              <w:rPr>
                <w:rFonts w:ascii="Arial" w:cs="Arial" w:eastAsia="Arial" w:hAnsi="Arial"/>
                <w:sz w:val="18"/>
                <w:szCs w:val="18"/>
                <w:color w:val="auto"/>
                <w:w w:val="78"/>
              </w:rPr>
              <w:t>S-5</w:t>
            </w:r>
          </w:p>
        </w:tc>
      </w:tr>
    </w:tbl>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the Notes and the Cable Guarantees</w:t>
            </w:r>
          </w:p>
        </w:tc>
        <w:tc>
          <w:tcPr>
            <w:tcW w:w="256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Underwriting</w:t>
            </w:r>
          </w:p>
        </w:tc>
        <w:tc>
          <w:tcPr>
            <w:tcW w:w="256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Legal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459"/>
        </w:trPr>
        <w:tc>
          <w:tcPr>
            <w:tcW w:w="8860" w:type="dxa"/>
            <w:vAlign w:val="bottom"/>
          </w:tcPr>
          <w:p>
            <w:pPr>
              <w:ind w:left="5300"/>
              <w:spacing w:after="0"/>
              <w:rPr>
                <w:sz w:val="20"/>
                <w:szCs w:val="20"/>
                <w:color w:val="auto"/>
              </w:rPr>
            </w:pPr>
            <w:r>
              <w:rPr>
                <w:rFonts w:ascii="Arial" w:cs="Arial" w:eastAsia="Arial" w:hAnsi="Arial"/>
                <w:sz w:val="18"/>
                <w:szCs w:val="18"/>
                <w:b w:val="1"/>
                <w:bCs w:val="1"/>
                <w:color w:val="auto"/>
              </w:rPr>
              <w:t>Prospectus</w:t>
            </w:r>
          </w:p>
        </w:tc>
        <w:tc>
          <w:tcPr>
            <w:tcW w:w="2560" w:type="dxa"/>
            <w:vAlign w:val="bottom"/>
          </w:tcPr>
          <w:p>
            <w:pPr>
              <w:spacing w:after="0"/>
              <w:rPr>
                <w:sz w:val="24"/>
                <w:szCs w:val="24"/>
                <w:color w:val="auto"/>
              </w:rPr>
            </w:pPr>
          </w:p>
        </w:tc>
      </w:tr>
      <w:tr>
        <w:trPr>
          <w:trHeight w:val="426"/>
        </w:trPr>
        <w:tc>
          <w:tcPr>
            <w:tcW w:w="8860" w:type="dxa"/>
            <w:vAlign w:val="bottom"/>
          </w:tcPr>
          <w:p>
            <w:pPr>
              <w:spacing w:after="0"/>
              <w:rPr>
                <w:sz w:val="20"/>
                <w:szCs w:val="20"/>
                <w:color w:val="auto"/>
              </w:rPr>
            </w:pPr>
            <w:r>
              <w:rPr>
                <w:rFonts w:ascii="Arial" w:cs="Arial" w:eastAsia="Arial" w:hAnsi="Arial"/>
                <w:sz w:val="18"/>
                <w:szCs w:val="18"/>
                <w:color w:val="auto"/>
              </w:rPr>
              <w:t>Summary</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Risk Factors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Use of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Dividend Policy</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Ratios of Earnings to Fixed Charges</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Pro Forma Ratio of Earnings to Fixed Charges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Dividends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the Senior Debt Securities, Subordinated Debt Securities and Cable Guarantees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Units</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Global Securities</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Preferred Stock</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Depositary Shares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Shareholder Rights Plan</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Description of AT&amp;T Comcast Transaction</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Plan of Distribution</w:t>
            </w:r>
          </w:p>
        </w:tc>
        <w:tc>
          <w:tcPr>
            <w:tcW w:w="2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Legal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Experts</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Available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10" w:lineRule="exact"/>
        <w:rPr>
          <w:sz w:val="20"/>
          <w:szCs w:val="20"/>
          <w:color w:val="auto"/>
        </w:rPr>
      </w:pPr>
    </w:p>
    <w:p>
      <w:pPr>
        <w:ind w:right="140" w:firstLine="702"/>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right="40" w:firstLine="699"/>
        <w:spacing w:after="0" w:line="268" w:lineRule="auto"/>
        <w:rPr>
          <w:sz w:val="20"/>
          <w:szCs w:val="20"/>
          <w:color w:val="auto"/>
        </w:rPr>
      </w:pPr>
      <w:r>
        <w:rPr>
          <w:rFonts w:ascii="Arial" w:cs="Arial" w:eastAsia="Arial" w:hAnsi="Arial"/>
          <w:sz w:val="18"/>
          <w:szCs w:val="18"/>
          <w:color w:val="auto"/>
        </w:rPr>
        <w:t>We were formed through the merger of Comcast Holdings Corporation (formerly known as Comcast Corporation) and the broadband business of AT&amp;T Corp. in the belief that combining the strengths of these businesses would create the world's premier broadband company.</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are principally involved in three lines of business through our wholly-owned subsidiaries Comcast Holdings and Comcast Cable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Holdings:</w:t>
      </w:r>
    </w:p>
    <w:p>
      <w:pPr>
        <w:spacing w:after="0" w:line="246" w:lineRule="exact"/>
        <w:rPr>
          <w:sz w:val="20"/>
          <w:szCs w:val="20"/>
          <w:color w:val="auto"/>
        </w:rPr>
      </w:pPr>
    </w:p>
    <w:p>
      <w:pPr>
        <w:ind w:left="1620" w:right="220" w:hanging="532"/>
        <w:spacing w:after="0" w:line="268"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Cable—through the development, management and operation of broadband communications networks and regional sports programming networks,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Commerce—through QVC, our electronic retailing subsidiary, and</w:t>
      </w:r>
    </w:p>
    <w:p>
      <w:pPr>
        <w:spacing w:after="0" w:line="238" w:lineRule="exact"/>
        <w:rPr>
          <w:rFonts w:ascii="Arial" w:cs="Arial" w:eastAsia="Arial" w:hAnsi="Arial"/>
          <w:sz w:val="18"/>
          <w:szCs w:val="18"/>
          <w:color w:val="auto"/>
        </w:rPr>
      </w:pPr>
    </w:p>
    <w:p>
      <w:pPr>
        <w:ind w:left="1620" w:right="560" w:hanging="532"/>
        <w:spacing w:after="0" w:line="268"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Content—through our consolidated subsidiaries, Comcast-Spectacor, E! Entertainment Television, The Golf Channel, Outdoor Life Network and G4 Media, and through our other programming investments.</w:t>
      </w:r>
    </w:p>
    <w:p>
      <w:pPr>
        <w:spacing w:after="0" w:line="186" w:lineRule="exact"/>
        <w:rPr>
          <w:sz w:val="20"/>
          <w:szCs w:val="20"/>
          <w:color w:val="auto"/>
        </w:rPr>
      </w:pPr>
    </w:p>
    <w:p>
      <w:pPr>
        <w:ind w:right="200" w:firstLine="699"/>
        <w:spacing w:after="0" w:line="298" w:lineRule="auto"/>
        <w:rPr>
          <w:sz w:val="20"/>
          <w:szCs w:val="20"/>
          <w:color w:val="auto"/>
        </w:rPr>
      </w:pPr>
      <w:r>
        <w:rPr>
          <w:rFonts w:ascii="Arial" w:cs="Arial" w:eastAsia="Arial" w:hAnsi="Arial"/>
          <w:sz w:val="16"/>
          <w:szCs w:val="16"/>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167" w:lineRule="exact"/>
        <w:rPr>
          <w:sz w:val="20"/>
          <w:szCs w:val="20"/>
          <w:color w:val="auto"/>
        </w:rPr>
      </w:pPr>
    </w:p>
    <w:p>
      <w:pPr>
        <w:ind w:firstLine="702"/>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and Comcast Holdings' filings with the SEC incorporated by reference in the accompanying prospectus. For a description of certain continuing obligations and risks related to the AT&amp;T Comcast transaction, see "Description of AT&amp;T Comcast Transaction," and "Risk Factors—Risks Relating to the AT&amp;T Comcast Transaction" in the accompanying prospectus as well as our and Comcast Holdings'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98" w:lineRule="exact"/>
        <w:rPr>
          <w:sz w:val="20"/>
          <w:szCs w:val="20"/>
          <w:color w:val="auto"/>
        </w:rPr>
      </w:pPr>
    </w:p>
    <w:p>
      <w:pPr>
        <w:ind w:right="300" w:firstLine="699"/>
        <w:spacing w:after="0" w:line="259" w:lineRule="auto"/>
        <w:rPr>
          <w:sz w:val="20"/>
          <w:szCs w:val="20"/>
          <w:color w:val="auto"/>
        </w:rPr>
      </w:pPr>
      <w:r>
        <w:rPr>
          <w:rFonts w:ascii="Arial" w:cs="Arial" w:eastAsia="Arial" w:hAnsi="Arial"/>
          <w:sz w:val="18"/>
          <w:szCs w:val="18"/>
          <w:color w:val="auto"/>
        </w:rPr>
        <w:t>We are a Pennsylvania corporation incorporated in 2001. 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ectPr>
          <w:pgSz w:w="11900" w:h="16884" w:orient="portrait"/>
          <w:cols w:equalWidth="0" w:num="1">
            <w:col w:w="11420"/>
          </w:cols>
          <w:pgMar w:left="240" w:top="131" w:right="239" w:bottom="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231" w:lineRule="exact"/>
        <w:rPr>
          <w:sz w:val="20"/>
          <w:szCs w:val="20"/>
          <w:color w:val="auto"/>
        </w:rPr>
      </w:pPr>
    </w:p>
    <w:p>
      <w:pPr>
        <w:jc w:val="both"/>
        <w:ind w:right="160" w:firstLine="702"/>
        <w:spacing w:after="0" w:line="259"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Comcast Cable Communications Holdings, Comcast Cable Holdings and Comcast MO Group. In this prospectus supplement, we refer to these guarantors as the cable guarantors and to these guarantees as the cable guarantees.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39" w:lineRule="exact"/>
        <w:rPr>
          <w:sz w:val="20"/>
          <w:szCs w:val="20"/>
          <w:color w:val="auto"/>
        </w:rPr>
      </w:pPr>
    </w:p>
    <w:p>
      <w:pPr>
        <w:ind w:left="1620" w:right="800" w:hanging="532"/>
        <w:spacing w:after="0" w:line="26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620" w:hanging="532"/>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Comcast Cable Communications, Inc.</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Comcast Cable is a Delaware corporation incorporated in 1981 and our indirect wholly-owned subsidiary.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225" w:lineRule="exact"/>
        <w:rPr>
          <w:sz w:val="20"/>
          <w:szCs w:val="20"/>
          <w:color w:val="auto"/>
        </w:rPr>
      </w:pPr>
    </w:p>
    <w:p>
      <w:pPr>
        <w:jc w:val="both"/>
        <w:ind w:right="440" w:firstLine="702"/>
        <w:spacing w:after="0" w:line="306" w:lineRule="auto"/>
        <w:rPr>
          <w:sz w:val="20"/>
          <w:szCs w:val="20"/>
          <w:color w:val="auto"/>
        </w:rPr>
      </w:pPr>
      <w:r>
        <w:rPr>
          <w:rFonts w:ascii="Arial" w:cs="Arial" w:eastAsia="Arial" w:hAnsi="Arial"/>
          <w:sz w:val="16"/>
          <w:szCs w:val="16"/>
          <w:color w:val="auto"/>
        </w:rPr>
        <w:t>Comcast Cable Communications Holdings is a Delaware corporation (formerly known as AT&amp;T Broadband Corp.) incorporated in 2001 and our wholly-owned subsidiary. As part of the AT&amp;T Comcast transaction, AT&amp;T transferred to Comcast Cable Communications Holdings substantially all of the assets, liabilities and businesses represented by AT&amp;T Broadband Group, the integrated broadband business of AT&amp;T.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225" w:lineRule="exact"/>
        <w:rPr>
          <w:sz w:val="20"/>
          <w:szCs w:val="20"/>
          <w:color w:val="auto"/>
        </w:rPr>
      </w:pPr>
    </w:p>
    <w:p>
      <w:pPr>
        <w:ind w:right="640" w:firstLine="702"/>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225" w:lineRule="exact"/>
        <w:rPr>
          <w:sz w:val="20"/>
          <w:szCs w:val="20"/>
          <w:color w:val="auto"/>
        </w:rPr>
      </w:pPr>
    </w:p>
    <w:p>
      <w:pPr>
        <w:ind w:right="400" w:firstLine="702"/>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320" w:type="dxa"/>
            <w:vAlign w:val="bottom"/>
          </w:tcPr>
          <w:p>
            <w:pPr>
              <w:ind w:left="2500"/>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320" w:type="dxa"/>
            <w:vAlign w:val="bottom"/>
          </w:tcPr>
          <w:p>
            <w:pPr>
              <w:ind w:left="210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Comcast Corporation.</w:t>
            </w:r>
          </w:p>
        </w:tc>
        <w:tc>
          <w:tcPr>
            <w:tcW w:w="0" w:type="dxa"/>
            <w:vAlign w:val="bottom"/>
          </w:tcPr>
          <w:p>
            <w:pPr>
              <w:spacing w:after="0"/>
              <w:rPr>
                <w:sz w:val="1"/>
                <w:szCs w:val="1"/>
                <w:color w:val="auto"/>
              </w:rPr>
            </w:pPr>
          </w:p>
        </w:tc>
      </w:tr>
      <w:tr>
        <w:trPr>
          <w:trHeight w:val="431"/>
        </w:trPr>
        <w:tc>
          <w:tcPr>
            <w:tcW w:w="3100" w:type="dxa"/>
            <w:vAlign w:val="bottom"/>
            <w:gridSpan w:val="2"/>
          </w:tcPr>
          <w:p>
            <w:pPr>
              <w:spacing w:after="0"/>
              <w:rPr>
                <w:sz w:val="20"/>
                <w:szCs w:val="20"/>
                <w:color w:val="auto"/>
              </w:rPr>
            </w:pPr>
            <w:r>
              <w:rPr>
                <w:rFonts w:ascii="Arial" w:cs="Arial" w:eastAsia="Arial" w:hAnsi="Arial"/>
                <w:sz w:val="18"/>
                <w:szCs w:val="18"/>
                <w:color w:val="auto"/>
              </w:rPr>
              <w:t>Securities Offered</w:t>
            </w:r>
          </w:p>
        </w:tc>
        <w:tc>
          <w:tcPr>
            <w:tcW w:w="8320" w:type="dxa"/>
            <w:vAlign w:val="bottom"/>
          </w:tcPr>
          <w:p>
            <w:pPr>
              <w:ind w:left="1600"/>
              <w:spacing w:after="0"/>
              <w:rPr>
                <w:sz w:val="20"/>
                <w:szCs w:val="20"/>
                <w:color w:val="auto"/>
              </w:rPr>
            </w:pPr>
            <w:r>
              <w:rPr>
                <w:rFonts w:ascii="Arial" w:cs="Arial" w:eastAsia="Arial" w:hAnsi="Arial"/>
                <w:sz w:val="18"/>
                <w:szCs w:val="18"/>
                <w:color w:val="auto"/>
              </w:rPr>
              <w:t>$600,000,000 aggregate principal amount of 5.85% Notes due 2010.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$900,000,000 aggregate principal amount of 6.50% Notes due 2015.</w:t>
            </w:r>
          </w:p>
        </w:tc>
        <w:tc>
          <w:tcPr>
            <w:tcW w:w="0" w:type="dxa"/>
            <w:vAlign w:val="bottom"/>
          </w:tcPr>
          <w:p>
            <w:pPr>
              <w:spacing w:after="0"/>
              <w:rPr>
                <w:sz w:val="1"/>
                <w:szCs w:val="1"/>
                <w:color w:val="auto"/>
              </w:rPr>
            </w:pPr>
          </w:p>
        </w:tc>
      </w:tr>
      <w:tr>
        <w:trPr>
          <w:trHeight w:val="424"/>
        </w:trPr>
        <w:tc>
          <w:tcPr>
            <w:tcW w:w="310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8320" w:type="dxa"/>
            <w:vAlign w:val="bottom"/>
          </w:tcPr>
          <w:p>
            <w:pPr>
              <w:ind w:left="1600"/>
              <w:spacing w:after="0"/>
              <w:rPr>
                <w:sz w:val="20"/>
                <w:szCs w:val="20"/>
                <w:color w:val="auto"/>
              </w:rPr>
            </w:pPr>
            <w:r>
              <w:rPr>
                <w:rFonts w:ascii="Arial" w:cs="Arial" w:eastAsia="Arial" w:hAnsi="Arial"/>
                <w:sz w:val="18"/>
                <w:szCs w:val="18"/>
                <w:color w:val="auto"/>
                <w:w w:val="90"/>
              </w:rPr>
              <w:t>The notes due in 2010 will mature on January 15, 2010. The notes due in 2015 will mature 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320" w:type="dxa"/>
            <w:vAlign w:val="bottom"/>
          </w:tcPr>
          <w:p>
            <w:pPr>
              <w:ind w:left="1600"/>
              <w:spacing w:after="0"/>
              <w:rPr>
                <w:sz w:val="20"/>
                <w:szCs w:val="20"/>
                <w:color w:val="auto"/>
              </w:rPr>
            </w:pPr>
            <w:r>
              <w:rPr>
                <w:rFonts w:ascii="Arial" w:cs="Arial" w:eastAsia="Arial" w:hAnsi="Arial"/>
                <w:sz w:val="18"/>
                <w:szCs w:val="18"/>
                <w:color w:val="auto"/>
              </w:rPr>
              <w:t>January 15, 2015.</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94"/>
              </w:rPr>
              <w:t>Interest on the notes due in 2010 will accrue at the rate of 5.85% per year, payable semi-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89"/>
              </w:rPr>
              <w:t>annually in cash in arrears on January 15 and July 15, beginning on July 15, 2003. Interest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89"/>
              </w:rPr>
              <w:t>the notes due in 2015 will accrue at the rate of 6.50% per year, payable semi-annually in cash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in arrears on January 15 and July 15, beginning on July 15, 2003.</w:t>
            </w:r>
          </w:p>
        </w:tc>
        <w:tc>
          <w:tcPr>
            <w:tcW w:w="0" w:type="dxa"/>
            <w:vAlign w:val="bottom"/>
          </w:tcPr>
          <w:p>
            <w:pPr>
              <w:spacing w:after="0"/>
              <w:rPr>
                <w:sz w:val="1"/>
                <w:szCs w:val="1"/>
                <w:color w:val="auto"/>
              </w:rPr>
            </w:pPr>
          </w:p>
        </w:tc>
      </w:tr>
      <w:tr>
        <w:trPr>
          <w:trHeight w:val="424"/>
        </w:trPr>
        <w:tc>
          <w:tcPr>
            <w:tcW w:w="3100" w:type="dxa"/>
            <w:vAlign w:val="bottom"/>
            <w:gridSpan w:val="2"/>
          </w:tcPr>
          <w:p>
            <w:pPr>
              <w:spacing w:after="0"/>
              <w:rPr>
                <w:sz w:val="20"/>
                <w:szCs w:val="20"/>
                <w:color w:val="auto"/>
              </w:rPr>
            </w:pPr>
            <w:r>
              <w:rPr>
                <w:rFonts w:ascii="Arial" w:cs="Arial" w:eastAsia="Arial" w:hAnsi="Arial"/>
                <w:sz w:val="18"/>
                <w:szCs w:val="18"/>
                <w:color w:val="auto"/>
              </w:rPr>
              <w:t>Ranking</w:t>
            </w:r>
          </w:p>
        </w:tc>
        <w:tc>
          <w:tcPr>
            <w:tcW w:w="8320" w:type="dxa"/>
            <w:vAlign w:val="bottom"/>
          </w:tcPr>
          <w:p>
            <w:pPr>
              <w:ind w:left="1600"/>
              <w:spacing w:after="0"/>
              <w:rPr>
                <w:sz w:val="20"/>
                <w:szCs w:val="20"/>
                <w:color w:val="auto"/>
              </w:rPr>
            </w:pPr>
            <w:r>
              <w:rPr>
                <w:rFonts w:ascii="Arial" w:cs="Arial" w:eastAsia="Arial" w:hAnsi="Arial"/>
                <w:sz w:val="18"/>
                <w:szCs w:val="18"/>
                <w:color w:val="auto"/>
                <w:w w:val="88"/>
              </w:rPr>
              <w:t>The notes will be unsecured and will rank equally with all of our unsecured and unsubordinated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320" w:type="dxa"/>
            <w:vAlign w:val="bottom"/>
          </w:tcPr>
          <w:p>
            <w:pPr>
              <w:ind w:left="1600"/>
              <w:spacing w:after="0"/>
              <w:rPr>
                <w:sz w:val="20"/>
                <w:szCs w:val="20"/>
                <w:color w:val="auto"/>
              </w:rPr>
            </w:pPr>
            <w:r>
              <w:rPr>
                <w:rFonts w:ascii="Arial" w:cs="Arial" w:eastAsia="Arial" w:hAnsi="Arial"/>
                <w:sz w:val="18"/>
                <w:szCs w:val="18"/>
                <w:color w:val="auto"/>
              </w:rPr>
              <w:t>indebtedness.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Cable Guarantors</w:t>
            </w: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96"/>
              </w:rPr>
              <w:t>Comcast Cable Communications, Inc., Comcast Cable Communications Holdings,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Comcast Cable Holdings, LLC and Comcast MO Group, Inc.</w:t>
            </w:r>
          </w:p>
        </w:tc>
        <w:tc>
          <w:tcPr>
            <w:tcW w:w="0" w:type="dxa"/>
            <w:vAlign w:val="bottom"/>
          </w:tcPr>
          <w:p>
            <w:pPr>
              <w:spacing w:after="0"/>
              <w:rPr>
                <w:sz w:val="1"/>
                <w:szCs w:val="1"/>
                <w:color w:val="auto"/>
              </w:rPr>
            </w:pPr>
          </w:p>
        </w:tc>
      </w:tr>
      <w:tr>
        <w:trPr>
          <w:trHeight w:val="424"/>
        </w:trPr>
        <w:tc>
          <w:tcPr>
            <w:tcW w:w="3100" w:type="dxa"/>
            <w:vAlign w:val="bottom"/>
            <w:gridSpan w:val="2"/>
          </w:tcPr>
          <w:p>
            <w:pPr>
              <w:spacing w:after="0"/>
              <w:rPr>
                <w:sz w:val="20"/>
                <w:szCs w:val="20"/>
                <w:color w:val="auto"/>
              </w:rPr>
            </w:pPr>
            <w:r>
              <w:rPr>
                <w:rFonts w:ascii="Arial" w:cs="Arial" w:eastAsia="Arial" w:hAnsi="Arial"/>
                <w:sz w:val="18"/>
                <w:szCs w:val="18"/>
                <w:color w:val="auto"/>
              </w:rPr>
              <w:t>Cable Guarantees</w:t>
            </w:r>
          </w:p>
        </w:tc>
        <w:tc>
          <w:tcPr>
            <w:tcW w:w="8320" w:type="dxa"/>
            <w:vAlign w:val="bottom"/>
          </w:tcPr>
          <w:p>
            <w:pPr>
              <w:ind w:left="1600"/>
              <w:spacing w:after="0"/>
              <w:rPr>
                <w:sz w:val="20"/>
                <w:szCs w:val="20"/>
                <w:color w:val="auto"/>
              </w:rPr>
            </w:pPr>
            <w:r>
              <w:rPr>
                <w:rFonts w:ascii="Arial" w:cs="Arial" w:eastAsia="Arial" w:hAnsi="Arial"/>
                <w:sz w:val="18"/>
                <w:szCs w:val="18"/>
                <w:color w:val="auto"/>
                <w:w w:val="89"/>
              </w:rPr>
              <w:t>The cable guarantors will fully and unconditionally guarantee the notes, including the payment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320" w:type="dxa"/>
            <w:vAlign w:val="bottom"/>
          </w:tcPr>
          <w:p>
            <w:pPr>
              <w:ind w:left="1600"/>
              <w:spacing w:after="0"/>
              <w:rPr>
                <w:sz w:val="20"/>
                <w:szCs w:val="20"/>
                <w:color w:val="auto"/>
              </w:rPr>
            </w:pPr>
            <w:r>
              <w:rPr>
                <w:rFonts w:ascii="Arial" w:cs="Arial" w:eastAsia="Arial" w:hAnsi="Arial"/>
                <w:sz w:val="18"/>
                <w:szCs w:val="18"/>
                <w:color w:val="auto"/>
                <w:w w:val="89"/>
              </w:rPr>
              <w:t>of principal, premium, if any, and interest. The cable guarantees will rank equally with all other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320" w:type="dxa"/>
            <w:vAlign w:val="bottom"/>
          </w:tcPr>
          <w:p>
            <w:pPr>
              <w:ind w:left="1600"/>
              <w:spacing w:after="0"/>
              <w:rPr>
                <w:sz w:val="20"/>
                <w:szCs w:val="20"/>
                <w:color w:val="auto"/>
              </w:rPr>
            </w:pPr>
            <w:r>
              <w:rPr>
                <w:rFonts w:ascii="Arial" w:cs="Arial" w:eastAsia="Arial" w:hAnsi="Arial"/>
                <w:sz w:val="18"/>
                <w:szCs w:val="18"/>
                <w:color w:val="auto"/>
              </w:rPr>
              <w:t>general unsecured and unsubordinated obligations of the cable guarantors.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Optional Redemption</w:t>
            </w: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89"/>
              </w:rPr>
              <w:t>We may redeem all or part of the notes at our option at a redemption price equal to the greater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320" w:type="dxa"/>
            <w:vAlign w:val="bottom"/>
          </w:tcPr>
          <w:p>
            <w:pPr>
              <w:ind w:left="1600"/>
              <w:spacing w:after="0"/>
              <w:rPr>
                <w:sz w:val="20"/>
                <w:szCs w:val="20"/>
                <w:color w:val="auto"/>
              </w:rPr>
            </w:pPr>
            <w:r>
              <w:rPr>
                <w:rFonts w:ascii="Arial" w:cs="Arial" w:eastAsia="Arial" w:hAnsi="Arial"/>
                <w:sz w:val="18"/>
                <w:szCs w:val="18"/>
                <w:color w:val="auto"/>
              </w:rPr>
              <w:t>•  100% of the principal amount of the notes being redeemed; and</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89"/>
              </w:rPr>
              <w:t>•  the Make-Whole Amount, as defined in "Description of the Notes and the Cable Guarantees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832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98"/>
              </w:rPr>
              <w:t>—Optional Redemption" in this prospectus supplement for the notes being redeemed;</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320" w:type="dxa"/>
            <w:vAlign w:val="bottom"/>
          </w:tcPr>
          <w:p>
            <w:pPr>
              <w:ind w:left="1600"/>
              <w:spacing w:after="0"/>
              <w:rPr>
                <w:sz w:val="20"/>
                <w:szCs w:val="20"/>
                <w:color w:val="auto"/>
              </w:rPr>
            </w:pPr>
            <w:r>
              <w:rPr>
                <w:rFonts w:ascii="Arial" w:cs="Arial" w:eastAsia="Arial" w:hAnsi="Arial"/>
                <w:sz w:val="18"/>
                <w:szCs w:val="18"/>
                <w:color w:val="auto"/>
              </w:rPr>
              <w:t>plus, in each case, accrued interest to the redemption date.</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8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-5253990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-5253990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89"/>
              </w:rPr>
              <w:t>We intend to use the proceeds from this offering, after deducting fees and expenses related to</w:t>
            </w:r>
          </w:p>
        </w:tc>
      </w:tr>
      <w:tr>
        <w:trPr>
          <w:trHeight w:val="216"/>
        </w:trPr>
        <w:tc>
          <w:tcPr>
            <w:tcW w:w="2920" w:type="dxa"/>
            <w:vAlign w:val="bottom"/>
            <w:shd w:val="clear" w:color="auto" w:fill="CCEEFF"/>
          </w:tcPr>
          <w:p>
            <w:pPr>
              <w:spacing w:after="0"/>
              <w:rPr>
                <w:sz w:val="18"/>
                <w:szCs w:val="18"/>
                <w:color w:val="auto"/>
              </w:rPr>
            </w:pP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0"/>
              </w:rPr>
              <w:t>this offering, to repay a portion of the short-term indebtedness incurred in connection with the</w:t>
            </w:r>
          </w:p>
        </w:tc>
      </w:tr>
      <w:tr>
        <w:trPr>
          <w:trHeight w:val="224"/>
        </w:trPr>
        <w:tc>
          <w:tcPr>
            <w:tcW w:w="2920" w:type="dxa"/>
            <w:vAlign w:val="bottom"/>
            <w:shd w:val="clear" w:color="auto" w:fill="CCEEFF"/>
          </w:tcPr>
          <w:p>
            <w:pPr>
              <w:spacing w:after="0"/>
              <w:rPr>
                <w:sz w:val="19"/>
                <w:szCs w:val="19"/>
                <w:color w:val="auto"/>
              </w:rPr>
            </w:pP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AT&amp;T Comcast transaction.</w:t>
            </w:r>
          </w:p>
        </w:tc>
      </w:tr>
      <w:tr>
        <w:trPr>
          <w:trHeight w:val="862"/>
        </w:trPr>
        <w:tc>
          <w:tcPr>
            <w:tcW w:w="2920" w:type="dxa"/>
            <w:vAlign w:val="bottom"/>
          </w:tcPr>
          <w:p>
            <w:pPr>
              <w:spacing w:after="0"/>
              <w:rPr>
                <w:sz w:val="24"/>
                <w:szCs w:val="24"/>
                <w:color w:val="auto"/>
              </w:rPr>
            </w:pPr>
          </w:p>
        </w:tc>
        <w:tc>
          <w:tcPr>
            <w:tcW w:w="8500" w:type="dxa"/>
            <w:vAlign w:val="bottom"/>
          </w:tcPr>
          <w:p>
            <w:pPr>
              <w:ind w:left="2680"/>
              <w:spacing w:after="0"/>
              <w:rPr>
                <w:sz w:val="20"/>
                <w:szCs w:val="20"/>
                <w:color w:val="auto"/>
              </w:rPr>
            </w:pPr>
            <w:r>
              <w:rPr>
                <w:rFonts w:ascii="Arial" w:cs="Arial" w:eastAsia="Arial" w:hAnsi="Arial"/>
                <w:sz w:val="18"/>
                <w:szCs w:val="18"/>
                <w:color w:val="auto"/>
              </w:rPr>
              <w:t>S-3</w:t>
            </w:r>
          </w:p>
        </w:tc>
      </w:tr>
      <w:tr>
        <w:trPr>
          <w:trHeight w:val="228"/>
        </w:trPr>
        <w:tc>
          <w:tcPr>
            <w:tcW w:w="2920" w:type="dxa"/>
            <w:vAlign w:val="bottom"/>
            <w:tcBorders>
              <w:bottom w:val="single" w:sz="8" w:color="808080"/>
            </w:tcBorders>
          </w:tcPr>
          <w:p>
            <w:pPr>
              <w:spacing w:after="0"/>
              <w:rPr>
                <w:sz w:val="19"/>
                <w:szCs w:val="19"/>
                <w:color w:val="auto"/>
              </w:rPr>
            </w:pPr>
          </w:p>
        </w:tc>
        <w:tc>
          <w:tcPr>
            <w:tcW w:w="8500" w:type="dxa"/>
            <w:vAlign w:val="bottom"/>
            <w:tcBorders>
              <w:bottom w:val="single" w:sz="8" w:color="808080"/>
            </w:tcBorders>
          </w:tcPr>
          <w:p>
            <w:pPr>
              <w:spacing w:after="0"/>
              <w:rPr>
                <w:sz w:val="19"/>
                <w:szCs w:val="19"/>
                <w:color w:val="auto"/>
              </w:rPr>
            </w:pPr>
          </w:p>
        </w:tc>
      </w:tr>
      <w:tr>
        <w:trPr>
          <w:trHeight w:val="105"/>
        </w:trPr>
        <w:tc>
          <w:tcPr>
            <w:tcW w:w="2920" w:type="dxa"/>
            <w:vAlign w:val="bottom"/>
          </w:tcPr>
          <w:p>
            <w:pPr>
              <w:spacing w:after="0"/>
              <w:rPr>
                <w:sz w:val="9"/>
                <w:szCs w:val="9"/>
                <w:color w:val="auto"/>
              </w:rPr>
            </w:pPr>
          </w:p>
        </w:tc>
        <w:tc>
          <w:tcPr>
            <w:tcW w:w="8500" w:type="dxa"/>
            <w:vAlign w:val="bottom"/>
          </w:tcPr>
          <w:p>
            <w:pPr>
              <w:spacing w:after="0"/>
              <w:rPr>
                <w:sz w:val="9"/>
                <w:szCs w:val="9"/>
                <w:color w:val="auto"/>
              </w:rPr>
            </w:pPr>
          </w:p>
        </w:tc>
      </w:tr>
      <w:tr>
        <w:trPr>
          <w:trHeight w:val="424"/>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Book Entry</w:t>
            </w: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0"/>
              </w:rPr>
              <w:t>The notes will be issued in book-entry form and will be represented by global notes deposited</w:t>
            </w:r>
          </w:p>
        </w:tc>
      </w:tr>
      <w:tr>
        <w:trPr>
          <w:trHeight w:val="216"/>
        </w:trPr>
        <w:tc>
          <w:tcPr>
            <w:tcW w:w="2920" w:type="dxa"/>
            <w:vAlign w:val="bottom"/>
            <w:shd w:val="clear" w:color="auto" w:fill="CCEEFF"/>
          </w:tcPr>
          <w:p>
            <w:pPr>
              <w:spacing w:after="0"/>
              <w:rPr>
                <w:sz w:val="18"/>
                <w:szCs w:val="18"/>
                <w:color w:val="auto"/>
              </w:rPr>
            </w:pP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5"/>
              </w:rPr>
              <w:t>with, or on behalf of, DTC and registered in the name of DTC or its nominees. Beneficial</w:t>
            </w:r>
          </w:p>
        </w:tc>
      </w:tr>
      <w:tr>
        <w:trPr>
          <w:trHeight w:val="216"/>
        </w:trPr>
        <w:tc>
          <w:tcPr>
            <w:tcW w:w="2920" w:type="dxa"/>
            <w:vAlign w:val="bottom"/>
            <w:shd w:val="clear" w:color="auto" w:fill="CCEEFF"/>
          </w:tcPr>
          <w:p>
            <w:pPr>
              <w:spacing w:after="0"/>
              <w:rPr>
                <w:sz w:val="18"/>
                <w:szCs w:val="18"/>
                <w:color w:val="auto"/>
              </w:rPr>
            </w:pP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4"/>
              </w:rPr>
              <w:t>interests in any of the notes will be shown on, and transfers will be effected only through,</w:t>
            </w:r>
          </w:p>
        </w:tc>
      </w:tr>
      <w:tr>
        <w:trPr>
          <w:trHeight w:val="216"/>
        </w:trPr>
        <w:tc>
          <w:tcPr>
            <w:tcW w:w="2920" w:type="dxa"/>
            <w:vAlign w:val="bottom"/>
            <w:shd w:val="clear" w:color="auto" w:fill="CCEEFF"/>
          </w:tcPr>
          <w:p>
            <w:pPr>
              <w:spacing w:after="0"/>
              <w:rPr>
                <w:sz w:val="18"/>
                <w:szCs w:val="18"/>
                <w:color w:val="auto"/>
              </w:rPr>
            </w:pP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9"/>
              </w:rPr>
              <w:t>records maintained by DTC or its nominee, and these beneficial interests may not be</w:t>
            </w:r>
          </w:p>
        </w:tc>
      </w:tr>
      <w:tr>
        <w:trPr>
          <w:trHeight w:val="216"/>
        </w:trPr>
        <w:tc>
          <w:tcPr>
            <w:tcW w:w="2920" w:type="dxa"/>
            <w:vAlign w:val="bottom"/>
            <w:shd w:val="clear" w:color="auto" w:fill="CCEEFF"/>
          </w:tcPr>
          <w:p>
            <w:pPr>
              <w:spacing w:after="0"/>
              <w:rPr>
                <w:sz w:val="18"/>
                <w:szCs w:val="18"/>
                <w:color w:val="auto"/>
              </w:rPr>
            </w:pP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4"/>
              </w:rPr>
              <w:t>exchanged for certificated notes, except in limited circumstances. See "Description of the</w:t>
            </w:r>
          </w:p>
        </w:tc>
      </w:tr>
      <w:tr>
        <w:trPr>
          <w:trHeight w:val="224"/>
        </w:trPr>
        <w:tc>
          <w:tcPr>
            <w:tcW w:w="2920" w:type="dxa"/>
            <w:vAlign w:val="bottom"/>
            <w:shd w:val="clear" w:color="auto" w:fill="CCEEFF"/>
          </w:tcPr>
          <w:p>
            <w:pPr>
              <w:spacing w:after="0"/>
              <w:rPr>
                <w:sz w:val="19"/>
                <w:szCs w:val="19"/>
                <w:color w:val="auto"/>
              </w:rPr>
            </w:pPr>
          </w:p>
        </w:tc>
        <w:tc>
          <w:tcPr>
            <w:tcW w:w="850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8"/>
              </w:rPr>
              <w:t>Notes and the Cable Guarantees—Book-Entry System in this prospectus supplement.</w:t>
            </w:r>
          </w:p>
        </w:tc>
      </w:tr>
      <w:tr>
        <w:trPr>
          <w:trHeight w:val="430"/>
        </w:trPr>
        <w:tc>
          <w:tcPr>
            <w:tcW w:w="2920" w:type="dxa"/>
            <w:vAlign w:val="bottom"/>
          </w:tcPr>
          <w:p>
            <w:pPr>
              <w:spacing w:after="0"/>
              <w:rPr>
                <w:sz w:val="24"/>
                <w:szCs w:val="24"/>
                <w:color w:val="auto"/>
              </w:rPr>
            </w:pPr>
          </w:p>
        </w:tc>
        <w:tc>
          <w:tcPr>
            <w:tcW w:w="8500" w:type="dxa"/>
            <w:vAlign w:val="bottom"/>
          </w:tcPr>
          <w:p>
            <w:pPr>
              <w:ind w:left="2680"/>
              <w:spacing w:after="0"/>
              <w:rPr>
                <w:sz w:val="20"/>
                <w:szCs w:val="20"/>
                <w:color w:val="auto"/>
              </w:rPr>
            </w:pPr>
            <w:r>
              <w:rPr>
                <w:rFonts w:ascii="Arial" w:cs="Arial" w:eastAsia="Arial" w:hAnsi="Arial"/>
                <w:sz w:val="18"/>
                <w:szCs w:val="18"/>
                <w:color w:val="auto"/>
              </w:rPr>
              <w:t>S-4</w:t>
            </w:r>
          </w:p>
        </w:tc>
      </w:tr>
      <w:tr>
        <w:trPr>
          <w:trHeight w:val="228"/>
        </w:trPr>
        <w:tc>
          <w:tcPr>
            <w:tcW w:w="2920" w:type="dxa"/>
            <w:vAlign w:val="bottom"/>
            <w:tcBorders>
              <w:bottom w:val="single" w:sz="8" w:color="808080"/>
            </w:tcBorders>
          </w:tcPr>
          <w:p>
            <w:pPr>
              <w:spacing w:after="0"/>
              <w:rPr>
                <w:sz w:val="19"/>
                <w:szCs w:val="19"/>
                <w:color w:val="auto"/>
              </w:rPr>
            </w:pPr>
          </w:p>
        </w:tc>
        <w:tc>
          <w:tcPr>
            <w:tcW w:w="8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699"/>
        <w:spacing w:after="0" w:line="256"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to repay a portion of the short-term indebtedness incurred in connection with the AT&amp;T Comcast transaction. We borrowed this short-term indebtedness under the bridge credit agreement portion of the New Credit Facility described under "Description of AT&amp;T Comcast Transaction—The Separation and Distribution Agreement—Repayment of Intracompany Debt" in the accompanying prospectus.</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Under the New Credit Facility, we borrowed $4 billion at a variable rate of LIBOR plus 1.125% per annum, maturing on November 18, 2003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$3.2 billion at a variable rate of LIBOR plus 1.125% per annum, maturing on November 18, 2004. Proceeds from these borrowings were used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the AT&amp;T Comcast transaction to repay intracompany debt owed by Comcast Cable Communications Holdings to AT&amp;T's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and to fund other operating and closing costs.</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160" w:firstLine="699"/>
        <w:spacing w:after="0" w:line="256" w:lineRule="auto"/>
        <w:rPr>
          <w:sz w:val="20"/>
          <w:szCs w:val="20"/>
          <w:color w:val="auto"/>
        </w:rPr>
      </w:pPr>
      <w:r>
        <w:rPr>
          <w:rFonts w:ascii="Arial" w:cs="Arial" w:eastAsia="Arial" w:hAnsi="Arial"/>
          <w:sz w:val="18"/>
          <w:szCs w:val="18"/>
          <w:color w:val="auto"/>
        </w:rPr>
        <w:t>The following table sets forth our unaudited capitalization and other data as of September 30, 2002 on a pro forma basis, and as adjusted to give effect to the receipt of the estimated net proceeds of $1,486,337,000 from the sale of the notes in this offering and the application of the estimated net proceeds therefrom as described under "Use of Proceeds". This table should be read in conjunction with our financial statements, related notes and the other information incorporated by reference in the accompanying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September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Pro Forma</w:t>
            </w:r>
          </w:p>
        </w:tc>
        <w:tc>
          <w:tcPr>
            <w:tcW w:w="300" w:type="dxa"/>
            <w:vAlign w:val="bottom"/>
          </w:tcPr>
          <w:p>
            <w:pPr>
              <w:spacing w:after="0"/>
              <w:rPr>
                <w:sz w:val="15"/>
                <w:szCs w:val="15"/>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2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0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2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2,442.9</w:t>
            </w:r>
          </w:p>
        </w:tc>
        <w:tc>
          <w:tcPr>
            <w:tcW w:w="24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26,020.6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Notes offered by this prospectus supplement</w:t>
            </w:r>
          </w:p>
        </w:tc>
        <w:tc>
          <w:tcPr>
            <w:tcW w:w="2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 less current portion</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26,020.6</w:t>
            </w: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27,517.2</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82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Stock—authorized, 20,000,000 shares; issued, zero</w:t>
            </w: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tcPr>
          <w:p>
            <w:pPr>
              <w:ind w:left="220"/>
              <w:spacing w:after="0"/>
              <w:rPr>
                <w:sz w:val="20"/>
                <w:szCs w:val="20"/>
                <w:color w:val="auto"/>
              </w:rPr>
            </w:pPr>
            <w:r>
              <w:rPr>
                <w:rFonts w:ascii="Arial" w:cs="Arial" w:eastAsia="Arial" w:hAnsi="Arial"/>
                <w:sz w:val="18"/>
                <w:szCs w:val="18"/>
                <w:color w:val="auto"/>
                <w:w w:val="93"/>
              </w:rPr>
              <w:t>Class A Special Common Stock, $0.01 par value—authorized, 7,500,000,000 shares; issued, 930,247,835;</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220"/>
              <w:spacing w:after="0"/>
              <w:rPr>
                <w:sz w:val="20"/>
                <w:szCs w:val="20"/>
                <w:color w:val="auto"/>
              </w:rPr>
            </w:pPr>
            <w:r>
              <w:rPr>
                <w:rFonts w:ascii="Arial" w:cs="Arial" w:eastAsia="Arial" w:hAnsi="Arial"/>
                <w:sz w:val="18"/>
                <w:szCs w:val="18"/>
                <w:color w:val="auto"/>
              </w:rPr>
              <w:t>outstanding, 882,957,992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Class A Common Stock, $0.01 par value—authorized, 7,500,000,000 shares issued, 1,355,201,582</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80" w:type="dxa"/>
            <w:vAlign w:val="bottom"/>
          </w:tcPr>
          <w:p>
            <w:pPr>
              <w:ind w:left="220"/>
              <w:spacing w:after="0"/>
              <w:rPr>
                <w:sz w:val="20"/>
                <w:szCs w:val="20"/>
                <w:color w:val="auto"/>
              </w:rPr>
            </w:pPr>
            <w:r>
              <w:rPr>
                <w:rFonts w:ascii="Arial" w:cs="Arial" w:eastAsia="Arial" w:hAnsi="Arial"/>
                <w:sz w:val="18"/>
                <w:szCs w:val="18"/>
                <w:color w:val="auto"/>
              </w:rPr>
              <w:t>Class B Common Stock, $0.01 par value—authorized, 75,000,000 shares; issued, 9,444,375</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capital</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37,289.7</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37,289.7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1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1,391.6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(197.7)</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18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38,506.1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38,506.1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80" w:type="dxa"/>
            <w:vAlign w:val="bottom"/>
            <w:tcBorders>
              <w:right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64,526.7</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66,023.3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-4345305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-4345305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-4001770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-4001770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-4001770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-4001770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-2707005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-2707005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-2707005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-2707005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-2278380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-2278380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-2278380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-2278380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-648970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-648970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-648970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-648970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-340360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-340360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-340360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420"/>
          </w:cols>
          <w:pgMar w:left="240" w:top="140" w:right="239" w:bottom="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DESCRIPTION OF THE NOTES AND THE CABLE GUARANTEES</w:t>
      </w:r>
    </w:p>
    <w:p>
      <w:pPr>
        <w:spacing w:after="0" w:line="231" w:lineRule="exact"/>
        <w:rPr>
          <w:sz w:val="20"/>
          <w:szCs w:val="20"/>
          <w:color w:val="auto"/>
        </w:rPr>
      </w:pPr>
    </w:p>
    <w:p>
      <w:pPr>
        <w:ind w:right="140" w:firstLine="699"/>
        <w:spacing w:after="0" w:line="289" w:lineRule="auto"/>
        <w:rPr>
          <w:sz w:val="20"/>
          <w:szCs w:val="20"/>
          <w:color w:val="auto"/>
        </w:rPr>
      </w:pPr>
      <w:r>
        <w:rPr>
          <w:rFonts w:ascii="Arial" w:cs="Arial" w:eastAsia="Arial" w:hAnsi="Arial"/>
          <w:sz w:val="16"/>
          <w:szCs w:val="16"/>
          <w:color w:val="auto"/>
        </w:rPr>
        <w:t>We are offering $600,000,000 aggregate principal amount of our 5.85% Notes due 2010 and $900,000,000 aggregate principal amount of our 6.50% Notes due 2015. The notes due 2010 and the notes due 2015 will each be a separate series of securities issued under an indenture, dated as of January 7, 2003 among us, the cable guarantors and The Bank of New York, as trustee. The notes will be our direct unsecured and unsubordinated obligations and will be fully and unconditionally guaranteed by Comcast Cable, Comcast Cable Communications Holdings, Comcast Cable Holdings and Comcast MO Group,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than those of the notes, to "reopen" a previous issue of a series of securities (including the notes) and to issue additional securities of any series (including the notes). Copies of the indenture and the form of notes are available from us upon request.</w:t>
      </w:r>
    </w:p>
    <w:p>
      <w:pPr>
        <w:spacing w:after="0" w:line="172" w:lineRule="exact"/>
        <w:rPr>
          <w:sz w:val="20"/>
          <w:szCs w:val="20"/>
          <w:color w:val="auto"/>
        </w:rPr>
      </w:pPr>
    </w:p>
    <w:p>
      <w:pPr>
        <w:ind w:right="60" w:firstLine="699"/>
        <w:spacing w:after="0" w:line="306" w:lineRule="auto"/>
        <w:rPr>
          <w:sz w:val="20"/>
          <w:szCs w:val="20"/>
          <w:color w:val="auto"/>
        </w:rPr>
      </w:pPr>
      <w:r>
        <w:rPr>
          <w:rFonts w:ascii="Arial" w:cs="Arial" w:eastAsia="Arial" w:hAnsi="Arial"/>
          <w:sz w:val="16"/>
          <w:szCs w:val="16"/>
          <w:color w:val="auto"/>
        </w:rPr>
        <w:t>The following, along with the additional information contained in the accompanying prospectus under "Description of the Senior Debt Securities, Subordinated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780" w:hanging="232"/>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cable guarantees described below;</w:t>
      </w:r>
    </w:p>
    <w:p>
      <w:pPr>
        <w:spacing w:after="0" w:line="248" w:lineRule="exact"/>
        <w:rPr>
          <w:rFonts w:ascii="Arial" w:cs="Arial" w:eastAsia="Arial" w:hAnsi="Arial"/>
          <w:sz w:val="16"/>
          <w:szCs w:val="16"/>
          <w:color w:val="auto"/>
        </w:rPr>
      </w:pPr>
    </w:p>
    <w:p>
      <w:pPr>
        <w:ind w:left="780" w:hanging="23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$1,500,000,000, comprised as follows:</w:t>
      </w:r>
    </w:p>
    <w:p>
      <w:pPr>
        <w:spacing w:after="0" w:line="238" w:lineRule="exact"/>
        <w:rPr>
          <w:rFonts w:ascii="Arial" w:cs="Arial" w:eastAsia="Arial" w:hAnsi="Arial"/>
          <w:sz w:val="18"/>
          <w:szCs w:val="18"/>
          <w:color w:val="auto"/>
        </w:rPr>
      </w:pPr>
    </w:p>
    <w:p>
      <w:pPr>
        <w:ind w:left="1620" w:right="300" w:hanging="532"/>
        <w:spacing w:after="0" w:line="332"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$600,000,000 initial aggregate amount of 5.85% Notes due 2010, maturing on January 15, 2010, with interest payable semiannually on each January 15 and July 15, beginning July 15, 2003, to holders of record on the preceding January 1 and July 1; and</w:t>
      </w:r>
    </w:p>
    <w:p>
      <w:pPr>
        <w:spacing w:after="0" w:line="166" w:lineRule="exact"/>
        <w:rPr>
          <w:rFonts w:ascii="Arial" w:cs="Arial" w:eastAsia="Arial" w:hAnsi="Arial"/>
          <w:sz w:val="16"/>
          <w:szCs w:val="16"/>
          <w:color w:val="auto"/>
        </w:rPr>
      </w:pPr>
    </w:p>
    <w:p>
      <w:pPr>
        <w:ind w:left="1620" w:right="300" w:hanging="532"/>
        <w:spacing w:after="0" w:line="332"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$900,000,000 initial aggregate amount of 6.50% Notes due 2015, maturing on January 15, 2015, with interest payable semiannually on each January 15 and July 15, beginning July 15, 2003, to holders of record on the preceding January 1 and July 1; and</w:t>
      </w:r>
    </w:p>
    <w:p>
      <w:pPr>
        <w:spacing w:after="0" w:line="139" w:lineRule="exact"/>
        <w:rPr>
          <w:rFonts w:ascii="Arial" w:cs="Arial" w:eastAsia="Arial" w:hAnsi="Arial"/>
          <w:sz w:val="16"/>
          <w:szCs w:val="16"/>
          <w:color w:val="auto"/>
        </w:rPr>
      </w:pPr>
    </w:p>
    <w:p>
      <w:pPr>
        <w:ind w:left="780" w:hanging="23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semiannually on interest payment dates described of each year.</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Comcast Cable, Comcast Cable Communications, Comcast Cable Holdings and Comcast MO Group.</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cable guarantees will rank equally with all other general unsecured and unsubordinated obligations of the cable guarantors.</w:t>
      </w:r>
    </w:p>
    <w:p>
      <w:pPr>
        <w:spacing w:after="0" w:line="225" w:lineRule="exact"/>
        <w:rPr>
          <w:sz w:val="20"/>
          <w:szCs w:val="20"/>
          <w:color w:val="auto"/>
        </w:rPr>
      </w:pPr>
    </w:p>
    <w:p>
      <w:pPr>
        <w:ind w:right="400" w:firstLine="699"/>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of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90 days, prior notice mailed to the registered address of each holder of the applicable series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30 basis points for the notes due 2010 (the "2010 Make-Whole Amount") and 40 basis points for the notes due 2015 (the "2015 Make-Whole Amount" and together with the 2010 Make-Whole Amount, the "Make-Whole Amount"), plus in each case accrued interest thereon to the date of redemption.</w:t>
      </w:r>
    </w:p>
    <w:p>
      <w:pPr>
        <w:spacing w:after="0" w:line="172" w:lineRule="exact"/>
        <w:rPr>
          <w:sz w:val="20"/>
          <w:szCs w:val="20"/>
          <w:color w:val="auto"/>
        </w:rPr>
      </w:pPr>
    </w:p>
    <w:p>
      <w:pPr>
        <w:ind w:right="40" w:firstLine="702"/>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94" w:lineRule="exact"/>
        <w:rPr>
          <w:sz w:val="20"/>
          <w:szCs w:val="20"/>
          <w:color w:val="auto"/>
        </w:rPr>
      </w:pPr>
    </w:p>
    <w:p>
      <w:pPr>
        <w:ind w:right="40" w:firstLine="702"/>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ectPr>
          <w:pgSz w:w="11900" w:h="16838" w:orient="portrait"/>
          <w:cols w:equalWidth="0" w:num="1">
            <w:col w:w="11420"/>
          </w:cols>
          <w:pgMar w:left="240" w:top="584" w:right="239" w:bottom="0" w:gutter="0" w:footer="0" w:header="0"/>
        </w:sectPr>
      </w:pPr>
    </w:p>
    <w:bookmarkStart w:id="5" w:name="page6"/>
    <w:bookmarkEnd w:id="5"/>
    <w:p>
      <w:pPr>
        <w:ind w:right="320" w:firstLine="702"/>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94" w:lineRule="exact"/>
        <w:rPr>
          <w:sz w:val="20"/>
          <w:szCs w:val="20"/>
          <w:color w:val="auto"/>
        </w:rPr>
      </w:pPr>
    </w:p>
    <w:p>
      <w:pPr>
        <w:ind w:right="20" w:firstLine="702"/>
        <w:spacing w:after="0" w:line="256" w:lineRule="auto"/>
        <w:rPr>
          <w:sz w:val="20"/>
          <w:szCs w:val="20"/>
          <w:color w:val="auto"/>
        </w:rPr>
      </w:pPr>
      <w:r>
        <w:rPr>
          <w:rFonts w:ascii="Arial" w:cs="Arial" w:eastAsia="Arial" w:hAnsi="Arial"/>
          <w:sz w:val="18"/>
          <w:szCs w:val="18"/>
          <w:color w:val="auto"/>
        </w:rPr>
        <w:t>"Reference Treasury Dealer" means each of J.P. Morgan Securities Inc., Merrill Lynch, Pierce, Fenner &amp; Smith Incorporated and Morgan Stanley &amp; Co. Incorporated or their affiliates which are primary United States government securities dealers, and their respective successors; provided, however, that if any of the foregoing shall cease to be a primary United States government securities dealer in The City of New York (a "Primary Treasury Dealer"), we will substitute therefor another Primary Treasury Dealer.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702"/>
        <w:spacing w:after="0" w:line="306"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61" w:lineRule="exact"/>
        <w:rPr>
          <w:sz w:val="20"/>
          <w:szCs w:val="20"/>
          <w:color w:val="auto"/>
        </w:rPr>
      </w:pPr>
    </w:p>
    <w:p>
      <w:pPr>
        <w:ind w:right="100" w:firstLine="702"/>
        <w:spacing w:after="0" w:line="255"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interest to the redemption date on the notes to be redeemed on such date. If less than all of the notes of any series are to be redeemed, the notes to be redeemed shall be selected by the trustee by such method as the trustee shall deem fair and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jc w:val="both"/>
        <w:ind w:right="120" w:firstLine="348"/>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DTC</w:t>
      </w:r>
    </w:p>
    <w:p>
      <w:pPr>
        <w:spacing w:after="0" w:line="225" w:lineRule="exact"/>
        <w:rPr>
          <w:sz w:val="20"/>
          <w:szCs w:val="20"/>
          <w:color w:val="auto"/>
        </w:rPr>
      </w:pPr>
    </w:p>
    <w:p>
      <w:pPr>
        <w:ind w:right="160" w:firstLine="702"/>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99" w:lineRule="exact"/>
        <w:rPr>
          <w:sz w:val="20"/>
          <w:szCs w:val="20"/>
          <w:color w:val="auto"/>
        </w:rPr>
      </w:pPr>
    </w:p>
    <w:p>
      <w:pPr>
        <w:ind w:right="120" w:firstLine="699"/>
        <w:spacing w:after="0" w:line="298"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39" w:lineRule="exact"/>
        <w:rPr>
          <w:sz w:val="20"/>
          <w:szCs w:val="20"/>
          <w:color w:val="auto"/>
        </w:rPr>
      </w:pPr>
    </w:p>
    <w:p>
      <w:pPr>
        <w:ind w:right="140" w:firstLine="699"/>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86" w:lineRule="exact"/>
        <w:rPr>
          <w:sz w:val="20"/>
          <w:szCs w:val="20"/>
          <w:color w:val="auto"/>
        </w:rPr>
      </w:pPr>
    </w:p>
    <w:p>
      <w:pPr>
        <w:ind w:firstLine="702"/>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72" w:lineRule="exact"/>
        <w:rPr>
          <w:sz w:val="20"/>
          <w:szCs w:val="20"/>
          <w:color w:val="auto"/>
        </w:rPr>
      </w:pPr>
    </w:p>
    <w:p>
      <w:pPr>
        <w:ind w:right="20" w:firstLine="699"/>
        <w:spacing w:after="0" w:line="268"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ectPr>
          <w:pgSz w:w="11900" w:h="16838" w:orient="portrait"/>
          <w:cols w:equalWidth="0" w:num="1">
            <w:col w:w="11420"/>
          </w:cols>
          <w:pgMar w:left="240" w:top="131" w:right="239" w:bottom="149" w:gutter="0" w:footer="0" w:header="0"/>
        </w:sectPr>
      </w:pPr>
    </w:p>
    <w:bookmarkStart w:id="6" w:name="page7"/>
    <w:bookmarkEnd w:id="6"/>
    <w:p>
      <w:pPr>
        <w:spacing w:after="0" w:line="62" w:lineRule="exact"/>
        <w:rPr>
          <w:sz w:val="20"/>
          <w:szCs w:val="20"/>
          <w:color w:val="auto"/>
        </w:rPr>
      </w:pPr>
    </w:p>
    <w:p>
      <w:pPr>
        <w:ind w:right="280" w:firstLine="699"/>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74" w:lineRule="exact"/>
        <w:rPr>
          <w:sz w:val="20"/>
          <w:szCs w:val="20"/>
          <w:color w:val="auto"/>
        </w:rPr>
      </w:pPr>
    </w:p>
    <w:p>
      <w:pPr>
        <w:ind w:right="200" w:firstLine="693"/>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ind w:right="560" w:firstLine="702"/>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199" w:lineRule="exact"/>
        <w:rPr>
          <w:sz w:val="20"/>
          <w:szCs w:val="20"/>
          <w:color w:val="auto"/>
        </w:rPr>
      </w:pPr>
    </w:p>
    <w:p>
      <w:pPr>
        <w:ind w:left="1080" w:right="4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ind w:right="240" w:firstLine="693"/>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225" w:lineRule="exact"/>
        <w:rPr>
          <w:sz w:val="20"/>
          <w:szCs w:val="20"/>
          <w:color w:val="auto"/>
        </w:rPr>
      </w:pPr>
    </w:p>
    <w:p>
      <w:pPr>
        <w:ind w:right="180" w:firstLine="699"/>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94" w:lineRule="exact"/>
        <w:rPr>
          <w:sz w:val="20"/>
          <w:szCs w:val="20"/>
          <w:color w:val="auto"/>
        </w:rPr>
      </w:pPr>
    </w:p>
    <w:p>
      <w:pPr>
        <w:ind w:right="140" w:firstLine="702"/>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699"/>
        <w:spacing w:after="0" w:line="291" w:lineRule="auto"/>
        <w:rPr>
          <w:sz w:val="20"/>
          <w:szCs w:val="20"/>
          <w:color w:val="auto"/>
        </w:rPr>
      </w:pPr>
      <w:r>
        <w:rPr>
          <w:rFonts w:ascii="Arial" w:cs="Arial" w:eastAsia="Arial" w:hAnsi="Arial"/>
          <w:sz w:val="16"/>
          <w:szCs w:val="16"/>
          <w:color w:val="auto"/>
        </w:rPr>
        <w:t>We intend to offer the notes through the underwriters. J.P. Morgan Securities Inc., Merrill Lynch, Pierce, Fenner &amp; Smith Incorporated, Morgan Stanley &amp; Co. Incorporated, Banc of America Securities LLC, Salomon Smith Barney Inc., ABN AMRO Incorporated, Banc One Capital Markets, Inc., Barclays Capital Inc., BNP Paribas Securities Corp., BNY Capital Markets, Inc., Dresdner Kleinwort Wasserstein Securities LLC, Deutsche Bank Securities Inc., Fleet Securities, Inc., Goldman, Sachs &amp; Co., The Royal Bank of Scotland plc and Scotia Capital (USA) Inc. are acting as representatives of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Principal Amount</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1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4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400" w:type="dxa"/>
            <w:vAlign w:val="bottom"/>
          </w:tcPr>
          <w:p>
            <w:pPr>
              <w:spacing w:after="0"/>
              <w:rPr>
                <w:sz w:val="23"/>
                <w:szCs w:val="23"/>
                <w:color w:val="auto"/>
              </w:rPr>
            </w:pPr>
          </w:p>
        </w:tc>
        <w:tc>
          <w:tcPr>
            <w:tcW w:w="1900" w:type="dxa"/>
            <w:vAlign w:val="bottom"/>
          </w:tcPr>
          <w:p>
            <w:pPr>
              <w:jc w:val="right"/>
              <w:ind w:right="636"/>
              <w:spacing w:after="0"/>
              <w:rPr>
                <w:sz w:val="20"/>
                <w:szCs w:val="20"/>
                <w:color w:val="auto"/>
              </w:rPr>
            </w:pPr>
            <w:r>
              <w:rPr>
                <w:rFonts w:ascii="Arial" w:cs="Arial" w:eastAsia="Arial" w:hAnsi="Arial"/>
                <w:sz w:val="14"/>
                <w:szCs w:val="14"/>
                <w:b w:val="1"/>
                <w:bCs w:val="1"/>
                <w:color w:val="auto"/>
              </w:rPr>
              <w:t>Notes due 2010</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Notes due 2015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124,000,000</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3"/>
          </w:tcPr>
          <w:p>
            <w:pPr>
              <w:spacing w:after="0"/>
              <w:rPr>
                <w:sz w:val="20"/>
                <w:szCs w:val="20"/>
                <w:color w:val="auto"/>
              </w:rPr>
            </w:pPr>
            <w:r>
              <w:rPr>
                <w:rFonts w:ascii="Arial" w:cs="Arial" w:eastAsia="Arial" w:hAnsi="Arial"/>
                <w:sz w:val="18"/>
                <w:szCs w:val="18"/>
                <w:color w:val="auto"/>
              </w:rPr>
              <w:t>Incorporated</w:t>
            </w:r>
          </w:p>
        </w:tc>
        <w:tc>
          <w:tcPr>
            <w:tcW w:w="4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124,000,000</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186,000,000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4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124,000,000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48,000,000</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Salomon Smith Barney Inc.</w:t>
            </w:r>
          </w:p>
        </w:tc>
        <w:tc>
          <w:tcPr>
            <w:tcW w:w="4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ABN AMRO Incorporated</w:t>
            </w:r>
          </w:p>
        </w:tc>
        <w:tc>
          <w:tcPr>
            <w:tcW w:w="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One Capital Markets, Inc.</w:t>
            </w:r>
          </w:p>
        </w:tc>
        <w:tc>
          <w:tcPr>
            <w:tcW w:w="4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4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BNY Capital Markets, Inc.</w:t>
            </w:r>
          </w:p>
        </w:tc>
        <w:tc>
          <w:tcPr>
            <w:tcW w:w="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-1909445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-1660525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-1660525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-1660525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-1660525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-1660525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-1660525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Dresdner Kleinwort Wasserstein</w:t>
            </w:r>
          </w:p>
        </w:tc>
        <w:tc>
          <w:tcPr>
            <w:tcW w:w="7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r>
      <w:tr>
        <w:trPr>
          <w:trHeight w:val="224"/>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Securities LLC</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18,000,000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Fleet Securities, Inc.</w:t>
            </w:r>
          </w:p>
        </w:tc>
        <w:tc>
          <w:tcPr>
            <w:tcW w:w="7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Goldman, Sachs &amp; Co.</w:t>
            </w:r>
          </w:p>
        </w:tc>
        <w:tc>
          <w:tcPr>
            <w:tcW w:w="7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18,000,000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The Royal Bank of Scotland plc</w:t>
            </w:r>
          </w:p>
        </w:tc>
        <w:tc>
          <w:tcPr>
            <w:tcW w:w="7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Scotia Capital (USA) Inc.</w:t>
            </w:r>
          </w:p>
        </w:tc>
        <w:tc>
          <w:tcPr>
            <w:tcW w:w="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12,000,000</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18,000,000</w:t>
            </w:r>
          </w:p>
        </w:tc>
      </w:tr>
      <w:tr>
        <w:trPr>
          <w:trHeight w:val="112"/>
        </w:trPr>
        <w:tc>
          <w:tcPr>
            <w:tcW w:w="64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r>
      <w:tr>
        <w:trPr>
          <w:trHeight w:val="105"/>
        </w:trPr>
        <w:tc>
          <w:tcPr>
            <w:tcW w:w="6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243"/>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600,000,000</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900,000,000</w:t>
            </w:r>
          </w:p>
        </w:tc>
      </w:tr>
      <w:tr>
        <w:trPr>
          <w:trHeight w:val="105"/>
        </w:trPr>
        <w:tc>
          <w:tcPr>
            <w:tcW w:w="6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61"/>
        </w:trPr>
        <w:tc>
          <w:tcPr>
            <w:tcW w:w="64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-340360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-340360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-340360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-340360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firstLine="699"/>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purchase agreement may be terminated.</w:t>
      </w:r>
    </w:p>
    <w:p>
      <w:pPr>
        <w:spacing w:after="0" w:line="194" w:lineRule="exact"/>
        <w:rPr>
          <w:sz w:val="20"/>
          <w:szCs w:val="20"/>
          <w:color w:val="auto"/>
        </w:rPr>
      </w:pPr>
    </w:p>
    <w:p>
      <w:pPr>
        <w:ind w:right="600" w:firstLine="699"/>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86" w:lineRule="exact"/>
        <w:rPr>
          <w:sz w:val="20"/>
          <w:szCs w:val="20"/>
          <w:color w:val="auto"/>
        </w:rPr>
      </w:pPr>
    </w:p>
    <w:p>
      <w:pPr>
        <w:ind w:right="60" w:firstLine="699"/>
        <w:spacing w:after="0" w:line="306" w:lineRule="auto"/>
        <w:rPr>
          <w:sz w:val="20"/>
          <w:szCs w:val="20"/>
          <w:color w:val="auto"/>
        </w:rPr>
      </w:pPr>
      <w:r>
        <w:rPr>
          <w:rFonts w:ascii="Arial" w:cs="Arial" w:eastAsia="Arial" w:hAnsi="Arial"/>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underwriters will reimburse us for a portion of our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concession not in excess of 0.40% of the principal amount of the Notes due 2010 and not in excess of 0.40% of the principal amount of the Notes due 2015. The underwriters may allow, and the dealers may reallow, a discount not in excess of 0.25% of the principal amount of the Notes due 2010 and not in excess of 0.25% of the principal amount of the Notes due 2015 to other dealers. After the initial public offering, the public offering price, concession and discount may be changed.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expenses of the offering, not including the underwriting discount, are estimated to be $400,000 and are payable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 Regulations</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described under "Use of Proceeds" in this prospectus supplement, a portion of the proceeds from this offering will be used to repay a portion of the amounts outstanding under the New Credit Facility. The lenders under the New Credit Facility include NASD members or their affiliates. Because more than ten percent of the net proceeds of the offering may be paid to members or affiliates of members of the National Association of Securities Dealers, Inc. participating in the offering, the offering will be conducted in accordance with NASD Conduct Rule 2710(c)(8). Because the notes are investment-grade rated by one or more nationally recognized statistical rating agencies, however, compliance with the NASD's rule only requires the disclosure set forth in this paragraph.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in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97"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ectPr>
          <w:pgSz w:w="11900" w:h="16838" w:orient="portrait"/>
          <w:cols w:equalWidth="0" w:num="1">
            <w:col w:w="11420"/>
          </w:cols>
          <w:pgMar w:left="240" w:top="140" w:right="239" w:bottom="41" w:gutter="0" w:footer="0" w:header="0"/>
        </w:sectPr>
      </w:pPr>
    </w:p>
    <w:bookmarkStart w:id="8" w:name="page9"/>
    <w:bookmarkEnd w:id="8"/>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20" w:firstLine="699"/>
        <w:spacing w:after="0" w:line="332" w:lineRule="auto"/>
        <w:rPr>
          <w:sz w:val="20"/>
          <w:szCs w:val="20"/>
          <w:color w:val="auto"/>
        </w:rPr>
      </w:pPr>
      <w:r>
        <w:rPr>
          <w:rFonts w:ascii="Arial" w:cs="Arial" w:eastAsia="Arial" w:hAnsi="Arial"/>
          <w:sz w:val="16"/>
          <w:szCs w:val="16"/>
          <w:color w:val="auto"/>
        </w:rPr>
        <w:t>Various legal matters relating to the offering will be passed upon for us by Arthur R. Block, Esquire, Senior Vice President and General Counsel of Comcast Corporation and by Davis Polk &amp; Wardwell, Menlo Park, California. Cahill Gordon &amp; Reindel, New York, New York, is representing the underwriters.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$10,000,000,000</w:t>
      </w:r>
    </w:p>
    <w:p>
      <w:pPr>
        <w:ind w:left="5500"/>
        <w:spacing w:after="0"/>
        <w:rPr>
          <w:sz w:val="20"/>
          <w:szCs w:val="20"/>
          <w:color w:val="auto"/>
        </w:rPr>
      </w:pPr>
      <w:r>
        <w:rPr>
          <w:rFonts w:ascii="Arial" w:cs="Arial" w:eastAsia="Arial" w:hAnsi="Arial"/>
          <w:sz w:val="32"/>
          <w:szCs w:val="32"/>
          <w:b w:val="1"/>
          <w:bCs w:val="1"/>
          <w:color w:val="auto"/>
        </w:rPr>
        <w:t>Comcast Corporation</w:t>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1500 Market Street</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Philadelphia, Pennsylvania 19102-2148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(215) 665-1700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types of securities that we may offer and sell under this prospectus: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340"/>
              <w:spacing w:after="0"/>
              <w:rPr>
                <w:sz w:val="20"/>
                <w:szCs w:val="20"/>
                <w:color w:val="auto"/>
              </w:rPr>
            </w:pPr>
            <w:r>
              <w:rPr>
                <w:rFonts w:ascii="Arial" w:cs="Arial" w:eastAsia="Arial" w:hAnsi="Arial"/>
                <w:sz w:val="18"/>
                <w:szCs w:val="18"/>
                <w:color w:val="auto"/>
              </w:rPr>
              <w:t>Unsecured senior debt securities</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2560" w:type="dxa"/>
            <w:vAlign w:val="bottom"/>
          </w:tcPr>
          <w:p>
            <w:pPr>
              <w:ind w:left="300"/>
              <w:spacing w:after="0"/>
              <w:rPr>
                <w:sz w:val="20"/>
                <w:szCs w:val="20"/>
                <w:color w:val="auto"/>
              </w:rPr>
            </w:pPr>
            <w:r>
              <w:rPr>
                <w:rFonts w:ascii="Arial" w:cs="Arial" w:eastAsia="Arial" w:hAnsi="Arial"/>
                <w:sz w:val="18"/>
                <w:szCs w:val="18"/>
                <w:color w:val="auto"/>
              </w:rPr>
              <w:t>Preferred Stock</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340"/>
              <w:spacing w:after="0"/>
              <w:rPr>
                <w:sz w:val="20"/>
                <w:szCs w:val="20"/>
                <w:color w:val="auto"/>
              </w:rPr>
            </w:pPr>
            <w:r>
              <w:rPr>
                <w:rFonts w:ascii="Arial" w:cs="Arial" w:eastAsia="Arial" w:hAnsi="Arial"/>
                <w:sz w:val="18"/>
                <w:szCs w:val="18"/>
                <w:color w:val="auto"/>
              </w:rPr>
              <w:t>Unsecured subordinated debt securities</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2560" w:type="dxa"/>
            <w:vAlign w:val="bottom"/>
          </w:tcPr>
          <w:p>
            <w:pPr>
              <w:ind w:left="300"/>
              <w:spacing w:after="0"/>
              <w:rPr>
                <w:sz w:val="20"/>
                <w:szCs w:val="20"/>
                <w:color w:val="auto"/>
              </w:rPr>
            </w:pPr>
            <w:r>
              <w:rPr>
                <w:rFonts w:ascii="Arial" w:cs="Arial" w:eastAsia="Arial" w:hAnsi="Arial"/>
                <w:sz w:val="18"/>
                <w:szCs w:val="18"/>
                <w:color w:val="auto"/>
              </w:rPr>
              <w:t>Depositary shares</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340"/>
              <w:spacing w:after="0"/>
              <w:rPr>
                <w:sz w:val="20"/>
                <w:szCs w:val="20"/>
                <w:color w:val="auto"/>
              </w:rPr>
            </w:pPr>
            <w:r>
              <w:rPr>
                <w:rFonts w:ascii="Arial" w:cs="Arial" w:eastAsia="Arial" w:hAnsi="Arial"/>
                <w:sz w:val="18"/>
                <w:szCs w:val="18"/>
                <w:color w:val="auto"/>
              </w:rPr>
              <w:t>Warrants</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2560" w:type="dxa"/>
            <w:vAlign w:val="bottom"/>
          </w:tcPr>
          <w:p>
            <w:pPr>
              <w:ind w:left="300"/>
              <w:spacing w:after="0"/>
              <w:rPr>
                <w:sz w:val="20"/>
                <w:szCs w:val="20"/>
                <w:color w:val="auto"/>
              </w:rPr>
            </w:pPr>
            <w:r>
              <w:rPr>
                <w:rFonts w:ascii="Arial" w:cs="Arial" w:eastAsia="Arial" w:hAnsi="Arial"/>
                <w:sz w:val="18"/>
                <w:szCs w:val="18"/>
                <w:color w:val="auto"/>
              </w:rPr>
              <w:t>Class A Common Stock</w:t>
            </w: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160" w:type="dxa"/>
            <w:vAlign w:val="bottom"/>
          </w:tcPr>
          <w:p>
            <w:pPr>
              <w:ind w:left="340"/>
              <w:spacing w:after="0"/>
              <w:rPr>
                <w:sz w:val="20"/>
                <w:szCs w:val="20"/>
                <w:color w:val="auto"/>
              </w:rPr>
            </w:pPr>
            <w:r>
              <w:rPr>
                <w:rFonts w:ascii="Arial" w:cs="Arial" w:eastAsia="Arial" w:hAnsi="Arial"/>
                <w:sz w:val="18"/>
                <w:szCs w:val="18"/>
                <w:color w:val="auto"/>
              </w:rPr>
              <w:t>Purchase contracts</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2560" w:type="dxa"/>
            <w:vAlign w:val="bottom"/>
          </w:tcPr>
          <w:p>
            <w:pPr>
              <w:ind w:left="300"/>
              <w:spacing w:after="0"/>
              <w:rPr>
                <w:sz w:val="20"/>
                <w:szCs w:val="20"/>
                <w:color w:val="auto"/>
              </w:rPr>
            </w:pPr>
            <w:r>
              <w:rPr>
                <w:rFonts w:ascii="Arial" w:cs="Arial" w:eastAsia="Arial" w:hAnsi="Arial"/>
                <w:sz w:val="18"/>
                <w:szCs w:val="18"/>
                <w:color w:val="auto"/>
                <w:w w:val="88"/>
              </w:rPr>
              <w:t>Class A Special Common Stock</w:t>
            </w:r>
          </w:p>
        </w:tc>
      </w:tr>
    </w:tbl>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Units</w:t>
      </w:r>
    </w:p>
    <w:p>
      <w:pPr>
        <w:spacing w:after="0" w:line="21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Class A Special Common Stock and Class A Common Stock are quoted on The Nasdaq National Market System under the ticker symbols "CMCSK" and "CMCSA". On December 13, 2002, the reported last sale prices on The Nasdaq National Market System for our Class A Special Common Stock and our Class A Common Stock were $22.04 and $22.84.</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240"/>
              <w:spacing w:after="0"/>
              <w:rPr>
                <w:sz w:val="20"/>
                <w:szCs w:val="20"/>
                <w:color w:val="auto"/>
              </w:rPr>
            </w:pPr>
            <w:r>
              <w:rPr>
                <w:rFonts w:ascii="Arial" w:cs="Arial" w:eastAsia="Arial" w:hAnsi="Arial"/>
                <w:sz w:val="18"/>
                <w:szCs w:val="18"/>
                <w:color w:val="auto"/>
              </w:rPr>
              <w:t>Maturity</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80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800" w:type="dxa"/>
            <w:vAlign w:val="bottom"/>
          </w:tcPr>
          <w:p>
            <w:pPr>
              <w:ind w:left="240"/>
              <w:spacing w:after="0"/>
              <w:rPr>
                <w:sz w:val="20"/>
                <w:szCs w:val="20"/>
                <w:color w:val="auto"/>
              </w:rPr>
            </w:pPr>
            <w:r>
              <w:rPr>
                <w:rFonts w:ascii="Arial" w:cs="Arial" w:eastAsia="Arial" w:hAnsi="Arial"/>
                <w:sz w:val="18"/>
                <w:szCs w:val="18"/>
                <w:color w:val="auto"/>
              </w:rPr>
              <w:t>Conversion or exchange</w:t>
            </w:r>
          </w:p>
        </w:tc>
      </w:tr>
      <w:tr>
        <w:trPr>
          <w:trHeight w:val="216"/>
        </w:trPr>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rights</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240"/>
              <w:spacing w:after="0"/>
              <w:rPr>
                <w:sz w:val="20"/>
                <w:szCs w:val="20"/>
                <w:color w:val="auto"/>
              </w:rPr>
            </w:pPr>
            <w:r>
              <w:rPr>
                <w:rFonts w:ascii="Arial" w:cs="Arial" w:eastAsia="Arial" w:hAnsi="Arial"/>
                <w:sz w:val="18"/>
                <w:szCs w:val="18"/>
                <w:color w:val="auto"/>
              </w:rPr>
              <w:t>Interest rate</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800" w:type="dxa"/>
            <w:vAlign w:val="bottom"/>
          </w:tcPr>
          <w:p>
            <w:pPr>
              <w:ind w:left="240"/>
              <w:spacing w:after="0"/>
              <w:rPr>
                <w:sz w:val="20"/>
                <w:szCs w:val="20"/>
                <w:color w:val="auto"/>
              </w:rPr>
            </w:pPr>
            <w:r>
              <w:rPr>
                <w:rFonts w:ascii="Arial" w:cs="Arial" w:eastAsia="Arial" w:hAnsi="Arial"/>
                <w:sz w:val="18"/>
                <w:szCs w:val="18"/>
                <w:color w:val="auto"/>
              </w:rPr>
              <w:t>Redemption terms</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800" w:type="dxa"/>
            <w:vAlign w:val="bottom"/>
          </w:tcPr>
          <w:p>
            <w:pPr>
              <w:ind w:left="240"/>
              <w:spacing w:after="0"/>
              <w:rPr>
                <w:sz w:val="20"/>
                <w:szCs w:val="20"/>
                <w:color w:val="auto"/>
              </w:rPr>
            </w:pPr>
            <w:r>
              <w:rPr>
                <w:rFonts w:ascii="Arial" w:cs="Arial" w:eastAsia="Arial" w:hAnsi="Arial"/>
                <w:sz w:val="18"/>
                <w:szCs w:val="18"/>
                <w:color w:val="auto"/>
              </w:rPr>
              <w:t>Liquidation amount</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240"/>
              <w:spacing w:after="0"/>
              <w:rPr>
                <w:sz w:val="20"/>
                <w:szCs w:val="20"/>
                <w:color w:val="auto"/>
              </w:rPr>
            </w:pPr>
            <w:r>
              <w:rPr>
                <w:rFonts w:ascii="Arial" w:cs="Arial" w:eastAsia="Arial" w:hAnsi="Arial"/>
                <w:sz w:val="18"/>
                <w:szCs w:val="18"/>
                <w:color w:val="auto"/>
              </w:rPr>
              <w:t>Sinking fund terms</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800" w:type="dxa"/>
            <w:vAlign w:val="bottom"/>
          </w:tcPr>
          <w:p>
            <w:pPr>
              <w:ind w:left="240"/>
              <w:spacing w:after="0"/>
              <w:rPr>
                <w:sz w:val="20"/>
                <w:szCs w:val="20"/>
                <w:color w:val="auto"/>
              </w:rPr>
            </w:pPr>
            <w:r>
              <w:rPr>
                <w:rFonts w:ascii="Arial" w:cs="Arial" w:eastAsia="Arial" w:hAnsi="Arial"/>
                <w:sz w:val="18"/>
                <w:szCs w:val="18"/>
                <w:color w:val="auto"/>
                <w:w w:val="99"/>
              </w:rPr>
              <w:t>Listing on a securities exchange</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800" w:type="dxa"/>
            <w:vAlign w:val="bottom"/>
          </w:tcPr>
          <w:p>
            <w:pPr>
              <w:ind w:left="240"/>
              <w:spacing w:after="0"/>
              <w:rPr>
                <w:sz w:val="20"/>
                <w:szCs w:val="20"/>
                <w:color w:val="auto"/>
              </w:rPr>
            </w:pPr>
            <w:r>
              <w:rPr>
                <w:rFonts w:ascii="Arial" w:cs="Arial" w:eastAsia="Arial" w:hAnsi="Arial"/>
                <w:sz w:val="18"/>
                <w:szCs w:val="18"/>
                <w:color w:val="auto"/>
              </w:rPr>
              <w:t>Subsidiary guarantees</w:t>
            </w:r>
          </w:p>
        </w:tc>
      </w:t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240"/>
              <w:spacing w:after="0"/>
              <w:rPr>
                <w:sz w:val="20"/>
                <w:szCs w:val="20"/>
                <w:color w:val="auto"/>
              </w:rPr>
            </w:pPr>
            <w:r>
              <w:rPr>
                <w:rFonts w:ascii="Arial" w:cs="Arial" w:eastAsia="Arial" w:hAnsi="Arial"/>
                <w:sz w:val="18"/>
                <w:szCs w:val="18"/>
                <w:color w:val="auto"/>
              </w:rPr>
              <w:t>Currency of payments</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800" w:type="dxa"/>
            <w:vAlign w:val="bottom"/>
          </w:tcPr>
          <w:p>
            <w:pPr>
              <w:ind w:left="240"/>
              <w:spacing w:after="0"/>
              <w:rPr>
                <w:sz w:val="20"/>
                <w:szCs w:val="20"/>
                <w:color w:val="auto"/>
              </w:rPr>
            </w:pPr>
            <w:r>
              <w:rPr>
                <w:rFonts w:ascii="Arial" w:cs="Arial" w:eastAsia="Arial" w:hAnsi="Arial"/>
                <w:sz w:val="18"/>
                <w:szCs w:val="18"/>
                <w:color w:val="auto"/>
              </w:rPr>
              <w:t>Amount payable at maturity</w:t>
            </w:r>
          </w:p>
        </w:tc>
        <w:tc>
          <w:tcPr>
            <w:tcW w:w="60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120"/>
        </w:trPr>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Investing in the securities involves risks that are described under the caption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740" w:type="dxa"/>
            <w:vAlign w:val="bottom"/>
          </w:tcPr>
          <w:p>
            <w:pPr>
              <w:ind w:left="5020"/>
              <w:spacing w:after="0"/>
              <w:rPr>
                <w:sz w:val="20"/>
                <w:szCs w:val="20"/>
                <w:color w:val="auto"/>
              </w:rPr>
            </w:pPr>
            <w:r>
              <w:rPr>
                <w:rFonts w:ascii="Arial" w:cs="Arial" w:eastAsia="Arial" w:hAnsi="Arial"/>
                <w:sz w:val="18"/>
                <w:szCs w:val="18"/>
                <w:color w:val="auto"/>
              </w:rPr>
              <w:t>December 23, 2002</w:t>
            </w:r>
          </w:p>
        </w:tc>
        <w:tc>
          <w:tcPr>
            <w:tcW w:w="680" w:type="dxa"/>
            <w:vAlign w:val="bottom"/>
          </w:tcPr>
          <w:p>
            <w:pPr>
              <w:spacing w:after="0"/>
              <w:rPr>
                <w:sz w:val="19"/>
                <w:szCs w:val="19"/>
                <w:color w:val="auto"/>
              </w:rPr>
            </w:pPr>
          </w:p>
        </w:tc>
      </w:tr>
      <w:tr>
        <w:trPr>
          <w:trHeight w:val="228"/>
        </w:trPr>
        <w:tc>
          <w:tcPr>
            <w:tcW w:w="10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r>
        <w:trPr>
          <w:trHeight w:val="643"/>
        </w:trPr>
        <w:tc>
          <w:tcPr>
            <w:tcW w:w="10740" w:type="dxa"/>
            <w:vAlign w:val="bottom"/>
          </w:tcPr>
          <w:p>
            <w:pPr>
              <w:ind w:left="50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380"/>
        </w:trPr>
        <w:tc>
          <w:tcPr>
            <w:tcW w:w="10740" w:type="dxa"/>
            <w:vAlign w:val="bottom"/>
          </w:tcPr>
          <w:p>
            <w:pPr>
              <w:spacing w:after="0"/>
              <w:rPr>
                <w:sz w:val="24"/>
                <w:szCs w:val="2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rPr>
              <w:t>PAGE</w:t>
            </w:r>
          </w:p>
        </w:tc>
      </w:tr>
      <w:tr>
        <w:trPr>
          <w:trHeight w:val="105"/>
        </w:trPr>
        <w:tc>
          <w:tcPr>
            <w:tcW w:w="107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313"/>
        </w:trPr>
        <w:tc>
          <w:tcPr>
            <w:tcW w:w="10740" w:type="dxa"/>
            <w:vAlign w:val="bottom"/>
          </w:tcPr>
          <w:p>
            <w:pPr>
              <w:spacing w:after="0"/>
              <w:rPr>
                <w:sz w:val="20"/>
                <w:szCs w:val="20"/>
                <w:color w:val="auto"/>
              </w:rPr>
            </w:pPr>
            <w:r>
              <w:rPr>
                <w:rFonts w:ascii="Arial" w:cs="Arial" w:eastAsia="Arial" w:hAnsi="Arial"/>
                <w:sz w:val="18"/>
                <w:szCs w:val="18"/>
                <w:color w:val="auto"/>
              </w:rPr>
              <w:t>Summary</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Dividend Policy</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Ratios of Earnings to Fixed Charges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Pro Forma Ratio of Earnings to Fixed Charges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Dividends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Description of the Senior Debt Securities, Subordinated Debt Securities and Cable Guarantees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074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-2180590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-2180590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-1451610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-1451610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34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4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Description of Units</w:t>
            </w:r>
          </w:p>
        </w:tc>
        <w:tc>
          <w:tcPr>
            <w:tcW w:w="4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Global Securities</w:t>
            </w:r>
          </w:p>
        </w:tc>
        <w:tc>
          <w:tcPr>
            <w:tcW w:w="4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Description of Preferred Stock</w:t>
            </w:r>
          </w:p>
        </w:tc>
        <w:tc>
          <w:tcPr>
            <w:tcW w:w="4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Description of Depositary Shares</w:t>
            </w:r>
          </w:p>
        </w:tc>
        <w:tc>
          <w:tcPr>
            <w:tcW w:w="4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4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Description of Shareholder Rights Plan</w:t>
            </w:r>
          </w:p>
        </w:tc>
        <w:tc>
          <w:tcPr>
            <w:tcW w:w="4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Description of AT&amp;T Comcast Transaction</w:t>
            </w:r>
          </w:p>
        </w:tc>
        <w:tc>
          <w:tcPr>
            <w:tcW w:w="4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Plan of Distribution</w:t>
            </w:r>
          </w:p>
        </w:tc>
        <w:tc>
          <w:tcPr>
            <w:tcW w:w="4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Legal Matters</w:t>
            </w:r>
          </w:p>
        </w:tc>
        <w:tc>
          <w:tcPr>
            <w:tcW w:w="4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Experts</w:t>
            </w:r>
          </w:p>
        </w:tc>
        <w:tc>
          <w:tcPr>
            <w:tcW w:w="4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Available Information</w:t>
            </w:r>
          </w:p>
        </w:tc>
        <w:tc>
          <w:tcPr>
            <w:tcW w:w="4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40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1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refer to Comcast Corporation (formerly known as AT&amp;T Comcast Corporation) in this prospectus as "Comcast" or "we," "us," "our" or comparable terms and to Comcast Holdings Corporation (formerly known as Comcast Corporation) as "Comcast Holdings." We refer to Comcast Cable Communications, Inc., Comcast Cable Communications Holdings, Inc. (formerly known as AT&amp;T Broadband Corp.), Comcast Cable Holdings, LLC (formerly known as AT&amp;T Broadband, LLC, which was formerly known as Tele-Communications, Inc.) and Comcast MO Group, Inc. (formerly known as MediaOne Group, Inc.) collectively as the "Cable Guarantors."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We were formed through the merger of Comcast Holdings Corporation (formerly known as Comcast Corporation) and the broadband business of AT&amp;T Corp. in the belief that combining the strengths of these businesses would create the world's premier broadband company.</w:t>
      </w:r>
    </w:p>
    <w:p>
      <w:pPr>
        <w:spacing w:after="0" w:line="139"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are principally involved in three lines of business through our wholly-owned subsidiaries Comcast Holdings and Comcast Cable Communications Holdings:</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Cable—through the development, management and operation of broadband communications networks and regional sports programming networks,</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Commerce—through QVC, our electronic retailing subsidiary, and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Content—through our consolidated subsidiaries, Comcast-Spectacor, E! Entertainment Television, The Golf Channel, Outdoor Life Network and G4 Media, and through our other programming investments.</w:t>
      </w:r>
    </w:p>
    <w:p>
      <w:pPr>
        <w:spacing w:after="0" w:line="186"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and Comcast Holdings' filings with the SEC incorporated by reference in this prospectus. For a description of certain continuing obligations and risks related to the AT&amp;T Comcast transaction, see "Description of AT&amp;T Comcast Transaction," and "Risk Factors—Risks Relating to the AT&amp;T Comcast Transaction," as well as our and Comcast Holdings' filings with the SEC incorporated by reference in this prospectus. For instructions on how to find copies of these and our other filings incorporated by reference in this prospectus, see "Available Information."</w:t>
      </w:r>
    </w:p>
    <w:p>
      <w:pPr>
        <w:spacing w:after="0" w:line="197" w:lineRule="exact"/>
        <w:rPr>
          <w:sz w:val="20"/>
          <w:szCs w:val="20"/>
          <w:color w:val="auto"/>
        </w:rPr>
      </w:pPr>
    </w:p>
    <w:p>
      <w:pPr>
        <w:jc w:val="both"/>
        <w:ind w:right="100" w:firstLine="348"/>
        <w:spacing w:after="0" w:line="370" w:lineRule="auto"/>
        <w:rPr>
          <w:sz w:val="20"/>
          <w:szCs w:val="20"/>
          <w:color w:val="auto"/>
        </w:rPr>
      </w:pPr>
      <w:r>
        <w:rPr>
          <w:rFonts w:ascii="Arial" w:cs="Arial" w:eastAsia="Arial" w:hAnsi="Arial"/>
          <w:sz w:val="15"/>
          <w:szCs w:val="15"/>
          <w:color w:val="auto"/>
        </w:rPr>
        <w:t xml:space="preserve">We are a Pennsylvania corporation incorporated in 2001. Our principal executive office is located at 1500 Market Street, Philadelphia, Pennsylvania 19102-2148. Our telephone number is (215) 665-1700. The address of our web site is </w:t>
      </w:r>
      <w:r>
        <w:rPr>
          <w:rFonts w:ascii="Arial" w:cs="Arial" w:eastAsia="Arial" w:hAnsi="Arial"/>
          <w:sz w:val="15"/>
          <w:szCs w:val="15"/>
          <w:i w:val="1"/>
          <w:iCs w:val="1"/>
          <w:color w:val="auto"/>
        </w:rPr>
        <w:t>www.comcast.com</w:t>
      </w:r>
      <w:r>
        <w:rPr>
          <w:rFonts w:ascii="Arial" w:cs="Arial" w:eastAsia="Arial" w:hAnsi="Arial"/>
          <w:sz w:val="15"/>
          <w:szCs w:val="15"/>
          <w:color w:val="auto"/>
        </w:rPr>
        <w:t>. The information on our web site is not part of this prospectus.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will be fully and unconditionally guaranteed by each of Comcast Cable, Comcast Cable Communications Holdings, Comcast Cable Holdings and Comcast MO Group.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39" w:lineRule="exact"/>
        <w:rPr>
          <w:sz w:val="20"/>
          <w:szCs w:val="20"/>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ectPr>
          <w:pgSz w:w="11900" w:h="16838" w:orient="portrait"/>
          <w:cols w:equalWidth="0" w:num="1">
            <w:col w:w="11420"/>
          </w:cols>
          <w:pgMar w:left="240" w:top="131" w:right="239" w:bottom="0" w:gutter="0" w:footer="0" w:header="0"/>
        </w:sect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Comcast Cable Communications, Inc.</w:t>
      </w:r>
    </w:p>
    <w:p>
      <w:pPr>
        <w:sectPr>
          <w:pgSz w:w="11900" w:h="16838" w:orient="portrait"/>
          <w:cols w:equalWidth="0" w:num="1">
            <w:col w:w="11420"/>
          </w:cols>
          <w:pgMar w:left="240" w:top="131" w:right="239" w:bottom="0" w:gutter="0" w:footer="0" w:header="0"/>
          <w:type w:val="continuous"/>
        </w:sectPr>
      </w:pPr>
    </w:p>
    <w:bookmarkStart w:id="10" w:name="page11"/>
    <w:bookmarkEnd w:id="10"/>
    <w:p>
      <w:pPr>
        <w:ind w:right="280" w:firstLine="351"/>
        <w:spacing w:after="0" w:line="259" w:lineRule="auto"/>
        <w:rPr>
          <w:sz w:val="20"/>
          <w:szCs w:val="20"/>
          <w:color w:val="auto"/>
        </w:rPr>
      </w:pPr>
      <w:r>
        <w:rPr>
          <w:rFonts w:ascii="Arial" w:cs="Arial" w:eastAsia="Arial" w:hAnsi="Arial"/>
          <w:sz w:val="18"/>
          <w:szCs w:val="18"/>
          <w:color w:val="auto"/>
        </w:rPr>
        <w:t>Comcast Cable is a Delaware corporation incorporated in 1981 and our indirect wholly-owned subsidiary. Comcast Cable currently serves approximately 8.5 million subscribers and has deployed digital cable applications and high-speed Internet access service to the vast majority of its cable communications systems to expand the products available on its broadband communications networks.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Comcast Cable Communications Holdings is a Delaware corporation (formerly known as AT&amp;T Broadband Corp.) incorporated in 2001 and our wholly-owned subsidiary. As part of the AT&amp;T Comcast transaction, AT&amp;T transferred to Comcast Cable Communications Holdings substantially all of the assets, liabilities and businesses represented by AT&amp;T Broadband Group, the integrated broadband business of AT&amp;T.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Each cable guarantor's principal place of business is 1500 Market Street, Philadelphia, Pennsylvania 19102-2148.</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AT&amp;T Comcast Transaction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fail to realize the anticipated benefits of the AT&amp;T Comcast transaction.</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AT&amp;T Comcast transaction combined two companies that have previously operated separately. We expect to realize cost savings and other financial and operating benefits as a result of the AT&amp;T Comcast transaction.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have to abide by restrictions to preserve the tax treatment of the AT&amp;T Comcast transaction.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Because of the limitations imposed by Section 355(e) of the Internal Revenue Code of 1986, as amended, referred to as the "Code" in this prospectus, and by contractual agreements with AT&amp;T, our ability and the ability of Comcast Cable Communications Holdings to engage in specified acquisitions, redeem stock or issue equity securities will be limited until December 18, 2004. See "Description of AT&amp;T Comcast Transaction—Separation and Distribution Agreement—Post-Spin-Off Transactions." These restrictions may limit our ability to issue equity securities to satisfy our financing needs or to acquire businesses or assets.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and our subsidiaries have significant debt and debt-like obligations and may not maintain investment-grade credit ratings.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The closing of the AT&amp;T Comcast transaction triggered put rights on the part of holders of approximately $1.0 billion of debt issued by Comcast Cable Holdings. In addition, the failure of certain of our subsidiaries to maintain certain credit ratings until at least February 16, 2003 could trigger put rights on the part of holders of up to approximately $3.8 billion of debt as of the date of this prospectus, which would require us to obtain additional financing. Accordingly, a downgrade in our or any of our subsidiaries' existing credit ratings or failure by us and our subsidiaries to maintain investment-grade credit ratings could have a material adverse effect on our operating results and on the value of our common stock.</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Atypical governance arrangements may make it more difficult for our shareholders to act.</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connection with the AT&amp;T Comcast transaction,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be difficult for one of our shareholders, other than BRCC Holdings LLC, to elect a slate of directors of its own choosing to our Board. Brian L. Roberts, our President and Chief Executive Officer, through his control of BRCC Holdings LLC, holds a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nondilutable voting interest in our stock. In addition, we adopted a shareholder rights plan upon completion of the AT&amp;T Comcast transaction that prevents any holder of our stock, other than any holder of our Class B common stock or any of such holder's affiliates, from acquiring our stock representing more than 10% of the voting power with respect to us without the approval of our Board.</w:t>
      </w:r>
    </w:p>
    <w:p>
      <w:pPr>
        <w:sectPr>
          <w:pgSz w:w="11900" w:h="16838" w:orient="portrait"/>
          <w:cols w:equalWidth="0" w:num="1">
            <w:col w:w="11400"/>
          </w:cols>
          <w:pgMar w:left="240" w:top="131" w:right="259" w:bottom="0" w:gutter="0" w:footer="0" w:header="0"/>
        </w:sectPr>
      </w:pPr>
    </w:p>
    <w:bookmarkStart w:id="11" w:name="page12"/>
    <w:bookmarkEnd w:id="11"/>
    <w:p>
      <w:pPr>
        <w:ind w:right="140" w:firstLine="351"/>
        <w:spacing w:after="0" w:line="253" w:lineRule="auto"/>
        <w:rPr>
          <w:sz w:val="20"/>
          <w:szCs w:val="20"/>
          <w:color w:val="auto"/>
        </w:rPr>
      </w:pPr>
      <w:r>
        <w:rPr>
          <w:rFonts w:ascii="Arial" w:cs="Arial" w:eastAsia="Arial" w:hAnsi="Arial"/>
          <w:sz w:val="18"/>
          <w:szCs w:val="18"/>
          <w:color w:val="auto"/>
        </w:rPr>
        <w:t>In addition to the governance arrangements relating to our Board, a number of governance arrangements will make it difficult to replace our senior management. Upon completion of the AT&amp;T Comcast transaction, C. Michael Armstrong, Chairman of the Board and CEO of AT&amp;T, became our Chairman of the Board and Brian L. Roberts, President of Comcast Holdings, became our CEO and President.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principal shareholder has considerable influence over our operations.</w:t>
      </w:r>
    </w:p>
    <w:p>
      <w:pPr>
        <w:spacing w:after="0" w:line="225" w:lineRule="exact"/>
        <w:rPr>
          <w:sz w:val="20"/>
          <w:szCs w:val="20"/>
          <w:color w:val="auto"/>
        </w:rPr>
      </w:pPr>
    </w:p>
    <w:p>
      <w:pPr>
        <w:jc w:val="both"/>
        <w:ind w:right="20" w:firstLine="351"/>
        <w:spacing w:after="0" w:line="229" w:lineRule="auto"/>
        <w:rPr>
          <w:sz w:val="20"/>
          <w:szCs w:val="20"/>
          <w:color w:val="auto"/>
        </w:rPr>
      </w:pPr>
      <w:r>
        <w:rPr>
          <w:rFonts w:ascii="Arial" w:cs="Arial" w:eastAsia="Arial" w:hAnsi="Arial"/>
          <w:sz w:val="18"/>
          <w:szCs w:val="18"/>
          <w:color w:val="auto"/>
        </w:rPr>
        <w:t>Brian L. Roberts has significant control over our operations through his control of BRCC Holdings LLC, which as a result of its ownership of outstanding shares of our Class B common stock holds a nondilutable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stock and also has separate approval rights over certain material transactions involving us. In addition, Brian L. Roberts is our CEO and President and will, together with our Chairman of the Board, comprise the Office of the Chairman, our principal executive deliberative body.</w:t>
      </w:r>
    </w:p>
    <w:p>
      <w:pPr>
        <w:spacing w:after="0" w:line="210" w:lineRule="exact"/>
        <w:rPr>
          <w:sz w:val="20"/>
          <w:szCs w:val="20"/>
          <w:color w:val="auto"/>
        </w:rPr>
      </w:pPr>
    </w:p>
    <w:p>
      <w:pPr>
        <w:ind w:right="900" w:firstLine="176"/>
        <w:spacing w:after="0" w:line="332" w:lineRule="auto"/>
        <w:rPr>
          <w:sz w:val="20"/>
          <w:szCs w:val="20"/>
          <w:color w:val="auto"/>
        </w:rPr>
      </w:pPr>
      <w:r>
        <w:rPr>
          <w:rFonts w:ascii="Arial" w:cs="Arial" w:eastAsia="Arial" w:hAnsi="Arial"/>
          <w:sz w:val="16"/>
          <w:szCs w:val="16"/>
          <w:b w:val="1"/>
          <w:bCs w:val="1"/>
          <w:i w:val="1"/>
          <w:iCs w:val="1"/>
          <w:color w:val="auto"/>
        </w:rPr>
        <w:t>The performance of AT&amp;T Broadband Group prior to the AT&amp;T Broadband spin-off may not be representative of the results of Comcast Cable Communications Holdings without the other AT&amp;T businesses and therefore is not a reliable indicator of its future results.</w:t>
      </w:r>
    </w:p>
    <w:p>
      <w:pPr>
        <w:spacing w:after="0" w:line="139"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AT&amp;T Broadband Group was a fully integrated business unit of AT&amp;T, and as a result the financial information of AT&amp;T Broadband Group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31"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b w:val="1"/>
          <w:bCs w:val="1"/>
          <w:i w:val="1"/>
          <w:iCs w:val="1"/>
          <w:color w:val="auto"/>
        </w:rPr>
        <w:t>Our actual financial position and results of operations may differ significantly and adversely from the pro forma amounts incorporated by reference in this prospectus.</w:t>
      </w:r>
    </w:p>
    <w:p>
      <w:pPr>
        <w:spacing w:after="0" w:line="186"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color w:val="auto"/>
        </w:rPr>
        <w:t>Our actual financial position and results of operations may differ, perhaps significantly and adversely, from the pro forma information incorporated by reference in this prospectus due to a variety of factors, including access to additional information, changes in value not currently identified and changes in operating results between the date of the pro forma financial data and the date on which the AT&amp;T Comcast transaction was completed.</w:t>
      </w:r>
    </w:p>
    <w:p>
      <w:pPr>
        <w:spacing w:after="0" w:line="16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in many cases each of Comcast Holdings and AT&amp;T Broadband Group had long-term agreements, in some cases with the same counterparties, for the same services and products, such as programming, billing services and interactive programming guides. Comcast Holdings and AT&amp;T Broadband Group could not disclose the terms of many of these contracts to each other because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18" w:lineRule="auto"/>
        <w:rPr>
          <w:sz w:val="20"/>
          <w:szCs w:val="20"/>
          <w:color w:val="auto"/>
        </w:rPr>
      </w:pPr>
      <w:r>
        <w:rPr>
          <w:rFonts w:ascii="Arial" w:cs="Arial" w:eastAsia="Arial" w:hAnsi="Arial"/>
          <w:sz w:val="15"/>
          <w:szCs w:val="15"/>
          <w:color w:val="auto"/>
        </w:rPr>
        <w:t>confidentiality provisions included in these contracts or other legal restrictions. For this and other reasons, it is not clear, in the case of certain services and products, whether after completion of the AT&amp;T Comcast transaction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incorporated by reference in this prospectus.</w:t>
      </w:r>
    </w:p>
    <w:p>
      <w:pPr>
        <w:spacing w:after="0" w:line="154"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b w:val="1"/>
          <w:bCs w:val="1"/>
          <w:i w:val="1"/>
          <w:iCs w:val="1"/>
          <w:color w:val="auto"/>
        </w:rPr>
        <w:t>Programming costs are increasing and we may not have the ability to pass these increases on to our customers, which would materially adversely affect our cash flow and operating margins.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 able to pass programming cost increases on to our customers. The inability to pass these programming cost increases on to our customers would have a material adverse impact on our cash flow and operating margins.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customers, may reduce operating margins.</w:t>
      </w:r>
    </w:p>
    <w:p>
      <w:pPr>
        <w:spacing w:after="0" w:line="174"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also expect to be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face a wide range of competition in areas served by our cable systems, which could adversely affect our future results of operations.</w:t>
      </w:r>
    </w:p>
    <w:p>
      <w:pPr>
        <w:spacing w:after="0" w:line="24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 The failure of seasonal fourth quarter increases to offset decreases would adversely affect subscriber levels.</w:t>
      </w:r>
    </w:p>
    <w:p>
      <w:pPr>
        <w:sectPr>
          <w:pgSz w:w="11900" w:h="16838" w:orient="portrait"/>
          <w:cols w:equalWidth="0" w:num="1">
            <w:col w:w="11400"/>
          </w:cols>
          <w:pgMar w:left="240" w:top="131" w:right="259" w:bottom="0" w:gutter="0" w:footer="0" w:header="0"/>
        </w:sectPr>
      </w:pPr>
    </w:p>
    <w:p>
      <w:pPr>
        <w:spacing w:after="0" w:line="17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have substantial capital requirements which may require us to obtain additional financing that may be difficult to obtain.</w:t>
      </w:r>
    </w:p>
    <w:p>
      <w:pPr>
        <w:sectPr>
          <w:pgSz w:w="11900" w:h="16838" w:orient="portrait"/>
          <w:cols w:equalWidth="0" w:num="1">
            <w:col w:w="11400"/>
          </w:cols>
          <w:pgMar w:left="240" w:top="131" w:right="259" w:bottom="0" w:gutter="0" w:footer="0" w:header="0"/>
          <w:type w:val="continuous"/>
        </w:sectPr>
      </w:pPr>
    </w:p>
    <w:bookmarkStart w:id="12" w:name="page13"/>
    <w:bookmarkEnd w:id="12"/>
    <w:p>
      <w:pPr>
        <w:spacing w:after="0" w:line="6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expect that for some period of time our capital expenditures will exceed, perhaps significantly, our net cash provided by operating activities. This may require us to obtain additional financing. We may not be able to obtain or to obtain on favorable terms the capital necessary to fund the substantial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Historically, AT&amp;T Broadband Group's capital expenditures significantly exceeded its net cash provided by operations. For the year ended December 31, 2001 and the nine months ended September 30, 2002, AT&amp;T Broadband Group's capital expenditures exceeded its net cash provided by operations by $3.5 billion and $1.5 billion, respectively. In addition, for the year ended December 31, 2001, Comcast Holdings' capital expenditures exceeded its net cash provided by operating activities by $952 million.</w:t>
      </w:r>
    </w:p>
    <w:p>
      <w:pPr>
        <w:spacing w:after="0" w:line="197"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We anticipate that we will upgrade a significant portion of our broadband systems over the coming years and make other capital investments, including with respect to our advanced services. In 2003, we anticipate that the combined Comcast Cable Communications Holdings and Comcast Cable cable systems will incur capital expenditures of approximately $4.2 billion to $4.5 billion. We are expected to incur substantial capital expenditures in the years subsequent to 2003.</w:t>
      </w:r>
    </w:p>
    <w:p>
      <w:pPr>
        <w:spacing w:after="0" w:line="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However, the actual amount of the funds required for capital expenditures cannot be determined with precision at this time. Capital is expected to be used to upgrade and rebuild network systems to expand bandwidth capacity and add two-way capability so that it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9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Comcast Cable Communications Holdings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39"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b w:val="1"/>
          <w:bCs w:val="1"/>
          <w:i w:val="1"/>
          <w:iCs w:val="1"/>
          <w:color w:val="auto"/>
        </w:rPr>
        <w:t>Some of our subsidiaries are subject to long-term exclusive agreements that may limit their future operating flexibility and materially adversely affect our financial results.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Some of the entities formerly attributed to AT&amp;T Broadband Group which are now our subsidiaries are subject to long-term agreements relating to significant aspects of their operations, including long-term agreements for video programming, audio programming, electronic program guides, billing and other services. For example, Comcast Cable Holdings (formerly known as AT&amp;T Broadband, LLC), and AT&amp;T Broadband Group's subsidiary, Satellite Services, Inc., are parties to an affiliation term sheet with Starz Encore Group LLC, an affiliate of Liberty Media, which extends to 2022 and provides for fixed price payments, subject to adjustment for various factors including inflation, and may require Comcast Cable Communications Holdings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Comcast Cable Communications Holdings' systems. Furthermore, a subsidiary of Comcast Cable Communications Holdings is party to an agreement that does not expire until December 31, 2013 under which it purchases certain billing services from CSG Systems, Inc. The price, terms and conditions of the Starz Encore term sheet, the TV Guide agreement and the CSG agreement may not reflect the current market and if one or more of these arrangements continue to apply to Comcast Cable Communications Holdings after completion of the AT&amp;T Comcast transaction, they may materially adversely impact our financial performance.</w:t>
      </w:r>
    </w:p>
    <w:p>
      <w:pPr>
        <w:spacing w:after="0" w:line="18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By letter dated May 29, 2001, AT&amp;T Broadband Group disputed the enforceability of the excess programming pass-through provisions of the Starz Encore term sheet and questioned the validity of the term sheet as a whole. AT&amp;T Broadband Group also has raised certain issues concerning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uncertainty of the provisions of the term sheet and the contractual interpretation and application of certain of its provisions to, among other things, the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disposition of cable systems. In July 2001, Starz Encore Group filed a lawsuit seeking payment of the 2001 excess programming costs and a declaration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sheet is a binding and enforceable contract. In October 2001, AT&amp;T Broadband Group and Starz Encore Group agreed to stay the litigation until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August 31, 2002 to allow the parties time to continue negotiations toward a potential business resolution of this dispute. The court granted the stay on October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2001. The terms of the stay order allow either party to petition the court to lift the stay after April 30, 2002 and to proceed with the litigation. AT&amp;T Broadband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and Starz Encore Group agreed to extend the stay of the litigation and the court extended the stay to and including January 31, 2003, with a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parties attempt to mediate the dispute. The parties have now selected a mediator, with mediation scheduled to proceed in mid-January 2003.</w:t>
      </w:r>
    </w:p>
    <w:p>
      <w:pPr>
        <w:spacing w:after="0" w:line="24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November 18, 2002, Comcast and Comcast Holdings filed suit against Starz Encore Group in the United States District Court for the Eastern District of Pennsylvania. Comcast and Comcast Holdings seek a declaratory judgment that, pursuant to their rights under a March 17, 1999 contract with a predecessor of Starz Encore Group, upon the completion of the AT&amp;T Comcast transaction that contract now provides the terms under which Starz Encore Group programming is acquired and transmitted by the Comcast Cable Communications Holdings' systems. Starz Encore Group has until January 8, 2003 to file a response to this complaint.</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Holdings in federal court located in Denver, Colorado asserting claims related to the Master Agreement and the pending arbitration. On November 4, 2002, CSG withdrew its complaint against Comcast Holdings without prejudice. On November 15, 2002, Comcast, Comcast Holdings, and Comcast Cable initiated a lawsuit against CSG in federal court located in Philadelphia, Pennsylvania. Comcast, Comcast Holdings and Comcast Cable assert that systems owned by Comcast Holdings are not required to use CSG as a billing service or customer care provider pursuant to the Master Agreement, and that systems owned by Comcast Cable Communications Holdings may be added to a billing service agreement between Comcast Cable and CSG. CSG's response to the Complaint is due on December 16, 2002.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ectPr>
          <w:pgSz w:w="11900" w:h="16900" w:orient="portrait"/>
          <w:cols w:equalWidth="0" w:num="1">
            <w:col w:w="11420"/>
          </w:cols>
          <w:pgMar w:left="240" w:top="131" w:right="239" w:bottom="0" w:gutter="0" w:footer="0" w:header="0"/>
        </w:sectPr>
      </w:pPr>
    </w:p>
    <w:bookmarkStart w:id="13" w:name="page14"/>
    <w:bookmarkEnd w:id="13"/>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regulation by federal, state and local governments which may impose costs and restrictions.</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federal, state and local governments extensively regulate the cable communications industry. We expect that court actions and regulatory proceedings will refine the rights and obligations of various parties, including the government, under the Communications Act of 1934, as amended. The results of these judicial and administrative proceedings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40" w:firstLine="172"/>
        <w:spacing w:after="0" w:line="268" w:lineRule="auto"/>
        <w:rPr>
          <w:sz w:val="20"/>
          <w:szCs w:val="20"/>
          <w:color w:val="auto"/>
        </w:rPr>
      </w:pPr>
      <w:r>
        <w:rPr>
          <w:rFonts w:ascii="Arial" w:cs="Arial" w:eastAsia="Arial" w:hAnsi="Arial"/>
          <w:sz w:val="18"/>
          <w:szCs w:val="18"/>
          <w:b w:val="1"/>
          <w:bCs w:val="1"/>
          <w:i w:val="1"/>
          <w:iCs w:val="1"/>
          <w:color w:val="auto"/>
        </w:rPr>
        <w:t>We will be subject to additional regulatory burdens in connection with the provision of telecommunications services, which could cause us to incur additional costs.</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be subject to risks associated with the regulation of our telecommunications services by the Federal Communications Commission, or FCC, and state public utilities commissions, or PUCs. Telecommunications companies, including companies that have the ability to offer telephone services over the Internet, generally are subject to significant regulation. This regulation could materially adversely affect our business operations.</w:t>
      </w:r>
    </w:p>
    <w:p>
      <w:pPr>
        <w:spacing w:after="0" w:line="161" w:lineRule="exact"/>
        <w:rPr>
          <w:sz w:val="20"/>
          <w:szCs w:val="20"/>
          <w:color w:val="auto"/>
        </w:rPr>
      </w:pPr>
    </w:p>
    <w:p>
      <w:pPr>
        <w:ind w:right="80" w:firstLine="172"/>
        <w:spacing w:after="0" w:line="268" w:lineRule="auto"/>
        <w:rPr>
          <w:sz w:val="20"/>
          <w:szCs w:val="20"/>
          <w:color w:val="auto"/>
        </w:rPr>
      </w:pPr>
      <w:r>
        <w:rPr>
          <w:rFonts w:ascii="Arial" w:cs="Arial" w:eastAsia="Arial" w:hAnsi="Arial"/>
          <w:sz w:val="18"/>
          <w:szCs w:val="18"/>
          <w:b w:val="1"/>
          <w:bCs w:val="1"/>
          <w:i w:val="1"/>
          <w:iCs w:val="1"/>
          <w:color w:val="auto"/>
        </w:rPr>
        <w:t>We may face increased competition because of technological advances and new regulatory requirements, which could adversely affect our future results of operations.</w:t>
      </w:r>
    </w:p>
    <w:p>
      <w:pPr>
        <w:spacing w:after="0" w:line="186"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Numerous companies, including telephone companies, have introduced Digital Subscriber Line technology, known as DSL, which provides Internet access to subscribers at data transmission speeds greater than that of modems over conventional telephone lines. We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our business operations.</w:t>
      </w:r>
    </w:p>
    <w:p>
      <w:pPr>
        <w:spacing w:after="0" w:line="15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addition, over the past several years, a number of companies, including telephone companies and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w:t>
      </w:r>
    </w:p>
    <w:p>
      <w:pPr>
        <w:spacing w:after="0" w:line="17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number of cable operators have reached agreements to provide unaffiliated ISPs access to their cable systems in the absence of regulatory requirements. Comcast Holdings reached an "access" agreement with United Online and Comcast Cable Communications Holdings reached an "access" agreement with each of Earthlink, Internet Central, Connected Data Systems, Galaxy Internet Services and Connect Plus International. In connection with Comcast Holdings' and AT&amp;T's agreement with AOL Time Warner providing for the restructuring of Time Warner Entertainment Company L.P., or TWE, Comcast Holdings and Comcast Cable Communications will enter into a three-year non-exclusive access agreement with AOL Time Warner. Under the terms of the exchange agreement that Comcast Holdings and AT&amp;T have executed with Microsoft, now that the AT&amp;T Comcast transaction has been consummated, we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us as part of an industry-wide requirement. Such requirements could have a negative impact on our business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through Comcast Cable Communications Holdings, have substantial economic interests in joint ventures in which we have limited management rights.</w:t>
      </w:r>
    </w:p>
    <w:p>
      <w:pPr>
        <w:spacing w:after="0" w:line="26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 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Comcast Cable Communications Holdings holds a 25% interest through a wholly-owned subsidiary and which as of December 31, 2001 had an aggregate of approximately 775,000 subscribers in the greater Los Angeles, California area), Parnassos Communications, L.P. (in which Comcast Cable Communications Holdings holds a 33.33% interest through a wholly-owned subsidiary) and Western NY Cablevision, L.P. (in which Comcast Cable Communications Holdings holds a 33.33% interest through a wholly-owned subsidiary and which as of December 31, 2001 had, together with Parnassos Communications, L.P., an aggregate of approximately 470,000 subscribers in Buffalo, New York and the surrounding areas). We cannot predict what the outcome of these proceedings will be on any of the partnerships and the proceedings may have a material adverse impact on the partnerships. AT&amp;T Broadband Group recorded an impairment charge through net losses related to equity investments of $143 million, net of taxes of $90 million, in connection with the bankruptcy proceedings of the Adelphia partnerships.</w:t>
      </w:r>
    </w:p>
    <w:p>
      <w:pPr>
        <w:sectPr>
          <w:pgSz w:w="11900" w:h="16892" w:orient="portrait"/>
          <w:cols w:equalWidth="0" w:num="1">
            <w:col w:w="11420"/>
          </w:cols>
          <w:pgMar w:left="240" w:top="131" w:right="239" w:bottom="0" w:gutter="0" w:footer="0" w:header="0"/>
        </w:sectPr>
      </w:pPr>
    </w:p>
    <w:p>
      <w:pPr>
        <w:spacing w:after="0" w:line="177" w:lineRule="exact"/>
        <w:rPr>
          <w:sz w:val="20"/>
          <w:szCs w:val="20"/>
          <w:color w:val="auto"/>
        </w:rPr>
      </w:pPr>
    </w:p>
    <w:p>
      <w:pPr>
        <w:ind w:right="520" w:firstLine="172"/>
        <w:spacing w:after="0" w:line="268" w:lineRule="auto"/>
        <w:rPr>
          <w:sz w:val="20"/>
          <w:szCs w:val="20"/>
          <w:color w:val="auto"/>
        </w:rPr>
      </w:pPr>
      <w:r>
        <w:rPr>
          <w:rFonts w:ascii="Arial" w:cs="Arial" w:eastAsia="Arial" w:hAnsi="Arial"/>
          <w:sz w:val="18"/>
          <w:szCs w:val="18"/>
          <w:b w:val="1"/>
          <w:bCs w:val="1"/>
          <w:i w:val="1"/>
          <w:iCs w:val="1"/>
          <w:color w:val="auto"/>
        </w:rPr>
        <w:t>We, through Comcast Holdings and Comcast Cable Communications Holdings, face risks arising from their and AT&amp;T's relationship with At Home Corporation and UAL Corp.</w:t>
      </w:r>
    </w:p>
    <w:p>
      <w:pPr>
        <w:sectPr>
          <w:pgSz w:w="11900" w:h="16892" w:orient="portrait"/>
          <w:cols w:equalWidth="0" w:num="1">
            <w:col w:w="11420"/>
          </w:cols>
          <w:pgMar w:left="240" w:top="131" w:right="239" w:bottom="0" w:gutter="0" w:footer="0" w:header="0"/>
          <w:type w:val="continuous"/>
        </w:sectPr>
      </w:pPr>
    </w:p>
    <w:bookmarkStart w:id="14" w:name="page15"/>
    <w:bookmarkEnd w:id="14"/>
    <w:p>
      <w:pPr>
        <w:jc w:val="both"/>
        <w:ind w:right="140" w:firstLine="348"/>
        <w:spacing w:after="0" w:line="259" w:lineRule="auto"/>
        <w:rPr>
          <w:sz w:val="20"/>
          <w:szCs w:val="20"/>
          <w:color w:val="auto"/>
        </w:rPr>
      </w:pPr>
      <w:r>
        <w:rPr>
          <w:rFonts w:ascii="Arial" w:cs="Arial" w:eastAsia="Arial" w:hAnsi="Arial"/>
          <w:sz w:val="18"/>
          <w:szCs w:val="18"/>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On May 1, 2002, At Home filed a proposed plan of liquidation pursuant to Chapter 11 of the U.S. Bankruptcy Code, which, as modified on June 18, 2002, among other things,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 On November 7, 2002, a complaint was filed by the bondholders' liquidating trust against AT&amp;T and certain of its senior officers alleging various breaches of fiduciary duties, misappropriation of trade secrets and other causes of action in connection with the transactions in March 2000 described below, and prior and subsequent alleged conduct on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part of the defendants. Any liabilities resulting from this lawsuit would be shared equally between AT&amp;T and Comcast Cable Communications Holdings.</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purported class action lawsuits have been filed in California state court on behalf of At Home shareholders against AT&amp;T, At Home, Comcast Holdings and former directors of At Home. The lawsuits claim that the defendants breached fiduciary obligations of care, candor and loyalty in connection with a transaction announced in March 2000 in which, among other things, AT&amp;T, Cox Communications Inc. and Comcast Holdings agreed to extend existing distribution agreements, the At Home Board was reorganized, and AT&amp;T agreed to give Cox and Comcast Holdings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order remains subject to appeal. The liability for these lawsuits would be shared equally between AT&amp;T and Comcast Cable Communications Holdings.</w:t>
      </w:r>
    </w:p>
    <w:p>
      <w:pPr>
        <w:spacing w:after="0" w:line="172"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On September 23, 2002, the Official Committee of Unsecured Bondholders of At Home filed suit in the United States District Court for the District of Delaware against Comcast Holdings, Cox, Brian L. Roberts in his capacity as a director of At Home, and other corporate and individual defendants. The complaint seeks alleged "short-swing" profits under Section 16(b) of the Securities Exchange Act of 1934 in connection with At Home put options Comcast Holdings and Cox entered into with AT&amp;T. The complaint alleges a total of at least $600 million in damages in the aggregate from Comcast Holdings and Cox in connection with this claim. The complaint also seeks damages in an unspecified amount for alleged breaches of fiduciary duty by the defendants in connection with transactions entered into among AT&amp;T, At Home, Comcast Holdings and Cox. We believe this suit is without merit and intend to vigorously defend ourselves in the action.</w:t>
      </w:r>
    </w:p>
    <w:p>
      <w:pPr>
        <w:spacing w:after="0" w:line="20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March 2002, three purported class actions were filed in the United States District Court for the Southern District of New York against, among others, AT&amp;T and certain of its senior officers alleging violations of the federal securities laws in connection with disclosures made by At Home in the period from March 28, 2000 through August 28, 2001. These actions have been consolidated. On November 8, 2002, a consolidated class action complaint was filed in this action. Any liabilities resulting from this lawsuit would be shared equally between AT&amp;T and Comcast Cable Communications Holdings.</w:t>
      </w:r>
    </w:p>
    <w:p>
      <w:pPr>
        <w:spacing w:after="0" w:line="16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part of a portfolio of lease and project financing assets Comcast Cable Communications Holdings assumed in connection with the acquisition of Comcast MO Group, Comcast Cable Communications Holdings is the lessor of some airplanes under leveraged leases to UAL Corp. and US Airways Group. Under a leveraged lease, the assets are secured with debt, which is non-recourse to Comcast Cable Communications Holdings. US Airways filed for Chapter 11 bankruptcy protection on August 11, 2002 and UAL Corp. filed for Chapter 11 bankruptcy protection on December 9, 2002. In connection with their respective bankruptcy filings, each of US Airways and UAL Corp. can reject or reaffirm its leases. In connection with its bankruptcy filing, US Airways rejected its leases with AT&amp;T Broadband Group. AT&amp;T Broadband Group recorded an after-tax loss of approximately $39 million on such leases during the third quarter of 2002. We do not know if the leases with UAL Corp. will be rejected or reaffirmed. If the leases are rejected and the non-recourse debt holder forecloses on the assets, Comcast Cable Communications Holdings could incur an after-tax loss of approximately $33 million (based on September 30, 2002 balances).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indentures do not restrict our ability to incur additional indebtedness, which could make our debt securities more risky in the future.</w:t>
      </w:r>
    </w:p>
    <w:p>
      <w:pPr>
        <w:spacing w:after="0" w:line="254"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September 30, 2002, our pro forma consolidated indebtedness was approximately $32.5 billion, of which $25.3 billion was issued by our subsidiaries and was senior to debt obligations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Comcast Corporation. As of September 30, 2002, our pro forma consolidated stockholders' equity was approximately $38.5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208" w:lineRule="exact"/>
        <w:rPr>
          <w:sz w:val="20"/>
          <w:szCs w:val="20"/>
          <w:color w:val="auto"/>
        </w:rPr>
      </w:pPr>
    </w:p>
    <w:p>
      <w:pPr>
        <w:ind w:left="1080" w:right="32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any necessary financing in the future for working capital, capital expenditures, debt service requirements or other purposes;</w:t>
      </w:r>
    </w:p>
    <w:p>
      <w:pPr>
        <w:spacing w:after="0" w:line="21" w:lineRule="exact"/>
        <w:rPr>
          <w:rFonts w:ascii="Arial" w:cs="Arial" w:eastAsia="Arial" w:hAnsi="Arial"/>
          <w:sz w:val="18"/>
          <w:szCs w:val="18"/>
          <w:color w:val="auto"/>
        </w:rPr>
      </w:pPr>
    </w:p>
    <w:p>
      <w:pPr>
        <w:ind w:left="1080" w:right="6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are offering may not develop an active public market, which could depress the resale price of the securities.</w:t>
      </w:r>
    </w:p>
    <w:p>
      <w:pPr>
        <w:sectPr>
          <w:pgSz w:w="11900" w:h="16838" w:orient="portrait"/>
          <w:cols w:equalWidth="0" w:num="1">
            <w:col w:w="11400"/>
          </w:cols>
          <w:pgMar w:left="240" w:top="131" w:right="259" w:bottom="0" w:gutter="0" w:footer="0" w:header="0"/>
        </w:sectPr>
      </w:pPr>
    </w:p>
    <w:bookmarkStart w:id="15" w:name="page16"/>
    <w:bookmarkEnd w:id="15"/>
    <w:p>
      <w:pPr>
        <w:spacing w:after="0" w:line="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37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businesses may be affected by, among other things:</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consolidation and mergers;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franchise-related matters;</w:t>
      </w:r>
    </w:p>
    <w:p>
      <w:pPr>
        <w:spacing w:after="0" w:line="22" w:lineRule="exact"/>
        <w:rPr>
          <w:rFonts w:ascii="Arial" w:cs="Arial" w:eastAsia="Arial" w:hAnsi="Arial"/>
          <w:sz w:val="18"/>
          <w:szCs w:val="18"/>
          <w:color w:val="auto"/>
        </w:rPr>
      </w:pPr>
    </w:p>
    <w:p>
      <w:pPr>
        <w:ind w:left="1080" w:right="660" w:hanging="532"/>
        <w:spacing w:after="0" w:line="25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that may adversely affect the availability of debt and equity financing for working capital, capital expenditures or other purposes;</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the programming content we distribute or the willingness of other video program providers to carry our content;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420" w:firstLine="348"/>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RATIOS OF EARNINGS TO FIXED CHARGES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For the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23"/>
                <w:szCs w:val="23"/>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8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1998</w:t>
            </w:r>
          </w:p>
        </w:tc>
        <w:tc>
          <w:tcPr>
            <w:tcW w:w="100" w:type="dxa"/>
            <w:vAlign w:val="bottom"/>
          </w:tcPr>
          <w:p>
            <w:pPr>
              <w:spacing w:after="0"/>
              <w:rPr>
                <w:sz w:val="23"/>
                <w:szCs w:val="23"/>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1997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Comcast(a)</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1.03x</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2.20x</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5.93x</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3.30x</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Comcast Cable(b)</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2.35x</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(c)</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1.76x</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(c)</w:t>
            </w: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(c)</w:t>
            </w:r>
          </w:p>
        </w:tc>
        <w:tc>
          <w:tcPr>
            <w:tcW w:w="800" w:type="dxa"/>
            <w:vAlign w:val="bottom"/>
          </w:tcPr>
          <w:p>
            <w:pPr>
              <w:jc w:val="right"/>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Cable Communications Holdings(d)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Comcast Cable Holdings(f)</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(g)</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(g)</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MO Group(f)</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2.53x</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4.96x</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(h)</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-1103630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-1103630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-1103630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-1103630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-854710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-854710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-854710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-854710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-854710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-854710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-854710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-854710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-854710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-854710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-854710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00" w:hanging="532"/>
        <w:spacing w:after="0" w:line="29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changes, minority interest, equity in net (income) losses of affiliates and fixed charges. Fixed charges consist of interest expense and capitalized interest.</w:t>
      </w:r>
    </w:p>
    <w:p>
      <w:pPr>
        <w:spacing w:after="0" w:line="183" w:lineRule="exact"/>
        <w:rPr>
          <w:rFonts w:ascii="Arial" w:cs="Arial" w:eastAsia="Arial" w:hAnsi="Arial"/>
          <w:sz w:val="16"/>
          <w:szCs w:val="16"/>
          <w:color w:val="auto"/>
        </w:rPr>
      </w:pPr>
    </w:p>
    <w:p>
      <w:pPr>
        <w:ind w:left="540" w:right="20" w:hanging="532"/>
        <w:spacing w:after="0" w:line="29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purposes of Comcast Cable's ratio of earnings to fixed charges, earnings consist of income (loss) from continuing operations before income taxes, cumulative effect of accounting changes, minority interest, equity in net (income) losses of affiliates and fixed charges. Fixed charges consist of interest expense and interest expense on notes payable to affiliates. As described in Note 2 to Comcast Cable's unaudited condensed consolidated financial statements for the quarter ended September 30, 2002, which are incorporated herein by reference, Comcast Cable adopted the provisions of SFAS No. 145 on April 1, 2002. In connection with the adoption of SFAS No. 145, amounts previously reported net of taxes as extraordinary items have been reclassified to interest expense and income taxes. The table above includes reclassifications of interest expense of $10.9 million, $9.5 million, $0.2 million and $25.7 million for the years ended December 31, 2000, 1999, 1998 and 1997, respectively.</w:t>
      </w:r>
    </w:p>
    <w:p>
      <w:pPr>
        <w:spacing w:after="0" w:line="172" w:lineRule="exact"/>
        <w:rPr>
          <w:sz w:val="20"/>
          <w:szCs w:val="20"/>
          <w:color w:val="auto"/>
        </w:rPr>
      </w:pPr>
    </w:p>
    <w:p>
      <w:pPr>
        <w:ind w:left="540" w:right="240" w:firstLine="351"/>
        <w:spacing w:after="0" w:line="294" w:lineRule="auto"/>
        <w:rPr>
          <w:sz w:val="20"/>
          <w:szCs w:val="20"/>
          <w:color w:val="auto"/>
        </w:rPr>
      </w:pPr>
      <w:r>
        <w:rPr>
          <w:rFonts w:ascii="Arial" w:cs="Arial" w:eastAsia="Arial" w:hAnsi="Arial"/>
          <w:sz w:val="16"/>
          <w:szCs w:val="16"/>
          <w:color w:val="auto"/>
        </w:rPr>
        <w:t>In addition, as described in Note 2 to Comcast Cable's unaudited condensed consolidated financial statements for the quarter ended September 30, 2002, which are incorporated herein by reference, Comcast Cable adopted EITF 01-14 effective January 1, 2002. Upon adoption, Comcast Cable reclassified franchise fees collected from cable subscribers from a reduction of selling, general and administrative expenses to a component of service revenues in its consolidated statement of operations. The impact of adopting EITF 01-14 was to increase service revenues and selling, general and administrative expenses by $189.4 million, $149.9 million, $103.4 million,</w:t>
      </w:r>
    </w:p>
    <w:p>
      <w:pPr>
        <w:sectPr>
          <w:pgSz w:w="11900" w:h="16843" w:orient="portrait"/>
          <w:cols w:equalWidth="0" w:num="1">
            <w:col w:w="11420"/>
          </w:cols>
          <w:pgMar w:left="240" w:top="13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43" w:orient="portrait"/>
          <w:cols w:equalWidth="0" w:num="1">
            <w:col w:w="11420"/>
          </w:cols>
          <w:pgMar w:left="240" w:top="131" w:right="239" w:bottom="0" w:gutter="0" w:footer="0" w:header="0"/>
          <w:type w:val="continuous"/>
        </w:sectPr>
      </w:pPr>
    </w:p>
    <w:bookmarkStart w:id="16" w:name="page17"/>
    <w:bookmarkEnd w:id="16"/>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right="140"/>
        <w:spacing w:after="0" w:line="268" w:lineRule="auto"/>
        <w:rPr>
          <w:sz w:val="20"/>
          <w:szCs w:val="20"/>
          <w:color w:val="auto"/>
        </w:rPr>
      </w:pPr>
      <w:r>
        <w:rPr>
          <w:rFonts w:ascii="Arial" w:cs="Arial" w:eastAsia="Arial" w:hAnsi="Arial"/>
          <w:sz w:val="18"/>
          <w:szCs w:val="18"/>
          <w:color w:val="auto"/>
        </w:rPr>
        <w:t>$94.7 million and $72.8 million for the years ended December 31, 2001, 2000, 1999, 1998 and 1997, respectively. This reclassification had no impact on Comcast Cable's reported operating income (loss) or financial condition.</w:t>
      </w:r>
    </w:p>
    <w:p>
      <w:pPr>
        <w:spacing w:after="0" w:line="199" w:lineRule="exact"/>
        <w:rPr>
          <w:sz w:val="20"/>
          <w:szCs w:val="20"/>
          <w:color w:val="auto"/>
        </w:rPr>
      </w:pPr>
    </w:p>
    <w:p>
      <w:pPr>
        <w:ind w:left="540" w:right="28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years ended December 31, 2001, 1999, 1998 and 1997, Comcast Cable's earnings, as defined above, were inadequate to cover fixed charges by $390.0 million, $408.7 million, $149.8 million and $202.4 million, respectively.</w:t>
      </w:r>
    </w:p>
    <w:p>
      <w:pPr>
        <w:spacing w:after="0" w:line="212" w:lineRule="exact"/>
        <w:rPr>
          <w:rFonts w:ascii="Arial" w:cs="Arial" w:eastAsia="Arial" w:hAnsi="Arial"/>
          <w:sz w:val="18"/>
          <w:szCs w:val="18"/>
          <w:color w:val="auto"/>
        </w:rPr>
      </w:pPr>
    </w:p>
    <w:p>
      <w:pPr>
        <w:ind w:left="540" w:right="20" w:hanging="532"/>
        <w:spacing w:after="0" w:line="289"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From its date of inception on December 14, 2001 through September 30, 2002, Comcast Cable Communications Holdings had no operations. On November 18, 2002, AT&amp;T contributed its broadband communications business, referred to as the AT&amp;T Broadband Group in this prospectus, to Comcast Cable Communications Holdings. Because AT&amp;T Broadband Group is the predecessor of Comcast Cable Communications Holdings, Comcast Cable Communications Holdings' historical ratios are the same as AT&amp;T Broadband Group's historical ratios. For the purpose of calculating the ratio of earnings to fixed charges, earnings is calculated by adding fixed charges excluding capitalized interest to income from continuing operations before income taxes, and by adding distributions of less-than-fifty-percent-owned affiliates. By fixed charges we mean total interest, including capitalized interest, dividend requirements on preferred stock and interest on trust preferred securities and a portion of rentals, which we believe is representative of the interest factor of our rental expense, as applicable.</w:t>
      </w:r>
    </w:p>
    <w:p>
      <w:pPr>
        <w:spacing w:after="0" w:line="185" w:lineRule="exact"/>
        <w:rPr>
          <w:rFonts w:ascii="Arial" w:cs="Arial" w:eastAsia="Arial" w:hAnsi="Arial"/>
          <w:sz w:val="16"/>
          <w:szCs w:val="16"/>
          <w:color w:val="auto"/>
        </w:rPr>
      </w:pPr>
    </w:p>
    <w:p>
      <w:pPr>
        <w:ind w:left="540" w:right="40" w:hanging="532"/>
        <w:spacing w:after="0" w:line="306"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Comcast Cable Communications Holdings' loss for the nine months ended September 30, 2002, the years ended December 31, 2001 and 2000, and the ten month period ended December 31, 1999 was inadequate to cover fixed charges, dividend requirements on subsidiary preferred stock and interest on trust preferred securities in the amount of $19.2 billion, $9.2 billion, $10.4 billion and $2.0 billion, respectively.</w:t>
      </w:r>
    </w:p>
    <w:p>
      <w:pPr>
        <w:spacing w:after="0" w:line="174" w:lineRule="exact"/>
        <w:rPr>
          <w:rFonts w:ascii="Arial" w:cs="Arial" w:eastAsia="Arial" w:hAnsi="Arial"/>
          <w:sz w:val="16"/>
          <w:szCs w:val="16"/>
          <w:color w:val="auto"/>
        </w:rPr>
      </w:pPr>
    </w:p>
    <w:p>
      <w:pPr>
        <w:ind w:left="540" w:right="200" w:hanging="532"/>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purpose of Comcast Cable Holdings' and Comcast MO Group's ratio of earnings to fixed charges, earnings is calculated by adding fixed charges excluding capitalized interest to income from continuing operations before income taxes, and by adding distributions of less-than-fifty-percent-owned affiliates. Fixed charges consist of total interest, including capitalized interest, dividend requirements on preferred stock and interest on trust preferred securities and a portion of rentals, which Comcast Cable Holdings and Comcast MO Group believe is representative of the interest factor of their rental expense, as applicable.</w:t>
      </w:r>
    </w:p>
    <w:p>
      <w:pPr>
        <w:spacing w:after="0" w:line="223" w:lineRule="exact"/>
        <w:rPr>
          <w:rFonts w:ascii="Arial" w:cs="Arial" w:eastAsia="Arial" w:hAnsi="Arial"/>
          <w:sz w:val="18"/>
          <w:szCs w:val="18"/>
          <w:color w:val="auto"/>
        </w:rPr>
      </w:pPr>
    </w:p>
    <w:p>
      <w:pPr>
        <w:jc w:val="both"/>
        <w:ind w:left="540" w:right="300" w:hanging="532"/>
        <w:spacing w:after="0" w:line="370"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Comcast Cable Holdings' loss for the nine months ended September 30, 2002, the years ended December 31, 2001 and 2000, and the ten month period ended December 31, 1999 was inadequate to cover fixed charges in the amount of $1.1 billion, $1.5 billion, $1.9 billion and $1.3 billion, respectively.</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Comcast MO Group's loss for the period ended December 31, 2000 was inadequate to cover fixed charges in the amount of $0.4 billion.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RATIO OF EARNINGS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FIXED CHARGES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8"/>
              </w:rPr>
              <w:t>For the Nine</w:t>
            </w: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5"/>
              </w:rPr>
              <w:t>September 30, 2002</w:t>
            </w:r>
          </w:p>
        </w:tc>
        <w:tc>
          <w:tcPr>
            <w:tcW w:w="2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-306070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-306070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-306070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-306070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60" w:hanging="532"/>
        <w:spacing w:after="0" w:line="256"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calculating our pro forma ratio of earnings to fixed charges, earnings consist of income (loss) before income taxes, extraordinary items, cumulative effect of accounting change, minority interest, equity in net (income) losses of affiliates and fixed charges. Fixed charges consist of interest expense. For the nine months ended September 30, 2002 and for the year ended December 31, 2001, earning as defined above, were inadequate to cover fixed charges by $19.1 billion and $6.0 billion, respectively.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PREFERRED DIVIDENDS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Historical</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w w:val="88"/>
              </w:rPr>
              <w:t>For the Nine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For the Year</w:t>
            </w:r>
          </w:p>
        </w:tc>
        <w:tc>
          <w:tcPr>
            <w:tcW w:w="2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For the Nine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vMerge w:val="restart"/>
          </w:tcPr>
          <w:p>
            <w:pPr>
              <w:jc w:val="right"/>
              <w:ind w:right="242"/>
              <w:spacing w:after="0"/>
              <w:rPr>
                <w:sz w:val="20"/>
                <w:szCs w:val="20"/>
                <w:color w:val="auto"/>
              </w:rPr>
            </w:pPr>
            <w:r>
              <w:rPr>
                <w:rFonts w:ascii="Arial" w:cs="Arial" w:eastAsia="Arial" w:hAnsi="Arial"/>
                <w:sz w:val="14"/>
                <w:szCs w:val="14"/>
                <w:b w:val="1"/>
                <w:bCs w:val="1"/>
                <w:color w:val="auto"/>
                <w:w w:val="93"/>
              </w:rPr>
              <w:t>For the Years Ended December 31,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vMerge w:val="restart"/>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6"/>
                <w:szCs w:val="6"/>
                <w:color w:val="auto"/>
              </w:rPr>
            </w:pPr>
          </w:p>
        </w:tc>
        <w:tc>
          <w:tcPr>
            <w:tcW w:w="1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83"/>
              </w:rPr>
              <w:t>2002</w:t>
            </w:r>
          </w:p>
        </w:tc>
        <w:tc>
          <w:tcPr>
            <w:tcW w:w="19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83"/>
              </w:rPr>
              <w:t>2001</w:t>
            </w:r>
          </w:p>
        </w:tc>
        <w:tc>
          <w:tcPr>
            <w:tcW w:w="17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3"/>
              </w:rPr>
              <w:t>2002</w:t>
            </w: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680" w:type="dxa"/>
            <w:vAlign w:val="bottom"/>
          </w:tcPr>
          <w:p>
            <w:pPr>
              <w:jc w:val="right"/>
              <w:ind w:right="127"/>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680" w:type="dxa"/>
            <w:vAlign w:val="bottom"/>
          </w:tcPr>
          <w:p>
            <w:pPr>
              <w:jc w:val="right"/>
              <w:ind w:right="122"/>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680" w:type="dxa"/>
            <w:vAlign w:val="bottom"/>
          </w:tcPr>
          <w:p>
            <w:pPr>
              <w:jc w:val="right"/>
              <w:ind w:right="122"/>
              <w:spacing w:after="0"/>
              <w:rPr>
                <w:sz w:val="20"/>
                <w:szCs w:val="20"/>
                <w:color w:val="auto"/>
              </w:rPr>
            </w:pPr>
            <w:r>
              <w:rPr>
                <w:rFonts w:ascii="Arial" w:cs="Arial" w:eastAsia="Arial" w:hAnsi="Arial"/>
                <w:sz w:val="14"/>
                <w:szCs w:val="14"/>
                <w:b w:val="1"/>
                <w:bCs w:val="1"/>
                <w:color w:val="auto"/>
              </w:rPr>
              <w:t>1998</w:t>
            </w:r>
          </w:p>
        </w:tc>
        <w:tc>
          <w:tcPr>
            <w:tcW w:w="7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1997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w:t>
            </w:r>
          </w:p>
        </w:tc>
        <w:tc>
          <w:tcPr>
            <w:tcW w:w="1200" w:type="dxa"/>
            <w:vAlign w:val="bottom"/>
            <w:shd w:val="clear" w:color="auto" w:fill="CCEEFF"/>
          </w:tcPr>
          <w:p>
            <w:pPr>
              <w:jc w:val="center"/>
              <w:ind w:left="208"/>
              <w:spacing w:after="0"/>
              <w:rPr>
                <w:sz w:val="20"/>
                <w:szCs w:val="20"/>
                <w:color w:val="auto"/>
              </w:rPr>
            </w:pPr>
            <w:r>
              <w:rPr>
                <w:rFonts w:ascii="Arial" w:cs="Arial" w:eastAsia="Arial" w:hAnsi="Arial"/>
                <w:sz w:val="18"/>
                <w:szCs w:val="18"/>
                <w:color w:val="auto"/>
                <w:w w:val="95"/>
              </w:rPr>
              <w:t>(k)</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(k)</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6"/>
              </w:rPr>
              <w:t>1.03x</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2.20x</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5.77x</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3.20x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5.11x</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-897890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-897890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-897890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-897890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-306070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-306070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-306070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-306070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-306070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-306070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-306070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-306070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-306070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-306070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-306070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-306070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-306070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-306070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-306070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100" w:hanging="532"/>
        <w:spacing w:after="0" w:line="294"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purposes of calculating our pro forma and historical ratios of earnings to combined fixed charges and preferred dividends, earnings consist of income (loss) before income taxes, extraordinary items, cumulative effect of accounting change, minority interest, equity in net (income) losses of affiliate and combined fixed charges and preferred dividends. Combined fixed charges and preferred dividends consist of interest expense, capitalized interest and preferred dividends. For the nine months ended September 30, 2002 and for the year ended December 31, 2001, earnings, as defined above, were inadequate to cover fixed charges by $19.1 billion and $6.0 billion,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SENIOR DEBT SECURITIES, SUBORDINATED DEBT SECURITIES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CABLE GUARANTEES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262" w:lineRule="exact"/>
        <w:rPr>
          <w:sz w:val="20"/>
          <w:szCs w:val="20"/>
          <w:color w:val="auto"/>
        </w:rPr>
      </w:pPr>
    </w:p>
    <w:p>
      <w:pPr>
        <w:ind w:left="1080" w:right="3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to be entered into among us, the cable guarantors and The Bank of New York, as trustee; and</w:t>
      </w:r>
    </w:p>
    <w:p>
      <w:pPr>
        <w:sectPr>
          <w:pgSz w:w="11900" w:h="16906" w:orient="portrait"/>
          <w:cols w:equalWidth="0" w:num="1">
            <w:col w:w="11420"/>
          </w:cols>
          <w:pgMar w:left="240" w:top="374" w:right="239" w:bottom="0" w:gutter="0" w:footer="0" w:header="0"/>
        </w:sectPr>
      </w:pPr>
    </w:p>
    <w:bookmarkStart w:id="17" w:name="page18"/>
    <w:bookmarkEnd w:id="17"/>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186"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senior indenture and the subordinated indenture will be substantially in the form included as exhibits to the registration statement of which this prospectus is a part.</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 Warrants," "Description of Common Stock," "Description of Purchase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Contracts" and "Description of Units," the terms "we," "us" and "our" mean Comcast Corporation only, and not subsidiaries of Comcast Corporation.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existing indentures require them to maintain financial ratios and cash flow levels and contain restrictions on their ability to make dividend payments, pay management fees and make advances to affiliated entities, including us. Our indentures will not limit our subsidiaries' ability to enter into other agreements that prohibit or restrict dividends or other payments or advances to us.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252"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238"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 and</w:t>
      </w:r>
    </w:p>
    <w:p>
      <w:pPr>
        <w:sectPr>
          <w:pgSz w:w="11900" w:h="16838" w:orient="portrait"/>
          <w:cols w:equalWidth="0" w:num="1">
            <w:col w:w="11420"/>
          </w:cols>
          <w:pgMar w:left="240" w:top="361" w:right="239" w:bottom="0" w:gutter="0" w:footer="0" w:header="0"/>
        </w:sectPr>
      </w:pPr>
    </w:p>
    <w:bookmarkStart w:id="18" w:name="page19"/>
    <w:bookmarkEnd w:id="18"/>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86"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52" w:lineRule="exact"/>
        <w:rPr>
          <w:sz w:val="20"/>
          <w:szCs w:val="20"/>
          <w:color w:val="auto"/>
        </w:rPr>
      </w:pPr>
    </w:p>
    <w:p>
      <w:pPr>
        <w:ind w:left="1080" w:right="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and the cable guarantors will agree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9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senior indenture will not contain any financial covenants other than those summarized below and will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right="200" w:hanging="532"/>
        <w:spacing w:after="0" w:line="268"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99" w:lineRule="exact"/>
        <w:rPr>
          <w:rFonts w:ascii="Arial" w:cs="Arial" w:eastAsia="Arial" w:hAnsi="Arial"/>
          <w:sz w:val="18"/>
          <w:szCs w:val="18"/>
          <w:color w:val="auto"/>
        </w:rPr>
      </w:pPr>
    </w:p>
    <w:p>
      <w:pPr>
        <w:ind w:left="1620" w:right="620" w:hanging="532"/>
        <w:spacing w:after="0" w:line="268"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ectPr>
          <w:pgSz w:w="11900" w:h="16838" w:orient="portrait"/>
          <w:cols w:equalWidth="0" w:num="1">
            <w:col w:w="11420"/>
          </w:cols>
          <w:pgMar w:left="240" w:top="145" w:right="239" w:bottom="0" w:gutter="0" w:footer="0" w:header="0"/>
        </w:sectPr>
      </w:pPr>
    </w:p>
    <w:bookmarkStart w:id="19" w:name="page20"/>
    <w:bookmarkEnd w:id="19"/>
    <w:p>
      <w:pPr>
        <w:spacing w:after="0" w:line="2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80"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6"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other ownership interests, whether now outstanding or issued after the date of hereof, including, without limitation, all common stock and preferred stock.</w:t>
      </w:r>
    </w:p>
    <w:p>
      <w:pPr>
        <w:spacing w:after="0" w:line="242"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93" w:lineRule="exact"/>
        <w:rPr>
          <w:sz w:val="20"/>
          <w:szCs w:val="20"/>
          <w:color w:val="auto"/>
        </w:rPr>
      </w:pPr>
    </w:p>
    <w:p>
      <w:pPr>
        <w:ind w:right="22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48" w:lineRule="exact"/>
        <w:rPr>
          <w:sz w:val="20"/>
          <w:szCs w:val="20"/>
          <w:color w:val="auto"/>
        </w:rPr>
      </w:pPr>
    </w:p>
    <w:p>
      <w:pPr>
        <w:ind w:left="1080" w:right="6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"Guarantee" used as a verb has a corresponding meaning.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245"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261"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other persons Guaranteed by such person to the extent such Indebtedness is Guaranteed by such person;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53" w:lineRule="exact"/>
        <w:rPr>
          <w:sz w:val="20"/>
          <w:szCs w:val="20"/>
          <w:color w:val="auto"/>
        </w:rPr>
      </w:pPr>
    </w:p>
    <w:p>
      <w:pPr>
        <w:ind w:left="1080" w:right="220" w:hanging="532"/>
        <w:spacing w:after="0" w:line="370"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ectPr>
          <w:pgSz w:w="11900" w:h="16867" w:orient="portrait"/>
          <w:cols w:equalWidth="0" w:num="1">
            <w:col w:w="11400"/>
          </w:cols>
          <w:pgMar w:left="240" w:top="131" w:right="259" w:bottom="0" w:gutter="0" w:footer="0" w:header="0"/>
        </w:sectPr>
      </w:pPr>
    </w:p>
    <w:bookmarkStart w:id="20" w:name="page21"/>
    <w:bookmarkEnd w:id="20"/>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219"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6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25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238"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199"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9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197"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senior indenture will restrict our ability to consolidate with, merge with or into, or sell, convey,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197" w:lineRule="exact"/>
        <w:rPr>
          <w:sz w:val="20"/>
          <w:szCs w:val="20"/>
          <w:color w:val="auto"/>
        </w:rPr>
      </w:pPr>
    </w:p>
    <w:p>
      <w:pPr>
        <w:ind w:left="1080" w:right="440" w:hanging="532"/>
        <w:spacing w:after="0" w:line="298"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238"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the state of incorporation of such party; and provided further that any such transaction shall not have as one of its purposes the evasion of the foregoing limitations.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ectPr>
          <w:pgSz w:w="11900" w:h="16838" w:orient="portrait"/>
          <w:cols w:equalWidth="0" w:num="1">
            <w:col w:w="11400"/>
          </w:cols>
          <w:pgMar w:left="240" w:top="361" w:right="259" w:bottom="135" w:gutter="0" w:footer="0" w:header="0"/>
        </w:sectPr>
      </w:pPr>
    </w:p>
    <w:bookmarkStart w:id="21" w:name="page22"/>
    <w:bookmarkEnd w:id="21"/>
    <w:p>
      <w:pPr>
        <w:jc w:val="both"/>
        <w:ind w:firstLine="348"/>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and Comcast MO Group, in each case excluding such entity's subsidiaries.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225" w:lineRule="exact"/>
        <w:rPr>
          <w:sz w:val="20"/>
          <w:szCs w:val="20"/>
          <w:color w:val="auto"/>
        </w:rPr>
      </w:pPr>
    </w:p>
    <w:p>
      <w:pPr>
        <w:ind w:right="300" w:firstLine="359"/>
        <w:spacing w:after="0" w:line="268" w:lineRule="auto"/>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on the senior debt securities of such series when the same becomes due and payable whether at maturity, upon acceleration, redemption or otherwise;</w:t>
      </w:r>
    </w:p>
    <w:p>
      <w:pPr>
        <w:spacing w:after="0" w:line="185" w:lineRule="exact"/>
        <w:rPr>
          <w:rFonts w:ascii="Arial" w:cs="Arial" w:eastAsia="Arial" w:hAnsi="Arial"/>
          <w:sz w:val="18"/>
          <w:szCs w:val="18"/>
          <w:color w:val="auto"/>
        </w:rPr>
      </w:pPr>
    </w:p>
    <w:p>
      <w:pPr>
        <w:ind w:right="240" w:firstLine="359"/>
        <w:spacing w:after="0" w:line="268" w:lineRule="auto"/>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85" w:lineRule="exact"/>
        <w:rPr>
          <w:rFonts w:ascii="Arial" w:cs="Arial" w:eastAsia="Arial" w:hAnsi="Arial"/>
          <w:sz w:val="18"/>
          <w:szCs w:val="18"/>
          <w:color w:val="auto"/>
        </w:rPr>
      </w:pPr>
    </w:p>
    <w:p>
      <w:pPr>
        <w:jc w:val="both"/>
        <w:ind w:right="160" w:firstLine="359"/>
        <w:spacing w:after="0" w:line="335" w:lineRule="auto"/>
        <w:tabs>
          <w:tab w:leader="none" w:pos="644"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42" w:lineRule="exact"/>
        <w:rPr>
          <w:rFonts w:ascii="Arial" w:cs="Arial" w:eastAsia="Arial" w:hAnsi="Arial"/>
          <w:sz w:val="15"/>
          <w:szCs w:val="15"/>
          <w:color w:val="auto"/>
        </w:rPr>
      </w:pPr>
    </w:p>
    <w:p>
      <w:pPr>
        <w:ind w:left="660" w:hanging="301"/>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any Obligor for any substantial part of such party's property and assets;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such decree or order shall remain unstayed and in effect for a period of 180 consecutive days; or</w:t>
      </w:r>
    </w:p>
    <w:p>
      <w:pPr>
        <w:spacing w:after="0" w:line="225" w:lineRule="exact"/>
        <w:rPr>
          <w:sz w:val="20"/>
          <w:szCs w:val="20"/>
          <w:color w:val="auto"/>
        </w:rPr>
      </w:pPr>
    </w:p>
    <w:p>
      <w:pPr>
        <w:ind w:left="660" w:hanging="30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 to the entry of an order for relief in an involuntary case under any such law;</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ectPr>
          <w:pgSz w:w="11900" w:h="16838" w:orient="portrait"/>
          <w:cols w:equalWidth="0" w:num="1">
            <w:col w:w="11420"/>
          </w:cols>
          <w:pgMar w:left="240" w:top="131" w:right="239" w:bottom="0" w:gutter="0" w:footer="0" w:header="0"/>
        </w:sectPr>
      </w:pPr>
    </w:p>
    <w:bookmarkStart w:id="22" w:name="page23"/>
    <w:bookmarkEnd w:id="22"/>
    <w:p>
      <w:pPr>
        <w:ind w:firstLine="348"/>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18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senior indenture will require certain of our officers to certify, on or before a date not more than 120 days after the end of each fiscal year, as to their knowledge of our compliance with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conditions and covenants under the senior indenture, such compliance to be determined without regard to any period of grace or requirement of notice provided under the senior indenture.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199" w:lineRule="exact"/>
        <w:rPr>
          <w:sz w:val="20"/>
          <w:szCs w:val="20"/>
          <w:color w:val="auto"/>
        </w:rPr>
      </w:pPr>
    </w:p>
    <w:p>
      <w:pPr>
        <w:ind w:left="1080" w:right="2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200" w:hanging="532"/>
        <w:spacing w:after="0" w:line="314" w:lineRule="auto"/>
        <w:tabs>
          <w:tab w:leader="none" w:pos="1620" w:val="left"/>
        </w:tabs>
        <w:numPr>
          <w:ilvl w:val="1"/>
          <w:numId w:val="33"/>
        </w:numPr>
        <w:rPr>
          <w:rFonts w:ascii="Arial" w:cs="Arial" w:eastAsia="Arial" w:hAnsi="Arial"/>
          <w:sz w:val="15"/>
          <w:szCs w:val="15"/>
          <w:color w:val="auto"/>
        </w:rPr>
      </w:pPr>
      <w:r>
        <w:rPr>
          <w:rFonts w:ascii="Arial" w:cs="Arial" w:eastAsia="Arial" w:hAnsi="Arial"/>
          <w:sz w:val="15"/>
          <w:szCs w:val="15"/>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172" w:lineRule="exact"/>
        <w:rPr>
          <w:rFonts w:ascii="Arial" w:cs="Arial" w:eastAsia="Arial" w:hAnsi="Arial"/>
          <w:sz w:val="15"/>
          <w:szCs w:val="15"/>
          <w:color w:val="auto"/>
        </w:rPr>
      </w:pPr>
    </w:p>
    <w:p>
      <w:pPr>
        <w:ind w:left="1620" w:right="100" w:hanging="532"/>
        <w:spacing w:after="0" w:line="259"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239" w:lineRule="exact"/>
        <w:rPr>
          <w:sz w:val="20"/>
          <w:szCs w:val="20"/>
          <w:color w:val="auto"/>
        </w:rPr>
      </w:pPr>
    </w:p>
    <w:p>
      <w:pPr>
        <w:ind w:left="1080" w:right="140" w:hanging="532"/>
        <w:spacing w:after="0" w:line="370"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ectPr>
          <w:pgSz w:w="11900" w:h="16838" w:orient="portrait"/>
          <w:cols w:equalWidth="0" w:num="1">
            <w:col w:w="11420"/>
          </w:cols>
          <w:pgMar w:left="240" w:top="131" w:right="239" w:bottom="279"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79" w:gutter="0" w:footer="0" w:header="0"/>
          <w:type w:val="continuous"/>
        </w:sectPr>
      </w:pPr>
    </w:p>
    <w:bookmarkStart w:id="23" w:name="page24"/>
    <w:bookmarkEnd w:id="23"/>
    <w:p>
      <w:pPr>
        <w:ind w:left="1080" w:right="24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52" w:lineRule="exact"/>
        <w:rPr>
          <w:sz w:val="20"/>
          <w:szCs w:val="20"/>
          <w:color w:val="auto"/>
        </w:rPr>
      </w:pPr>
    </w:p>
    <w:p>
      <w:pPr>
        <w:ind w:left="1080" w:hanging="532"/>
        <w:spacing w:after="0" w:line="290"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8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60" w:hanging="532"/>
        <w:spacing w:after="0" w:line="294" w:lineRule="auto"/>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83" w:lineRule="exact"/>
        <w:rPr>
          <w:rFonts w:ascii="Arial" w:cs="Arial" w:eastAsia="Arial" w:hAnsi="Arial"/>
          <w:sz w:val="16"/>
          <w:szCs w:val="16"/>
          <w:color w:val="auto"/>
        </w:rPr>
      </w:pPr>
    </w:p>
    <w:p>
      <w:pPr>
        <w:ind w:left="1620" w:right="160" w:hanging="532"/>
        <w:spacing w:after="0" w:line="268"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3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262" w:lineRule="exact"/>
        <w:rPr>
          <w:sz w:val="20"/>
          <w:szCs w:val="20"/>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industry; provided that such amendments or supplements shall not adversely affect the interests of the holders in any material respect;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25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ectPr>
          <w:pgSz w:w="11900" w:h="16838" w:orient="portrait"/>
          <w:cols w:equalWidth="0" w:num="1">
            <w:col w:w="11400"/>
          </w:cols>
          <w:pgMar w:left="240" w:top="145" w:right="259" w:bottom="94" w:gutter="0" w:footer="0" w:header="0"/>
        </w:sectPr>
      </w:pPr>
    </w:p>
    <w:bookmarkStart w:id="24" w:name="page25"/>
    <w:bookmarkEnd w:id="24"/>
    <w:p>
      <w:pPr>
        <w:spacing w:after="0" w:line="11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18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the senior debt securities of the affected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25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 or</w:t>
      </w:r>
    </w:p>
    <w:p>
      <w:pPr>
        <w:spacing w:after="0" w:line="25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Trustees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Subordination</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w:t>
      </w:r>
    </w:p>
    <w:p>
      <w:pPr>
        <w:sectPr>
          <w:pgSz w:w="11900" w:h="16950" w:orient="portrait"/>
          <w:cols w:equalWidth="0" w:num="1">
            <w:col w:w="11420"/>
          </w:cols>
          <w:pgMar w:left="240" w:top="131" w:right="239" w:bottom="0" w:gutter="0" w:footer="0" w:header="0"/>
        </w:sectPr>
      </w:pPr>
    </w:p>
    <w:bookmarkStart w:id="25" w:name="page26"/>
    <w:bookmarkEnd w:id="25"/>
    <w:p>
      <w:pPr>
        <w:spacing w:after="0" w:line="1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subordination provisions also apply in the same way to each cable guarantor with respect to the Senior Indebtedness of such cable guarantor.</w:t>
      </w:r>
    </w:p>
    <w:p>
      <w:pPr>
        <w:spacing w:after="0" w:line="24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199" w:lineRule="exact"/>
        <w:rPr>
          <w:sz w:val="20"/>
          <w:szCs w:val="20"/>
          <w:color w:val="auto"/>
        </w:rPr>
      </w:pPr>
    </w:p>
    <w:p>
      <w:pPr>
        <w:ind w:left="1080" w:right="24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261"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221"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unless</w:t>
      </w:r>
      <w:r>
        <w:rPr>
          <w:rFonts w:ascii="Arial" w:cs="Arial" w:eastAsia="Arial" w:hAnsi="Arial"/>
          <w:sz w:val="16"/>
          <w:szCs w:val="16"/>
          <w:color w:val="auto"/>
        </w:rPr>
        <w:t>, in the case of any particular indebtedness, lease, renewal, extension or refunding, the instrument or lease creating or evidencing it or the assumption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the cross guarantees, constitute Senior Indebtedness for purposes of the subordinated debt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186"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97"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199" w:lineRule="exact"/>
        <w:rPr>
          <w:sz w:val="20"/>
          <w:szCs w:val="20"/>
          <w:color w:val="auto"/>
        </w:rPr>
      </w:pPr>
    </w:p>
    <w:p>
      <w:pPr>
        <w:ind w:left="1080" w:right="2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subdivisions, combinations and reclassifications of the class of capital stock into which debt securities of such series are convertible;</w:t>
      </w:r>
    </w:p>
    <w:p>
      <w:pPr>
        <w:spacing w:after="0" w:line="27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225"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39"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w:t>
      </w:r>
    </w:p>
    <w:p>
      <w:pPr>
        <w:sectPr>
          <w:pgSz w:w="11900" w:h="16975" w:orient="portrait"/>
          <w:cols w:equalWidth="0" w:num="1">
            <w:col w:w="11420"/>
          </w:cols>
          <w:pgMar w:left="240" w:top="131" w:right="239" w:bottom="0" w:gutter="0" w:footer="0" w:header="0"/>
        </w:sectPr>
      </w:pPr>
    </w:p>
    <w:bookmarkStart w:id="26" w:name="page27"/>
    <w:bookmarkEnd w:id="26"/>
    <w:p>
      <w:pPr>
        <w:ind w:right="40"/>
        <w:spacing w:after="0" w:line="332" w:lineRule="auto"/>
        <w:rPr>
          <w:sz w:val="20"/>
          <w:szCs w:val="20"/>
          <w:color w:val="auto"/>
        </w:rPr>
      </w:pPr>
      <w:r>
        <w:rPr>
          <w:rFonts w:ascii="Arial" w:cs="Arial" w:eastAsia="Arial" w:hAnsi="Arial"/>
          <w:sz w:val="16"/>
          <w:szCs w:val="16"/>
          <w:color w:val="auto"/>
        </w:rPr>
        <w:t>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title of such warrants;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aggregate number of such warrants;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price or prices at which such warrants will be issued;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
        <w:spacing w:after="0" w:line="361" w:lineRule="auto"/>
        <w:rPr>
          <w:sz w:val="20"/>
          <w:szCs w:val="20"/>
          <w:color w:val="auto"/>
        </w:rPr>
      </w:pPr>
      <w:r>
        <w:rPr>
          <w:rFonts w:ascii="Arial" w:cs="Arial" w:eastAsia="Arial" w:hAnsi="Arial"/>
          <w:sz w:val="15"/>
          <w:szCs w:val="15"/>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00"/>
        <w:spacing w:after="0" w:line="261" w:lineRule="auto"/>
        <w:rPr>
          <w:sz w:val="20"/>
          <w:szCs w:val="20"/>
          <w:color w:val="auto"/>
        </w:rPr>
      </w:pPr>
      <w:r>
        <w:rPr>
          <w:rFonts w:ascii="Arial" w:cs="Arial" w:eastAsia="Arial" w:hAnsi="Arial"/>
          <w:sz w:val="18"/>
          <w:szCs w:val="18"/>
          <w:color w:val="auto"/>
        </w:rPr>
        <w:t>the price at which and the currency or currencies, including composite currencies, in which the securities purchasable upon exercise of such warrants may be purchased;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applicable, the minimum or maximum amount of such warrants which may be exercised at any one time;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261" w:lineRule="auto"/>
        <w:rPr>
          <w:sz w:val="20"/>
          <w:szCs w:val="20"/>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information with respect to book-entry procedures, if any;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applicable, a discussion of certain United States Federal income tax considerations;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applicable, the identity of any of our cable subsidiaries guaranteeing our obligations with respect to such warrants;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DESCRIPTION OF PURCHASE CONTRACTS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27" w:name="page28"/>
    <w:bookmarkEnd w:id="27"/>
    <w:p>
      <w:pPr>
        <w:ind w:left="1080" w:right="240"/>
        <w:spacing w:after="0" w:line="268" w:lineRule="auto"/>
        <w:rPr>
          <w:sz w:val="20"/>
          <w:szCs w:val="20"/>
          <w:color w:val="auto"/>
        </w:rPr>
      </w:pPr>
      <w:r>
        <w:rPr>
          <w:rFonts w:ascii="Arial" w:cs="Arial" w:eastAsia="Arial" w:hAnsi="Arial"/>
          <w:sz w:val="18"/>
          <w:szCs w:val="18"/>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currencies or composite currencies;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commodities.</w:t>
      </w:r>
    </w:p>
    <w:p>
      <w:pPr>
        <w:spacing w:after="0" w:line="21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17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specified in the applicable prospectus supplement, units will consist of one or more purchase contracts, warrants, debt securities, preferred stock, Class A Common Stock or Class A Special Common Stock or any combination thereof. Reference is made to the applicable prospectus supplement for:</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55" w:lineRule="auto"/>
        <w:rPr>
          <w:sz w:val="20"/>
          <w:szCs w:val="20"/>
          <w:color w:val="auto"/>
        </w:rPr>
      </w:pPr>
      <w:r>
        <w:rPr>
          <w:rFonts w:ascii="Arial" w:cs="Arial" w:eastAsia="Arial" w:hAnsi="Arial"/>
          <w:sz w:val="18"/>
          <w:szCs w:val="18"/>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description of the terms of any unit agreement governing the units;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applicable, a description of any guarantee by any of our subsidiaries of our obligations under the units;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nominee of the depositary or by a nominee of the depositary to the depositary or another nominee of the depositary or by the depositary or any of its nominees to a successor of the depositary or a nominee of such successor.</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39"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62"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w:t>
      </w:r>
    </w:p>
    <w:p>
      <w:pPr>
        <w:sectPr>
          <w:pgSz w:w="11900" w:h="16838" w:orient="portrait"/>
          <w:cols w:equalWidth="0" w:num="1">
            <w:col w:w="11380"/>
          </w:cols>
          <w:pgMar w:left="240" w:top="131" w:right="279" w:bottom="0" w:gutter="0" w:footer="0" w:header="0"/>
        </w:sectPr>
      </w:pPr>
    </w:p>
    <w:bookmarkStart w:id="28" w:name="page29"/>
    <w:bookmarkEnd w:id="28"/>
    <w:p>
      <w:pPr>
        <w:ind w:right="40"/>
        <w:spacing w:after="0" w:line="291" w:lineRule="auto"/>
        <w:rPr>
          <w:sz w:val="20"/>
          <w:szCs w:val="20"/>
          <w:color w:val="auto"/>
        </w:rPr>
      </w:pPr>
      <w:r>
        <w:rPr>
          <w:rFonts w:ascii="Arial" w:cs="Arial" w:eastAsia="Arial" w:hAnsi="Arial"/>
          <w:sz w:val="16"/>
          <w:szCs w:val="16"/>
          <w:color w:val="auto"/>
        </w:rPr>
        <w:t>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74"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0"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PREFERRED STOCK</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6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applicable prospectus supplement will describe the following terms to the extent that they may apply to an issuance of preferred stock in respect of which this prospectus is being delivered: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specific designation, number of shares, seniority and purchase price;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liquidation preference per share;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date of maturity;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redemption, repayment or sinking fund provisions;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760"/>
        <w:spacing w:after="0" w:line="261" w:lineRule="auto"/>
        <w:rPr>
          <w:sz w:val="20"/>
          <w:szCs w:val="20"/>
          <w:color w:val="auto"/>
        </w:rPr>
      </w:pPr>
      <w:r>
        <w:rPr>
          <w:rFonts w:ascii="Arial" w:cs="Arial" w:eastAsia="Arial" w:hAnsi="Arial"/>
          <w:sz w:val="18"/>
          <w:szCs w:val="18"/>
          <w:color w:val="auto"/>
        </w:rPr>
        <w:t>any dividend rate or rates and the dates on which any such dividends will be payable (or the method by which such rates or dates will be determined);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voting rights;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61" w:lineRule="auto"/>
        <w:rPr>
          <w:sz w:val="20"/>
          <w:szCs w:val="20"/>
          <w:color w:val="auto"/>
        </w:rPr>
      </w:pPr>
      <w:r>
        <w:rPr>
          <w:rFonts w:ascii="Arial" w:cs="Arial" w:eastAsia="Arial" w:hAnsi="Arial"/>
          <w:sz w:val="18"/>
          <w:szCs w:val="18"/>
          <w:color w:val="auto"/>
        </w:rPr>
        <w:t>if other than the currency of the United States of America, the currency or currencies including composite currencies in which such preferred stock is denominated and/or in which payments will or may be payable;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40"/>
        <w:spacing w:after="0" w:line="261" w:lineRule="auto"/>
        <w:rPr>
          <w:sz w:val="20"/>
          <w:szCs w:val="20"/>
          <w:color w:val="auto"/>
        </w:rPr>
      </w:pPr>
      <w:r>
        <w:rPr>
          <w:rFonts w:ascii="Arial" w:cs="Arial" w:eastAsia="Arial" w:hAnsi="Arial"/>
          <w:sz w:val="18"/>
          <w:szCs w:val="18"/>
          <w:color w:val="auto"/>
        </w:rPr>
        <w:t>the method by which amounts in respect of such preferred stock may be calculated and any commodities, currencies or indices, or value, rate or price, relevant to such calculation;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40"/>
        <w:spacing w:after="0" w:line="261" w:lineRule="auto"/>
        <w:rPr>
          <w:sz w:val="20"/>
          <w:szCs w:val="20"/>
          <w:color w:val="auto"/>
        </w:rPr>
      </w:pPr>
      <w:r>
        <w:rPr>
          <w:rFonts w:ascii="Arial" w:cs="Arial" w:eastAsia="Arial" w:hAnsi="Arial"/>
          <w:sz w:val="18"/>
          <w:szCs w:val="18"/>
          <w:color w:val="auto"/>
        </w:rPr>
        <w:t>whether the preferred stock is convertible or exchangeable and, if so, the securities or rights into which such preferred stock is convertible or exchangeable, and the terms and conditions</w:t>
      </w:r>
    </w:p>
    <w:p>
      <w:pPr>
        <w:sectPr>
          <w:pgSz w:w="11900" w:h="16838" w:orient="portrait"/>
          <w:cols w:equalWidth="0" w:num="1">
            <w:col w:w="11420"/>
          </w:cols>
          <w:pgMar w:left="240" w:top="131" w:right="23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80"/>
        <w:spacing w:after="0" w:line="268" w:lineRule="auto"/>
        <w:rPr>
          <w:sz w:val="20"/>
          <w:szCs w:val="20"/>
          <w:color w:val="auto"/>
        </w:rPr>
      </w:pPr>
      <w:r>
        <w:rPr>
          <w:rFonts w:ascii="Arial" w:cs="Arial" w:eastAsia="Arial" w:hAnsi="Arial"/>
          <w:sz w:val="18"/>
          <w:szCs w:val="18"/>
          <w:color w:val="auto"/>
        </w:rPr>
        <w:t>upon which such conversions or exchanges will be effected including the initial conversion or exchange prices or rates, the conversion or exchange period and any other related provisions;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place or places where dividends and other payments on the preferred stock will be payable;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additional voting, dividend, liquidation, redemption and other rights, preferences, privileges, limitations and restrictions.</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194" w:lineRule="exact"/>
        <w:rPr>
          <w:sz w:val="20"/>
          <w:szCs w:val="20"/>
          <w:color w:val="auto"/>
        </w:rPr>
      </w:pPr>
    </w:p>
    <w:p>
      <w:pPr>
        <w:ind w:right="540" w:firstLine="341"/>
        <w:spacing w:after="0" w:line="332" w:lineRule="auto"/>
        <w:rPr>
          <w:sz w:val="20"/>
          <w:szCs w:val="20"/>
          <w:color w:val="auto"/>
        </w:rPr>
      </w:pPr>
      <w:r>
        <w:rPr>
          <w:rFonts w:ascii="Arial" w:cs="Arial" w:eastAsia="Arial" w:hAnsi="Arial"/>
          <w:sz w:val="16"/>
          <w:szCs w:val="16"/>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DEPOSITARY SHARES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9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otherwise specified in the prospectus supplement, a holder of depositary shares is not entitled to receive the shares of preferred stock underlying the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39"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The deposit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agreement also contains provisions relating to the manner in which any subscription or similar rights offered by us to holders of preferred stock shall be made available to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174" w:lineRule="exact"/>
        <w:rPr>
          <w:sz w:val="20"/>
          <w:szCs w:val="20"/>
          <w:color w:val="auto"/>
        </w:rPr>
      </w:pPr>
    </w:p>
    <w:p>
      <w:pPr>
        <w:ind w:right="40" w:firstLine="341"/>
        <w:spacing w:after="0" w:line="335" w:lineRule="auto"/>
        <w:rPr>
          <w:sz w:val="20"/>
          <w:szCs w:val="20"/>
          <w:color w:val="auto"/>
        </w:rPr>
      </w:pPr>
      <w:r>
        <w:rPr>
          <w:rFonts w:ascii="Arial" w:cs="Arial" w:eastAsia="Arial" w:hAnsi="Arial"/>
          <w:sz w:val="15"/>
          <w:szCs w:val="15"/>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ectPr>
          <w:pgSz w:w="11900" w:h="16838" w:orient="portrait"/>
          <w:cols w:equalWidth="0" w:num="1">
            <w:col w:w="11400"/>
          </w:cols>
          <w:pgMar w:left="240" w:top="131" w:right="259" w:bottom="0" w:gutter="0" w:footer="0" w:header="0"/>
        </w:sectPr>
      </w:pPr>
    </w:p>
    <w:bookmarkStart w:id="30" w:name="page31"/>
    <w:bookmarkEnd w:id="30"/>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Deposit Agreement</w:t>
      </w:r>
    </w:p>
    <w:p>
      <w:pPr>
        <w:spacing w:after="0" w:line="231"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of depositary shares will pay all other transfer and other taxes and governmental charges, and, in addition, such other charges as are expressly provided in the deposit agreement to be for their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or at our option, the depositary, will forward to the holders of depositary shares all reports and communications from us which we are required to furnish to the holders of preferred stock.</w:t>
      </w:r>
    </w:p>
    <w:p>
      <w:pPr>
        <w:spacing w:after="0" w:line="186"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 Termination of the Deposit Agreement</w:t>
      </w:r>
    </w:p>
    <w:p>
      <w:pPr>
        <w:spacing w:after="0" w:line="231" w:lineRule="exact"/>
        <w:rPr>
          <w:sz w:val="20"/>
          <w:szCs w:val="20"/>
          <w:color w:val="auto"/>
        </w:rPr>
      </w:pPr>
    </w:p>
    <w:p>
      <w:pPr>
        <w:ind w:right="60" w:firstLine="348"/>
        <w:spacing w:after="0" w:line="309" w:lineRule="auto"/>
        <w:rPr>
          <w:sz w:val="20"/>
          <w:szCs w:val="20"/>
          <w:color w:val="auto"/>
        </w:rPr>
      </w:pPr>
      <w:r>
        <w:rPr>
          <w:rFonts w:ascii="Arial" w:cs="Arial" w:eastAsia="Arial" w:hAnsi="Arial"/>
          <w:sz w:val="15"/>
          <w:szCs w:val="15"/>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COMMON STOCK</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86" w:lineRule="exact"/>
        <w:rPr>
          <w:sz w:val="20"/>
          <w:szCs w:val="20"/>
          <w:color w:val="auto"/>
        </w:rPr>
      </w:pPr>
    </w:p>
    <w:p>
      <w:pPr>
        <w:ind w:right="160" w:firstLine="348"/>
        <w:spacing w:after="0" w:line="323" w:lineRule="auto"/>
        <w:rPr>
          <w:sz w:val="20"/>
          <w:szCs w:val="20"/>
          <w:color w:val="auto"/>
        </w:rPr>
      </w:pPr>
      <w:r>
        <w:rPr>
          <w:rFonts w:ascii="Arial" w:cs="Arial" w:eastAsia="Arial" w:hAnsi="Arial"/>
          <w:sz w:val="15"/>
          <w:szCs w:val="15"/>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13, 2002 there were outstanding 1.355 billion shares of Class A Common Stock, 930.6 million shares of Class A Special Common Stock and 9.4 million shares of Class B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86"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w:t>
      </w:r>
    </w:p>
    <w:p>
      <w:pPr>
        <w:sectPr>
          <w:pgSz w:w="11900" w:h="16939" w:orient="portrait"/>
          <w:cols w:equalWidth="0" w:num="1">
            <w:col w:w="11420"/>
          </w:cols>
          <w:pgMar w:left="240" w:top="125" w:right="239" w:bottom="0" w:gutter="0" w:footer="0" w:header="0"/>
        </w:sectPr>
      </w:pPr>
    </w:p>
    <w:bookmarkStart w:id="31" w:name="page32"/>
    <w:bookmarkEnd w:id="31"/>
    <w:p>
      <w:pPr>
        <w:ind w:right="280"/>
        <w:spacing w:after="0" w:line="259" w:lineRule="auto"/>
        <w:rPr>
          <w:sz w:val="20"/>
          <w:szCs w:val="20"/>
          <w:color w:val="auto"/>
        </w:rPr>
      </w:pPr>
      <w:r>
        <w:rPr>
          <w:rFonts w:ascii="Arial" w:cs="Arial" w:eastAsia="Arial" w:hAnsi="Arial"/>
          <w:sz w:val="18"/>
          <w:szCs w:val="18"/>
          <w:color w:val="auto"/>
        </w:rPr>
        <w:t>therefore.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95" w:lineRule="exact"/>
        <w:rPr>
          <w:sz w:val="20"/>
          <w:szCs w:val="20"/>
          <w:color w:val="auto"/>
        </w:rPr>
      </w:pPr>
    </w:p>
    <w:p>
      <w:pPr>
        <w:ind w:right="220" w:firstLine="351"/>
        <w:spacing w:after="0" w:line="212"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aggregate voting power of our capital stock as of completion of the AT&amp;T Comcast transaction.</w:t>
      </w:r>
    </w:p>
    <w:p>
      <w:pPr>
        <w:spacing w:after="0" w:line="210"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2" w:lineRule="exact"/>
        <w:rPr>
          <w:sz w:val="20"/>
          <w:szCs w:val="20"/>
          <w:color w:val="auto"/>
        </w:rPr>
      </w:pPr>
    </w:p>
    <w:p>
      <w:pPr>
        <w:ind w:right="40" w:firstLine="8"/>
        <w:spacing w:after="0" w:line="259"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w:t>
      </w:r>
    </w:p>
    <w:p>
      <w:pPr>
        <w:spacing w:after="0" w:line="77"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If the number of shares of our Class A Common Stock or our Class B Common Stock outstanding is reduced for any reason (</w:t>
      </w:r>
      <w:r>
        <w:rPr>
          <w:rFonts w:ascii="Arial" w:cs="Arial" w:eastAsia="Arial" w:hAnsi="Arial"/>
          <w:sz w:val="15"/>
          <w:szCs w:val="15"/>
          <w:i w:val="1"/>
          <w:iCs w:val="1"/>
          <w:color w:val="auto"/>
        </w:rPr>
        <w:t>e.g.</w:t>
      </w:r>
      <w:r>
        <w:rPr>
          <w:rFonts w:ascii="Arial" w:cs="Arial" w:eastAsia="Arial" w:hAnsi="Arial"/>
          <w:sz w:val="15"/>
          <w:szCs w:val="15"/>
          <w:color w:val="auto"/>
        </w:rPr>
        <w:t>,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w:t>
      </w:r>
    </w:p>
    <w:p>
      <w:pPr>
        <w:spacing w:after="0" w:line="2"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combined aggregate voting power of the two classes of stock will remain constant at approximately 38</w:t>
      </w:r>
      <w:r>
        <w:rPr>
          <w:rFonts w:ascii="Arial" w:cs="Arial" w:eastAsia="Arial" w:hAnsi="Arial"/>
          <w:sz w:val="29"/>
          <w:szCs w:val="29"/>
          <w:color w:val="auto"/>
          <w:vertAlign w:val="superscript"/>
        </w:rPr>
        <w:t>47</w:t>
      </w:r>
      <w:r>
        <w:rPr>
          <w:rFonts w:ascii="Arial" w:cs="Arial" w:eastAsia="Arial" w:hAnsi="Arial"/>
          <w:sz w:val="18"/>
          <w:szCs w:val="18"/>
          <w:color w:val="auto"/>
        </w:rPr>
        <w:t>/</w:t>
      </w:r>
      <w:r>
        <w:rPr>
          <w:rFonts w:ascii="Arial" w:cs="Arial" w:eastAsia="Arial" w:hAnsi="Arial"/>
          <w:sz w:val="14"/>
          <w:szCs w:val="14"/>
          <w:color w:val="auto"/>
        </w:rPr>
        <w:t>100</w:t>
      </w:r>
      <w:r>
        <w:rPr>
          <w:rFonts w:ascii="Arial" w:cs="Arial" w:eastAsia="Arial" w:hAnsi="Arial"/>
          <w:sz w:val="18"/>
          <w:szCs w:val="18"/>
          <w:color w:val="auto"/>
        </w:rPr>
        <w:t>% (except to the extent there has been a reduction in the aggregate voting power of either class of stock as described in the preceding sentence).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Subject to the next sentence, on all matters submitted for a vote of holders of one or more classes of our voting stock, holders of our Class B Common Stock</w:t>
      </w:r>
    </w:p>
    <w:p>
      <w:pPr>
        <w:spacing w:after="0" w:line="50" w:lineRule="exact"/>
        <w:rPr>
          <w:sz w:val="20"/>
          <w:szCs w:val="20"/>
          <w:color w:val="auto"/>
        </w:rPr>
      </w:pPr>
    </w:p>
    <w:p>
      <w:pPr>
        <w:jc w:val="both"/>
        <w:ind w:right="320"/>
        <w:spacing w:after="0" w:line="231" w:lineRule="auto"/>
        <w:rPr>
          <w:sz w:val="20"/>
          <w:szCs w:val="20"/>
          <w:color w:val="auto"/>
        </w:rPr>
      </w:pPr>
      <w:r>
        <w:rPr>
          <w:rFonts w:ascii="Arial" w:cs="Arial" w:eastAsia="Arial" w:hAnsi="Arial"/>
          <w:sz w:val="17"/>
          <w:szCs w:val="17"/>
          <w:color w:val="auto"/>
        </w:rPr>
        <w:t>in the aggregate will hold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our Class B Common Stock has 15 votes.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Brian L. Roberts, our CEO and President, through his control of BRCC Holdings LLC and certain trusts, which own all outstanding shares of our Class B</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Common Stock, holds a nondilutable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13,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ectPr>
          <w:pgSz w:w="11900" w:h="16838" w:orient="portrait"/>
          <w:cols w:equalWidth="0" w:num="1">
            <w:col w:w="11420"/>
          </w:cols>
          <w:pgMar w:left="240" w:top="131" w:right="239" w:bottom="19" w:gutter="0" w:footer="0" w:header="0"/>
        </w:sectPr>
      </w:pPr>
    </w:p>
    <w:bookmarkStart w:id="32" w:name="page33"/>
    <w:bookmarkEnd w:id="32"/>
    <w:p>
      <w:pPr>
        <w:spacing w:after="0" w:line="70"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on completion of the AT&amp;T Comcast transaction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holders of Class A Special Common Stock, Class A Common Stock and Class B Common Stock do not have any preemptive rights. All shares of Class A Special Common Stock, Class A Common Stock and Class B Common Stock presently outstanding are, and all shares of the Class A Special Common Stock and Class A Common Stock offered hereby, or issuable upon conversion, exchange or exercise of securities offered hereby, will, when issued, be, fully paid and non-assessable. We have been advised that the Class A Special Common Stock and Class A Common Stock are exempt from existing Pennsylvania personal property tax.</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Equiserve, 525 Washington Blvd., Jersey City, New Jersey 07310. Their telephone number is (888) 883-8903.</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SHAREHOLDER RIGHTS PLAN</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which we entered into in connection with the completion of the AT&amp;T Comcast transaction is qualified by reference to the terms of the rights agreement, which is included as an exhibit to the registration statement of which this prospectus is a part.</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at 3:40 p.m., New York City time, on November 18, 2002.</w:t>
      </w:r>
    </w:p>
    <w:p>
      <w:pPr>
        <w:spacing w:after="0" w:line="19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After giving effect to the closing of AT&amp;T Comcast transaction on November 18, 2002, (i) there were outstanding approximately 1.355 billion shares of Class A Common Stock, 9.4 million shares of Class B Common Stock and 930.6 million shares of Class A Special Common Stock and (ii) there was reserved for issuance under the Company's stock option plans 95.8 million shares of Class A Common Stock and 66.2 million shares of Class A Special Common Stock. Each outstanding share of Common Stock at 3:40 p.m., New York City time, on the record date will receive one Right.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ectPr>
          <w:pgSz w:w="11900" w:h="16909" w:orient="portrait"/>
          <w:cols w:equalWidth="0" w:num="1">
            <w:col w:w="11400"/>
          </w:cols>
          <w:pgMar w:left="240" w:top="131" w:right="259" w:bottom="0" w:gutter="0" w:footer="0" w:header="0"/>
        </w:sectPr>
      </w:pPr>
    </w:p>
    <w:bookmarkStart w:id="33" w:name="page34"/>
    <w:bookmarkEnd w:id="33"/>
    <w:p>
      <w:pPr>
        <w:ind w:right="1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70" w:lineRule="exact"/>
        <w:rPr>
          <w:sz w:val="20"/>
          <w:szCs w:val="20"/>
          <w:color w:val="auto"/>
        </w:rPr>
      </w:pPr>
    </w:p>
    <w:p>
      <w:pPr>
        <w:jc w:val="both"/>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5"/>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4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b w:val="1"/>
          <w:bCs w:val="1"/>
          <w:i w:val="1"/>
          <w:iCs w:val="1"/>
          <w:color w:val="auto"/>
        </w:rPr>
        <w:t>Expiration of Rights.</w:t>
      </w:r>
      <w:r>
        <w:rPr>
          <w:sz w:val="20"/>
          <w:szCs w:val="20"/>
          <w:color w:val="auto"/>
        </w:rPr>
        <w:tab/>
      </w:r>
      <w:r>
        <w:rPr>
          <w:rFonts w:ascii="Arial" w:cs="Arial" w:eastAsia="Arial" w:hAnsi="Arial"/>
          <w:sz w:val="15"/>
          <w:szCs w:val="15"/>
          <w:color w:val="auto"/>
        </w:rPr>
        <w:t>If not previously exercised or redeemed, the Rights will expire on November 18, 2012, unless earlier exchanged.</w:t>
      </w:r>
    </w:p>
    <w:p>
      <w:pPr>
        <w:spacing w:after="0" w:line="225" w:lineRule="exact"/>
        <w:rPr>
          <w:sz w:val="20"/>
          <w:szCs w:val="20"/>
          <w:color w:val="auto"/>
        </w:rPr>
      </w:pPr>
    </w:p>
    <w:p>
      <w:pPr>
        <w:ind w:right="100" w:firstLine="345"/>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6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will not be taxable to stockholders or to us, stockholders or we may, depending upon the circumstances,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taxable income in the event that the Rights become exercisable as set forth above.</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AT&amp;T COMCAST TRANSACTION</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following summary of our continuing obligations under the terms of the merger agreement for the AT&amp;T Comcast transaction is qualified by reference to the merger agreement, as amended, which is included as an exhibit to the registration statement of which this prospectus is a part.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Governance Arrangements.</w:t>
      </w:r>
    </w:p>
    <w:p>
      <w:pPr>
        <w:spacing w:after="0" w:line="225" w:lineRule="exact"/>
        <w:rPr>
          <w:sz w:val="20"/>
          <w:szCs w:val="20"/>
          <w:color w:val="auto"/>
        </w:rPr>
      </w:pPr>
    </w:p>
    <w:p>
      <w:pPr>
        <w:ind w:firstLine="351"/>
        <w:spacing w:after="0" w:line="272" w:lineRule="auto"/>
        <w:rPr>
          <w:sz w:val="20"/>
          <w:szCs w:val="20"/>
          <w:color w:val="auto"/>
        </w:rPr>
      </w:pPr>
      <w:r>
        <w:rPr>
          <w:rFonts w:ascii="Arial" w:cs="Arial" w:eastAsia="Arial" w:hAnsi="Arial"/>
          <w:sz w:val="17"/>
          <w:szCs w:val="17"/>
          <w:i w:val="1"/>
          <w:iCs w:val="1"/>
          <w:color w:val="auto"/>
        </w:rPr>
        <w:t xml:space="preserve">Our Board of Directors. </w:t>
      </w:r>
      <w:r>
        <w:rPr>
          <w:rFonts w:ascii="Arial" w:cs="Arial" w:eastAsia="Arial" w:hAnsi="Arial"/>
          <w:sz w:val="17"/>
          <w:szCs w:val="17"/>
          <w:color w:val="auto"/>
        </w:rPr>
        <w:t>Our Board has twelve members, five of whom were designated at the time of the AT&amp;T Comcast transaction by Comcast</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from the then-existing Comcast Holdings Board, five of whom were designated by AT&amp;T from the then-existing AT&amp;T Board and two of whom were independent persons jointly designated by Comcast Holdings and AT&amp;T. At all times, our Board will consist of a majority of independent persons. Except for pre-approved designees, the individuals designated by each of Comcast Holdings and AT&amp;T were mutually agreed upon by Comcast Holdings and AT&amp;T. Ralph J. Roberts, Brian L. Roberts, Sheldon M. Bonovitz, Julian A. Brodsky and Decker Anstrom were the pre-approved Comcast Holdings director designees and C. Michael Armstrong was a pre-approved AT&amp;T director designee. All of the initial director designees will hold office until the 2004 annual meeting of our shareholders, which will be held in April 2004. After this initial term, our entire Board will be elected annually. Brian L. Roberts, through his control of BRCC Holdings LLC, holds a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nondilutable voting interest in our stock.</w:t>
      </w:r>
    </w:p>
    <w:p>
      <w:pPr>
        <w:spacing w:after="0" w:line="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Management. </w:t>
      </w:r>
      <w:r>
        <w:rPr>
          <w:rFonts w:ascii="Arial" w:cs="Arial" w:eastAsia="Arial" w:hAnsi="Arial"/>
          <w:sz w:val="18"/>
          <w:szCs w:val="18"/>
          <w:color w:val="auto"/>
        </w:rPr>
        <w:t>Under the merger agreement, C. Michael Armstrong, AT&amp;T's Chairman of the Board, will be our Chairman of the Board until the 2005</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our shareholders and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serve as non-executive Chairman of the Board from April 1, 2004 until the 2005 annual meeting of our shareholders. Thereafter, Brian L. Roberts will be the Chairman of the Board. Removal of the Chairman of the Board will require the vote of at least 75% of the entire Board until the earlier to occur of (1) the date on which neither C. Michael Armstrong nor Brian L. Roberts is Chairman of the Board and (2) the sixth anniversary of the 2004 annual meeting of our shareholders.</w:t>
      </w:r>
    </w:p>
    <w:p>
      <w:pPr>
        <w:spacing w:after="0" w:line="161"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Upon completion of the AT&amp;T Comcast transaction, Brian L. Roberts, Comcast Holdings' President, became our CEO. Brian L. Roberts will also be President for as long as he is the CEO. Removal of the CEO requires the vote of at least 75% of our entire Board until the earlier of the date when Brian L. Roberts is not the CEO and the sixth anniversary of the 2004 annual meeting of shareholders.</w:t>
      </w:r>
    </w:p>
    <w:p>
      <w:pPr>
        <w:sectPr>
          <w:pgSz w:w="11900" w:h="16838" w:orient="portrait"/>
          <w:cols w:equalWidth="0" w:num="1">
            <w:col w:w="11420"/>
          </w:cols>
          <w:pgMar w:left="240" w:top="131" w:right="239" w:bottom="0" w:gutter="0" w:footer="0" w:header="0"/>
        </w:sectPr>
      </w:pPr>
    </w:p>
    <w:bookmarkStart w:id="34" w:name="page35"/>
    <w:bookmarkEnd w:id="34"/>
    <w:p>
      <w:pPr>
        <w:ind w:right="160" w:firstLine="348"/>
        <w:spacing w:after="0" w:line="306" w:lineRule="auto"/>
        <w:rPr>
          <w:sz w:val="20"/>
          <w:szCs w:val="20"/>
          <w:color w:val="auto"/>
        </w:rPr>
      </w:pPr>
      <w:r>
        <w:rPr>
          <w:rFonts w:ascii="Arial" w:cs="Arial" w:eastAsia="Arial" w:hAnsi="Arial"/>
          <w:sz w:val="16"/>
          <w:szCs w:val="16"/>
          <w:color w:val="auto"/>
        </w:rPr>
        <w:t>We will also have an Office of the Chairman comprised of the Chairman of the Board and the CEO until the earlier to occur of (1) the 2005 annual meeting of our shareholders and (2) the date on which C. Michael Armstrong ceases to be the Chairman of the Board. The Office of the Chairman will be our principal executive deliberative body with responsibility for corporate strategy, policy and direction, governmental affairs and other significant matters.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initial senior officers have been designated by Brian L. Roberts in consultation with C. Michael Armstrong.</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charter provisions that implement the foregoing governance arrangements may not be amended or changed except with the approval of at least 75% of our entire Board until the earlier to occur of (1) the date on which Brian L. Roberts is no longer serving as Chairman of the Board or CEO and (2) the sixth anniversary of the 2004 annual meeting of our shareholders.</w:t>
      </w:r>
    </w:p>
    <w:p>
      <w:pPr>
        <w:spacing w:after="0" w:line="195" w:lineRule="exact"/>
        <w:rPr>
          <w:sz w:val="20"/>
          <w:szCs w:val="20"/>
          <w:color w:val="auto"/>
        </w:rPr>
      </w:pPr>
    </w:p>
    <w:p>
      <w:pPr>
        <w:ind w:right="160" w:firstLine="351"/>
        <w:spacing w:after="0" w:line="221" w:lineRule="auto"/>
        <w:rPr>
          <w:sz w:val="20"/>
          <w:szCs w:val="20"/>
          <w:color w:val="auto"/>
        </w:rPr>
      </w:pPr>
      <w:r>
        <w:rPr>
          <w:rFonts w:ascii="Arial" w:cs="Arial" w:eastAsia="Arial" w:hAnsi="Arial"/>
          <w:sz w:val="17"/>
          <w:szCs w:val="17"/>
          <w:color w:val="auto"/>
        </w:rPr>
        <w:t>BRCC Holdings LLC hold shares of our Class B common stock constituting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 of our common stock. Brian L. Roberts has sole voting power over membership interests representing a majority of the voting power of all BRCC Holdings LLC equity.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Benefits Matters; Indemnification and Insurance.</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the merger agreement, we agreed to honor the terms of all Comcast Cable Communications Holdings' employee benefit plans and arrangements and to pay and provide the benefits required thereunder, recognizing that the AT&amp;T Comcast transaction is a change in control under the plans, and to provide, until December 31, 2003, to employees of Comcast Cable Communications Holdings and its subsidiaries (other than those subject to collective bargaining obligations or agreements) aggregate employee benefits and compensation that are substantially comparable in the aggregate to those provided by Comcast Cable Communications Holdings and its subsidiaries as of the completion of the AT&amp;T Comcast transaction, other than benefits provided under severance or separation plans of Comcast Cable Communications Holdings or its subsidiaries. Until December 31, 2003, we have agreed to continue certain severance plans of Comcast Cable Communications Holdings and its subsidiaries without adverse change, including those that provide certain enhanced benefits to AT&amp;T executive officers who became employees of Comcast Cable Communications Holdings prior to consummation of the AT&amp;T Comcast transaction. Based on currently available information, if all such executive officers were terminated without cause immediately following completion of the AT&amp;T Comcast transaction, they would receive severance payments equal in the aggregate to approximately $44.7 million.</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Obligations Relating to Comcast Cable Communications Holdings' TOPrS Securities.</w:t>
      </w:r>
    </w:p>
    <w:p>
      <w:pPr>
        <w:spacing w:after="0" w:line="225"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have agreed, on the earliest date on which the Comcast Cable Communications Holdings debt known by the acronym TOPrS as to which AT&amp;T has guaranteed certain obligations may be redeemed, to either redeem such series of TOPrS, cause AT&amp;T to be released from any such guarantee or post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letter of credit in respect of such debt. As of the date of this filing, approximately $500 million of outstanding TOPrS remains subject to this obligation.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Distribution Agreement</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following summary of the separation and distribution agreement, as amended, is qualified in its entirety by reference to the complete text of the agreement which is incorporated by reference in this prospectus.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Separation.</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i w:val="1"/>
          <w:iCs w:val="1"/>
          <w:color w:val="auto"/>
        </w:rPr>
        <w:t xml:space="preserve">Assignment. </w:t>
      </w:r>
      <w:r>
        <w:rPr>
          <w:rFonts w:ascii="Arial" w:cs="Arial" w:eastAsia="Arial" w:hAnsi="Arial"/>
          <w:sz w:val="16"/>
          <w:szCs w:val="16"/>
          <w:color w:val="auto"/>
        </w:rPr>
        <w:t>AT&amp;T assigned and transferred to Comcast Cable Communications Holdings all of AT&amp;T's and its subsidiaries' right, title and interest in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assets of AT&amp;T's broadband business which are not already held by Comcast Cable Communications Holdings or a Comcast Cable Communications Holdings subsidiary. The assets comprising AT&amp;T's broadband business are generally determined in the following manner:</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61" w:lineRule="auto"/>
        <w:rPr>
          <w:sz w:val="20"/>
          <w:szCs w:val="20"/>
          <w:color w:val="auto"/>
        </w:rPr>
      </w:pPr>
      <w:r>
        <w:rPr>
          <w:rFonts w:ascii="Arial" w:cs="Arial" w:eastAsia="Arial" w:hAnsi="Arial"/>
          <w:sz w:val="18"/>
          <w:szCs w:val="18"/>
          <w:color w:val="auto"/>
        </w:rPr>
        <w:t>assets reflected in the AT&amp;T Broadband Group balance sheet dated as of December 31, 2000 are assets of AT&amp;T's broadband business, except as described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80"/>
        <w:spacing w:after="0" w:line="261" w:lineRule="auto"/>
        <w:rPr>
          <w:sz w:val="20"/>
          <w:szCs w:val="20"/>
          <w:color w:val="auto"/>
        </w:rPr>
      </w:pPr>
      <w:r>
        <w:rPr>
          <w:rFonts w:ascii="Arial" w:cs="Arial" w:eastAsia="Arial" w:hAnsi="Arial"/>
          <w:sz w:val="18"/>
          <w:szCs w:val="18"/>
          <w:color w:val="auto"/>
        </w:rPr>
        <w:t>assets reflected in the AT&amp;T Communications balance sheet dated as of December 31, 2000 are assets of AT&amp;T's communications business, except as described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0"/>
        <w:spacing w:after="0" w:line="261" w:lineRule="auto"/>
        <w:rPr>
          <w:sz w:val="20"/>
          <w:szCs w:val="20"/>
          <w:color w:val="auto"/>
        </w:rPr>
      </w:pPr>
      <w:r>
        <w:rPr>
          <w:rFonts w:ascii="Arial" w:cs="Arial" w:eastAsia="Arial" w:hAnsi="Arial"/>
          <w:sz w:val="18"/>
          <w:szCs w:val="18"/>
          <w:color w:val="auto"/>
        </w:rPr>
        <w:t>assets acquired after December 31, 2000 by AT&amp;T or any of its subsidiaries utilizing assets of AT&amp;T's broadband business are assets of AT&amp;T's broadband business, except as described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80"/>
        <w:spacing w:after="0" w:line="261" w:lineRule="auto"/>
        <w:rPr>
          <w:sz w:val="20"/>
          <w:szCs w:val="20"/>
          <w:color w:val="auto"/>
        </w:rPr>
      </w:pPr>
      <w:r>
        <w:rPr>
          <w:rFonts w:ascii="Arial" w:cs="Arial" w:eastAsia="Arial" w:hAnsi="Arial"/>
          <w:sz w:val="18"/>
          <w:szCs w:val="18"/>
          <w:color w:val="auto"/>
        </w:rPr>
        <w:t>assets acquired after December 31, 2000 by AT&amp;T or any of its subsidiaries utilizing assets of AT&amp;T's communications business are assets of AT&amp;T's communications business, except as described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0"/>
        <w:spacing w:after="0" w:line="261" w:lineRule="auto"/>
        <w:rPr>
          <w:sz w:val="20"/>
          <w:szCs w:val="20"/>
          <w:color w:val="auto"/>
        </w:rPr>
      </w:pPr>
      <w:r>
        <w:rPr>
          <w:rFonts w:ascii="Arial" w:cs="Arial" w:eastAsia="Arial" w:hAnsi="Arial"/>
          <w:sz w:val="18"/>
          <w:szCs w:val="18"/>
          <w:color w:val="auto"/>
        </w:rPr>
        <w:t>certain assets are specifically assigned to AT&amp;T's broadband business regardless of whether or not they are reflected in the AT&amp;T Broadband Group balance sheet dated as of December 31, 2000;</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00"/>
        <w:spacing w:after="0" w:line="261" w:lineRule="auto"/>
        <w:rPr>
          <w:sz w:val="20"/>
          <w:szCs w:val="20"/>
          <w:color w:val="auto"/>
        </w:rPr>
      </w:pPr>
      <w:r>
        <w:rPr>
          <w:rFonts w:ascii="Arial" w:cs="Arial" w:eastAsia="Arial" w:hAnsi="Arial"/>
          <w:sz w:val="18"/>
          <w:szCs w:val="18"/>
          <w:color w:val="auto"/>
        </w:rPr>
        <w:t>certain assets are specifically assigned to AT&amp;T's communications business regardless of whether or not they are reflected in the AT&amp;T Communications balance sheet dated as of December 31, 2000;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0"/>
        <w:spacing w:after="0" w:line="361" w:lineRule="auto"/>
        <w:rPr>
          <w:sz w:val="20"/>
          <w:szCs w:val="20"/>
          <w:color w:val="auto"/>
        </w:rPr>
      </w:pPr>
      <w:r>
        <w:rPr>
          <w:rFonts w:ascii="Arial" w:cs="Arial" w:eastAsia="Arial" w:hAnsi="Arial"/>
          <w:sz w:val="15"/>
          <w:szCs w:val="15"/>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w:t>
      </w:r>
    </w:p>
    <w:p>
      <w:pPr>
        <w:sectPr>
          <w:pgSz w:w="11900" w:h="16838" w:orient="portrait"/>
          <w:cols w:equalWidth="0" w:num="1">
            <w:col w:w="11420"/>
          </w:cols>
          <w:pgMar w:left="240" w:top="131" w:right="239" w:bottom="0" w:gutter="0" w:footer="0" w:header="0"/>
        </w:sectPr>
      </w:pPr>
    </w:p>
    <w:bookmarkStart w:id="35" w:name="page36"/>
    <w:bookmarkEnd w:id="35"/>
    <w:p>
      <w:pPr>
        <w:spacing w:after="0" w:line="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which they primarily relate.</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i w:val="1"/>
          <w:iCs w:val="1"/>
          <w:color w:val="auto"/>
        </w:rPr>
        <w:t xml:space="preserve">Assumption. </w:t>
      </w:r>
      <w:r>
        <w:rPr>
          <w:rFonts w:ascii="Arial" w:cs="Arial" w:eastAsia="Arial" w:hAnsi="Arial"/>
          <w:sz w:val="18"/>
          <w:szCs w:val="18"/>
          <w:color w:val="auto"/>
        </w:rPr>
        <w:t>At the same time as the assignment, Comcast Cable Communications Holdings assumed all of the liabilities of AT&amp;T's broadband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not already liabilities of Comcast Cable Communications Holdings or a Comcast Cable Communications Holdings subsidiary. The liabilities of AT&amp;T's broadband business were generally determined in the following manner: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40"/>
        <w:spacing w:after="0" w:line="261" w:lineRule="auto"/>
        <w:rPr>
          <w:sz w:val="20"/>
          <w:szCs w:val="20"/>
          <w:color w:val="auto"/>
        </w:rPr>
      </w:pPr>
      <w:r>
        <w:rPr>
          <w:rFonts w:ascii="Arial" w:cs="Arial" w:eastAsia="Arial" w:hAnsi="Arial"/>
          <w:sz w:val="18"/>
          <w:szCs w:val="18"/>
          <w:color w:val="auto"/>
        </w:rPr>
        <w:t>liabilities reflected in the AT&amp;T Broadband Group balance sheet dated as of December 31, 2000 are liabilities of AT&amp;T's broadband business, except as described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80"/>
        <w:spacing w:after="0" w:line="261" w:lineRule="auto"/>
        <w:rPr>
          <w:sz w:val="20"/>
          <w:szCs w:val="20"/>
          <w:color w:val="auto"/>
        </w:rPr>
      </w:pPr>
      <w:r>
        <w:rPr>
          <w:rFonts w:ascii="Arial" w:cs="Arial" w:eastAsia="Arial" w:hAnsi="Arial"/>
          <w:sz w:val="18"/>
          <w:szCs w:val="18"/>
          <w:color w:val="auto"/>
        </w:rPr>
        <w:t>liabilities reflected in the AT&amp;T Communications balance sheet dated as of December 31, 2000 are liabilities of AT&amp;T's communications business, except as described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20"/>
        <w:spacing w:after="0" w:line="261" w:lineRule="auto"/>
        <w:rPr>
          <w:sz w:val="20"/>
          <w:szCs w:val="20"/>
          <w:color w:val="auto"/>
        </w:rPr>
      </w:pPr>
      <w:r>
        <w:rPr>
          <w:rFonts w:ascii="Arial" w:cs="Arial" w:eastAsia="Arial" w:hAnsi="Arial"/>
          <w:sz w:val="18"/>
          <w:szCs w:val="18"/>
          <w:color w:val="auto"/>
        </w:rPr>
        <w:t>liabilities incurred after December 31, 2000 by entities transferred as part of AT&amp;T's broadband business are liabilities of AT&amp;T's broadband business, except as described below;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liabilities incurred after December 31, 2000 by entities not transferred as part of broadband business are liabilities of AT&amp;T's communications business, except as described below;</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liabilities are specifically assigned to AT&amp;T's broadband business regardless of whether or not they are reflected in the AT&amp;T Broadband Group balance sheet dated as of December 31, 2000;</w:t>
      </w:r>
    </w:p>
    <w:p>
      <w:pPr>
        <w:spacing w:after="0" w:line="199"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liabilities are specifically assigned to AT&amp;T's communications business regardless of whether or not they are reflected in the AT&amp;T Communications balance sheet dated as of December 31, 2000;</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 and</w:t>
      </w:r>
    </w:p>
    <w:p>
      <w:pPr>
        <w:spacing w:after="0" w:line="224"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separation occurred on November 18, 2002, immediately prior to the mergers.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Repayment of Intracompany Debt.</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closing of the AT&amp;T Comcast transaction, Comcast Cable Communications Holdings repaid all intracompany debt owed by AT&amp;T's broadband business to AT&amp;T's communications business. Comcast Cable Communications Holdings effected this repayment by making a cash payment to AT&amp;T in an amount equal to $5.85 billion and by issuing approximately $3.50 billion in debt to retire existing AT&amp;T debt. The cash payment referred to in the preceding sentence reflected certain adjustments and was made with the proceeds of (i) a borrowing by Comcast Cable Communications Holdings of $4 billion under a bridge credit agreement dated April 26, 2002 among Comcast Cable Communications Holdings, us, the lenders party thereto and JPMorgan Chase Bank, as administrative agent, Citibank N.A., as syndication agent, and Bank of America, N.A., Merrill Lynch, Pierce, Fenner &amp; Smith Incorporated and Morgan Stanley Senior Funding, Inc., as co-documentation agents, and (ii) a borrowing by Comcast Cable Communications Holdings of $2.5 billion under a credit agreement dated April 26, 2002 among Comcast Cable Communications Holdings, us, the lenders party thereto and JPMorgan Chase Bank, as administrative agent, swingline lender and issuing lender, Citibank N.A., as syndication agent, and Bank of America, N.A., Merrill Lynch, Pierce, Fenner &amp; Smith Incorporated and Morgan Stanley Senior Funding, Inc., as co-documentation agents, together referred to as the New Credit Facility in this prospectus. The retirement of existing AT&amp;T debt by Comcast Cable Communications Holdings referred to above resulted from a recently completed debt exchange offer pursuant to which Comcast Cable Communications Holdings issued debt guaranteed by us and the cable guarantors in an aggregate principal amount of approximately $3.50 billion consisting of approximately $2.43 billion of 8.375% Notes Due 2013 and approximately $1.07 billion of 9.455% Notes Due 2022.</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Post-Spin-Off Transactions.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ability and the ability of Comcast Cable Communications Holdings to engage in specified acquisitions, redeem stock, issue equity securities or take any other action or actions that in the aggregate would be reasonably likely to have the effect of causing or permitting one or more persons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acquire directly or indirectly stock representing a 50% or greater interest, within the meaning of Section 355(e) of the Code, in Comcast Cable Communications Holdings or otherwise jeopardize the non-recognition of taxable gain or loss for U.S. federal income tax purposes to AT&amp;T, AT&amp;T affiliates and AT&amp;T shareholders in connection with the separation and the Comcast Cable Communications Holdings spin-off may be limited until December 18, 2004.</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Disposition of Time Warner Entertainment Interest.</w:t>
      </w:r>
    </w:p>
    <w:p>
      <w:pPr>
        <w:spacing w:after="0" w:line="225"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i w:val="1"/>
          <w:iCs w:val="1"/>
          <w:color w:val="auto"/>
        </w:rPr>
        <w:t xml:space="preserve">Sharing of Proceeds. </w:t>
      </w:r>
      <w:r>
        <w:rPr>
          <w:rFonts w:ascii="Arial" w:cs="Arial" w:eastAsia="Arial" w:hAnsi="Arial"/>
          <w:sz w:val="15"/>
          <w:szCs w:val="15"/>
          <w:color w:val="auto"/>
        </w:rPr>
        <w:t>The separation and distribution agreement provides that upon any disposition of all or any portion of its interest in TWE after the</w:t>
      </w:r>
      <w:r>
        <w:rPr>
          <w:rFonts w:ascii="Arial" w:cs="Arial" w:eastAsia="Arial" w:hAnsi="Arial"/>
          <w:sz w:val="15"/>
          <w:szCs w:val="15"/>
          <w:i w:val="1"/>
          <w:iCs w:val="1"/>
          <w:color w:val="auto"/>
        </w:rPr>
        <w:t xml:space="preserve"> </w:t>
      </w:r>
      <w:r>
        <w:rPr>
          <w:rFonts w:ascii="Arial" w:cs="Arial" w:eastAsia="Arial" w:hAnsi="Arial"/>
          <w:sz w:val="15"/>
          <w:szCs w:val="15"/>
          <w:color w:val="auto"/>
        </w:rPr>
        <w:t>signing of the merger agreement, Comcast Cable Communications Holdings will pay AT&amp;T 50% of the proceeds received from such disposition in excess of the threshold amount described in the next sentence reduced by taxes on 50% of such excess. The threshold amount is equal to the balance, plus 7% simple interest</w:t>
      </w:r>
    </w:p>
    <w:p>
      <w:pPr>
        <w:sectPr>
          <w:pgSz w:w="11900" w:h="16896" w:orient="portrait"/>
          <w:cols w:equalWidth="0" w:num="1">
            <w:col w:w="11420"/>
          </w:cols>
          <w:pgMar w:left="240" w:top="131" w:right="239" w:bottom="0" w:gutter="0" w:footer="0" w:header="0"/>
        </w:sectPr>
      </w:pPr>
    </w:p>
    <w:bookmarkStart w:id="36" w:name="page37"/>
    <w:bookmarkEnd w:id="36"/>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 annum on the balance, of $10.2 billion reduced by the aggregate proceeds of any previous dispositions of any portion of the TWE interest. If the TWE interest has not been fully disposed of within 54 months of the completion of the AT&amp;T Comcast transaction, the remaining TWE interest will be appraised at fair market value. To the extent that the amount of such appraisal exceeds the threshold amount specified above, Comcast Cable Communications Holdings has agreed to pay AT&amp;T 50% of such excess, on a tax-adjusted basis.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Restructuring Agreement. </w:t>
      </w:r>
      <w:r>
        <w:rPr>
          <w:rFonts w:ascii="Arial" w:cs="Arial" w:eastAsia="Arial" w:hAnsi="Arial"/>
          <w:sz w:val="16"/>
          <w:szCs w:val="16"/>
          <w:color w:val="auto"/>
        </w:rPr>
        <w:t>On August 21, 2002, AT&amp;T and Comcast Holdings announced that they had entered into an agreement with AOL Time Warner</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for the restructuring of TWE. The restructuring agreement was intended to provide for a more orderly and timely disposition of AT&amp;T Broadband Group's entire stake in TWE than would likely be available under the registration rights provisions of the TWE partnership agreement, which AT&amp;T Broadband Group had been pursuing. Upon consummation of the AT&amp;T Comcast transaction, we assumed all of AT&amp;T's interest in TWE and in the restructuring agreement.</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restructuring agreement, which is expected to close in the first quarter of 2003, for its 27.64% interest in TWE, Comcast Cable Communications Holdings will receive $1.5 billion in common stock of AOL Time Warner Inc. (valued at the time of the closing and subject to certain limitations) and an effective 21% equity interest in all of AOL Time Warner's cable properties, including those already in TWE, and Comcast Cable Communications Holdings will also receive $2.1 billion in cash. As part of the restructuring, TWE will distribute to AOL Time Warner all of TWE's major content assets, which include Home Box Office (HBO), Warner Bros., and stakes in The WB Network, Comedy Central and Court TV. Time Warner Cable, which will own substantially all of AOL Time Warner's cable interests, is expected to conduct an initial public offering of common stock following the restructuring. Under the restructuring agreement, Comcast Cable Communications Holdings has registration rights enabling it to dispose of its shares in Time Warner Cable and in AOL Time Warner. In connection with the transactions, Comcast Holdings and Comcast Cable Communications Holdings will also enter into a three-year non-exclusive agreement with AOL Time Warner under which AOL High-Speed Broadband service would be made available on certain of our cable systems which pass approximately 10 million homes.</w:t>
      </w:r>
    </w:p>
    <w:p>
      <w:pPr>
        <w:spacing w:after="0" w:line="390"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On November 13, 2002, the FCC gave conditional approval to the transfer of certain FCC licenses required to complete the AT&amp;T Comcast transaction. The Memorandum Opinion and Order issued by the FCC ordered AT&amp;T and Comcast Holdings to place Comcast Cable Communications Holdings' interest in TWE into irrevocable trust prior to completion of the transaction and to fully divest the TWE interest within five-and-a-half years after completion of the transaction.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divestiture period, the divestiture order prohibits us from any involvement in the video programming activities of TWE. Copies of the trust agreements pursuant to which Comcast Cable Communications Holdings' TWE interest will be placed into irrevocable trust are attached as exhibits to our Current Report on Form 8-K filed on November 18, 2002 incorporated by reference herein.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AT&amp;T acquired its stake in TWE as part of its June 2000 acquisition of the MediaOne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 In connection with the Comcast Cable Communications Holdings spin-off, all of AT&amp;T Broadband Group's interests and rights with respect to TWE were transferred to Comcast Cable Communications Holdings subsidiaries, and subsequently placed in trust for orderly disposition. The TWE restructuring is subject to receipt of certain regulatory approvals and other closing conditions, certain of which are outside our control.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Mutual Release; Indemnification.</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Mutual Release of Pre-Closing Claims. </w:t>
      </w:r>
      <w:r>
        <w:rPr>
          <w:rFonts w:ascii="Arial" w:cs="Arial" w:eastAsia="Arial" w:hAnsi="Arial"/>
          <w:sz w:val="18"/>
          <w:szCs w:val="18"/>
          <w:color w:val="auto"/>
        </w:rPr>
        <w:t>AT&amp;T and Comcast Cable Communications Holdings have each released the other from any and all claims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against the other party arising from any acts or events occurring or failing to occur prior to the completion of the Comcast Cable Communications Holdings spin-off, subject to certain exceptions specified in the separation and distribution agreement.</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Indemnification by AT&amp;T. AT&amp;T has indemnified Comcast Cable Communications Holdings from any and all liabilities relating to, arising out of or resulting from any of the following:</w:t>
      </w:r>
    </w:p>
    <w:p>
      <w:pPr>
        <w:spacing w:after="0" w:line="199" w:lineRule="exact"/>
        <w:rPr>
          <w:sz w:val="20"/>
          <w:szCs w:val="20"/>
          <w:color w:val="auto"/>
        </w:rPr>
      </w:pPr>
    </w:p>
    <w:p>
      <w:pPr>
        <w:ind w:left="1080" w:right="11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of AT&amp;T or any of its subsidiaries or any other person to pay any liabilities, or perform under any contracts, of AT&amp;T's communications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assets or contracts of AT&amp;T's communications business;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breach of the separation and distribution agreement or any of the ancillary agreements by AT&amp;T.</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i w:val="1"/>
          <w:iCs w:val="1"/>
          <w:color w:val="auto"/>
        </w:rPr>
        <w:t xml:space="preserve">Indemnification by Comcast Cable Communications Holdings. </w:t>
      </w:r>
      <w:r>
        <w:rPr>
          <w:rFonts w:ascii="Arial" w:cs="Arial" w:eastAsia="Arial" w:hAnsi="Arial"/>
          <w:sz w:val="18"/>
          <w:szCs w:val="18"/>
          <w:color w:val="auto"/>
        </w:rPr>
        <w:t>Comcast Cable Communications Holdings has indemnified AT&amp;T from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relating to, arising out of or resulting from any of the following:</w:t>
      </w:r>
    </w:p>
    <w:p>
      <w:pPr>
        <w:spacing w:after="0" w:line="199" w:lineRule="exact"/>
        <w:rPr>
          <w:sz w:val="20"/>
          <w:szCs w:val="20"/>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of Comcast Cable Communications Holdings or any of its subsidiaries or any other person to pay any liabilities, or perform under any contracts, of AT&amp;T's broadband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assets or contracts of AT&amp;T's broadband business;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breach of the separation and distribution agreement or any of the ancillary agreements by Comcast Cable Communications Holdings;</w:t>
      </w:r>
    </w:p>
    <w:p>
      <w:pPr>
        <w:spacing w:after="0" w:line="24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Tax Indemnification. </w:t>
      </w:r>
      <w:r>
        <w:rPr>
          <w:rFonts w:ascii="Arial" w:cs="Arial" w:eastAsia="Arial" w:hAnsi="Arial"/>
          <w:sz w:val="18"/>
          <w:szCs w:val="18"/>
          <w:color w:val="auto"/>
        </w:rPr>
        <w:t>Subject to the exceptions described below, Comcast Cable Communications Holdings has indemnified AT&amp;T against 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and related costs assessed against AT&amp;T resulting from the disqualification of the separation and the Comcast Cable Communications Holdings spin-off as tax-free transactions under Section 355 of the Code.</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such disqualification results from a transaction involving the stock or assets of Comcast Cable Communications Holdings occurring after the Comcast Cable Communications Holdings spin-off, from Comcast Cable Communications Holdings' failure to remain actively engaged in a trade or business or from the failure of any representation made with respect to Comcast Cable Communications Holdings in connection with certain tax opinions and Internal Revenue Service rulings, then Comcast Cable Communications Holdings will be required to indemnify AT&amp;T against all such taxes and related costs.</w:t>
      </w:r>
    </w:p>
    <w:p>
      <w:pPr>
        <w:sectPr>
          <w:pgSz w:w="11900" w:h="16857" w:orient="portrait"/>
          <w:cols w:equalWidth="0" w:num="1">
            <w:col w:w="11400"/>
          </w:cols>
          <w:pgMar w:left="240" w:top="131" w:right="259" w:bottom="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such disqualification results from a transaction involving the stock or assets of AT&amp;T occurring after the Comcast Cable Communications Holdings spin-off, from AT&amp;T's failure to remain actively engaged in a trade or business or from the failure of any representation made with respect to AT&amp;T in connection with certain tax opinions and Internal Revenue Service rulings, then Comcast Cable Communications Holdings is not required to indemnify AT&amp;T against any such taxes or related costs.</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Comcast Cable Communications Holdings has also indemnified AT&amp;T against 50% of the taxes and related costs resulting from the Liberty Media or AT&amp;T Wireless spin-offs failing to be tax-free, unless either spin-off becomes taxable as a result of an action taken by AT&amp;T or Comcast Cable Communications Holdings, in which case the acting party bears full responsibility for any resulting AT&amp;T liabilities. Comcast Cable Communications Holdings' obligation described in the preceding sentence is reduced by Comcast Cable Communications Holdings' share of any indemnification that AT&amp;T receives from Liberty Media or AT&amp;T Wireless as a result of the relevant spin-off failing to qualify as tax-free.</w:t>
      </w:r>
    </w:p>
    <w:p>
      <w:pPr>
        <w:spacing w:after="0" w:line="170"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i w:val="1"/>
          <w:iCs w:val="1"/>
          <w:color w:val="auto"/>
        </w:rPr>
        <w:t xml:space="preserve">Other Indemnification. </w:t>
      </w:r>
      <w:r>
        <w:rPr>
          <w:rFonts w:ascii="Arial" w:cs="Arial" w:eastAsia="Arial" w:hAnsi="Arial"/>
          <w:sz w:val="18"/>
          <w:szCs w:val="18"/>
          <w:color w:val="auto"/>
        </w:rPr>
        <w:t>Subject to the next sentence, AT&amp;T and Comcast Cable Communications Holdings have indemnified each other for 50%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resulting from any untrue statement or omission of a material fact in any registration statement relating to the Comcast Cable Communications Holdings spin-off or in any other filing made by AT&amp;T or Comcast Cable Communications Holdings with the Securities and Exchange Commission in connection with the separation, the Comcast Cable Communications Holdings spin-off, the Comcast Cable Communications Holdings merger or any related agreements. AT&amp;T also indemnified us and Comcast Cable Communications Holdings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AT&amp;T Comcast charter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Sharing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summary of the tax sharing agreement is qualified by reference to the tax sharing agreement, which is included as an exhibit to the registration statement of which this prospectus is a part.</w:t>
      </w:r>
    </w:p>
    <w:p>
      <w:pPr>
        <w:spacing w:after="0" w:line="18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In General. </w:t>
      </w:r>
      <w:r>
        <w:rPr>
          <w:rFonts w:ascii="Arial" w:cs="Arial" w:eastAsia="Arial" w:hAnsi="Arial"/>
          <w:sz w:val="16"/>
          <w:szCs w:val="16"/>
          <w:color w:val="auto"/>
        </w:rPr>
        <w:t>Comcast Cable Communications Holdings' tax liability, as described below, for the period beginning January 1, 2002 through November 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2002 will be included in the consolidated federal income tax return of AT&amp;T for 2002 and for the period beginning November 19, 2002 through December 31, 2002 will be included in the consolidated federal income tax return of Comcast. The tax sharing agreement provides for tax sharing payments between Comcast Cable Communications Holdings and AT&amp;T for periods prior to the Comcast Cable Communications Holdings spin-off, based on the taxes or tax benefits of hypothetical affiliated groups consisting of the businesses, assets and liabilities that make up Comcast Cable Communications Holdings, on the one hand, and all other businesses, assets and liabilities of AT&amp;T, on the other hand. Each group is generally responsible for the taxes attributable to its lines of business and entities comprising its group.</w:t>
      </w:r>
    </w:p>
    <w:p>
      <w:pPr>
        <w:spacing w:after="0" w:line="172"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AT&amp;T and Comcast Cable Communications Holdings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Comcast Cable Communications Holdings consistent with the allocations under the tax sharing agreement. As between AT&amp;T and Comcast Cable Communications Holdings, certain tax items are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specially allocated to the AT&amp;T group and Comcast Cable Communications Holdings group under the tax sharing agreement.</w:t>
      </w:r>
    </w:p>
    <w:p>
      <w:pPr>
        <w:spacing w:after="0" w:line="225" w:lineRule="exact"/>
        <w:rPr>
          <w:sz w:val="20"/>
          <w:szCs w:val="20"/>
          <w:color w:val="auto"/>
        </w:rPr>
      </w:pPr>
    </w:p>
    <w:p>
      <w:pPr>
        <w:jc w:val="both"/>
        <w:ind w:right="2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Comcast Cable Communications Holdings Spin-off. </w:t>
      </w:r>
      <w:r>
        <w:rPr>
          <w:rFonts w:ascii="Arial" w:cs="Arial" w:eastAsia="Arial" w:hAnsi="Arial"/>
          <w:sz w:val="15"/>
          <w:szCs w:val="15"/>
          <w:color w:val="auto"/>
        </w:rPr>
        <w:t>AT&amp;T and Comcast Cable Communications Holdings have agreed that taxes related to intercompany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transactions that are triggered by the Comcast Cable Communications Holdings spin-off will be generally allocated to Comcast Cable Communications Holdings.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Non-Income Tax Liabilities. </w:t>
      </w:r>
      <w:r>
        <w:rPr>
          <w:rFonts w:ascii="Arial" w:cs="Arial" w:eastAsia="Arial" w:hAnsi="Arial"/>
          <w:sz w:val="16"/>
          <w:szCs w:val="16"/>
          <w:color w:val="auto"/>
        </w:rPr>
        <w:t>AT&amp;T and Comcast Cable Communications Holdings have agreed that joint non-income tax liabilities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allocated between AT&amp;T and Comcast Cable Communications Holdings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61" w:lineRule="exact"/>
        <w:rPr>
          <w:sz w:val="20"/>
          <w:szCs w:val="20"/>
          <w:color w:val="auto"/>
        </w:rPr>
      </w:pPr>
    </w:p>
    <w:p>
      <w:pPr>
        <w:ind w:right="580" w:firstLine="345"/>
        <w:spacing w:after="0" w:line="332" w:lineRule="auto"/>
        <w:rPr>
          <w:sz w:val="20"/>
          <w:szCs w:val="20"/>
          <w:color w:val="auto"/>
        </w:rPr>
      </w:pPr>
      <w:r>
        <w:rPr>
          <w:rFonts w:ascii="Arial" w:cs="Arial" w:eastAsia="Arial" w:hAnsi="Arial"/>
          <w:sz w:val="16"/>
          <w:szCs w:val="16"/>
          <w:b w:val="1"/>
          <w:bCs w:val="1"/>
          <w:i w:val="1"/>
          <w:iCs w:val="1"/>
          <w:color w:val="auto"/>
        </w:rPr>
        <w:t xml:space="preserve">Audit Adjustments. </w:t>
      </w:r>
      <w:r>
        <w:rPr>
          <w:rFonts w:ascii="Arial" w:cs="Arial" w:eastAsia="Arial" w:hAnsi="Arial"/>
          <w:sz w:val="16"/>
          <w:szCs w:val="16"/>
          <w:color w:val="auto"/>
        </w:rPr>
        <w:t>AT&amp;T and Comcast Cable Communications Holdings have agreed that taxes resulting from audit adjustments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allocated between the two groups based on line of business. In general, AT&amp;T controls audits and administrative matters related to pre-spin-off periods.</w:t>
      </w:r>
    </w:p>
    <w:p>
      <w:pPr>
        <w:spacing w:after="0" w:line="13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Post-Spin-off Tax Attributes. </w:t>
      </w:r>
      <w:r>
        <w:rPr>
          <w:rFonts w:ascii="Arial" w:cs="Arial" w:eastAsia="Arial" w:hAnsi="Arial"/>
          <w:sz w:val="16"/>
          <w:szCs w:val="16"/>
          <w:color w:val="auto"/>
        </w:rPr>
        <w:t>Generally, Comcast Cable Communications Holdings may not carry back a loss, credit or other tax attribute from a post-spin-off period to a pre-spin-off period, unless Comcast Cable Communications Holdings obtains AT&amp;T's consent (which, in the case of significant net operating or capital loss carrybacks, may not be unreasonably withheld) and then only to the extent permitted by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Ancillary Agreements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addition to the other agreements described in this section, AT&amp;T and Comcast Cable Communications Holdings entered into various other commercial agreements in connection with the AT&amp;T Comcast transaction. A brief summary of these agreements follows:</w:t>
      </w:r>
    </w:p>
    <w:p>
      <w:pPr>
        <w:spacing w:after="0" w:line="186" w:lineRule="exact"/>
        <w:rPr>
          <w:sz w:val="20"/>
          <w:szCs w:val="20"/>
          <w:color w:val="auto"/>
        </w:rPr>
      </w:pPr>
    </w:p>
    <w:p>
      <w:pPr>
        <w:ind w:left="360"/>
        <w:spacing w:after="0"/>
        <w:tabs>
          <w:tab w:leader="none" w:pos="2640" w:val="left"/>
        </w:tabs>
        <w:rPr>
          <w:sz w:val="20"/>
          <w:szCs w:val="20"/>
          <w:color w:val="auto"/>
        </w:rPr>
      </w:pPr>
      <w:r>
        <w:rPr>
          <w:rFonts w:ascii="Arial" w:cs="Arial" w:eastAsia="Arial" w:hAnsi="Arial"/>
          <w:sz w:val="18"/>
          <w:szCs w:val="18"/>
          <w:b w:val="1"/>
          <w:bCs w:val="1"/>
          <w:i w:val="1"/>
          <w:iCs w:val="1"/>
          <w:color w:val="auto"/>
        </w:rPr>
        <w:t>Network Service Agreements.</w:t>
      </w:r>
      <w:r>
        <w:rPr>
          <w:sz w:val="20"/>
          <w:szCs w:val="20"/>
          <w:color w:val="auto"/>
        </w:rPr>
        <w:tab/>
      </w:r>
      <w:r>
        <w:rPr>
          <w:rFonts w:ascii="Arial" w:cs="Arial" w:eastAsia="Arial" w:hAnsi="Arial"/>
          <w:sz w:val="16"/>
          <w:szCs w:val="16"/>
          <w:color w:val="auto"/>
        </w:rPr>
        <w:t>AT&amp;T and Comcast Cable Communications Holdings entered into principal network service agreements as follows.</w:t>
      </w:r>
    </w:p>
    <w:p>
      <w:pPr>
        <w:spacing w:after="0" w:line="239" w:lineRule="exact"/>
        <w:rPr>
          <w:sz w:val="20"/>
          <w:szCs w:val="20"/>
          <w:color w:val="auto"/>
        </w:rPr>
      </w:pPr>
    </w:p>
    <w:p>
      <w:pPr>
        <w:ind w:left="1080" w:right="40" w:hanging="532"/>
        <w:spacing w:after="0" w:line="29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Master Carrier Agreement. </w:t>
      </w:r>
      <w:r>
        <w:rPr>
          <w:rFonts w:ascii="Arial" w:cs="Arial" w:eastAsia="Arial" w:hAnsi="Arial"/>
          <w:sz w:val="16"/>
          <w:szCs w:val="16"/>
          <w:color w:val="auto"/>
        </w:rPr>
        <w:t>This agreement reflects the rates, terms and conditions on which AT&amp;T Business Services Group will provide voice,</w:t>
      </w:r>
      <w:r>
        <w:rPr>
          <w:rFonts w:ascii="Arial" w:cs="Arial" w:eastAsia="Arial" w:hAnsi="Arial"/>
          <w:sz w:val="16"/>
          <w:szCs w:val="16"/>
          <w:i w:val="1"/>
          <w:iCs w:val="1"/>
          <w:color w:val="auto"/>
        </w:rPr>
        <w:t xml:space="preserve"> </w:t>
      </w:r>
      <w:r>
        <w:rPr>
          <w:rFonts w:ascii="Arial" w:cs="Arial" w:eastAsia="Arial" w:hAnsi="Arial"/>
          <w:sz w:val="16"/>
          <w:szCs w:val="16"/>
          <w:color w:val="auto"/>
        </w:rPr>
        <w:t>data and Internet services to Comcast Cable Communications Holdings, including both wholesale services (those used as a component in Comcast Cable Communications Holdings' services to its customers) and "administrative" services (for internal Comcast Cable Communications Holdings usage). Pricing is market based, with provisions defining an ongoing process to ensure that the prices remain competitive.</w:t>
      </w:r>
    </w:p>
    <w:p>
      <w:pPr>
        <w:sectPr>
          <w:pgSz w:w="11900" w:h="16838" w:orient="portrait"/>
          <w:cols w:equalWidth="0" w:num="1">
            <w:col w:w="11420"/>
          </w:cols>
          <w:pgMar w:left="240" w:top="131" w:right="239" w:bottom="0" w:gutter="0" w:footer="0" w:header="0"/>
        </w:sectPr>
      </w:pPr>
    </w:p>
    <w:bookmarkStart w:id="38" w:name="page39"/>
    <w:bookmarkEnd w:id="38"/>
    <w:p>
      <w:pPr>
        <w:jc w:val="both"/>
        <w:ind w:left="1080" w:right="16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First Amended and Restated Local Network Connectivity Services Agreement. </w:t>
      </w:r>
      <w:r>
        <w:rPr>
          <w:rFonts w:ascii="Arial" w:cs="Arial" w:eastAsia="Arial" w:hAnsi="Arial"/>
          <w:sz w:val="16"/>
          <w:szCs w:val="16"/>
          <w:color w:val="auto"/>
        </w:rPr>
        <w:t>This agreement reflects the rates, terms and conditions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AT&amp;T Business Services Group will provide certain local network connectivity services to Comcast Cable Communications Holdings for use in providing local telephone services to Comcast Cable Communications Holdings' subscribers. This agreement consists of two parts: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620" w:right="100" w:hanging="532"/>
        <w:spacing w:after="0" w:line="259"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capital lease from AT&amp;T Business Services Group to Comcast Cable Communications Holdings of certain network switching and transport assets to be used exclusively by Comcast Cable Communications Holdings for a term of up to ten years, commencing January 1, 2002 for initial assets leased under the agreement; and</w:t>
      </w:r>
    </w:p>
    <w:p>
      <w:pPr>
        <w:spacing w:after="0" w:line="207" w:lineRule="exact"/>
        <w:rPr>
          <w:rFonts w:ascii="Arial" w:cs="Arial" w:eastAsia="Arial" w:hAnsi="Arial"/>
          <w:sz w:val="18"/>
          <w:szCs w:val="18"/>
          <w:color w:val="auto"/>
        </w:rPr>
      </w:pPr>
    </w:p>
    <w:p>
      <w:pPr>
        <w:ind w:left="1620" w:right="60" w:hanging="532"/>
        <w:spacing w:after="0" w:line="332" w:lineRule="auto"/>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 operating agreement for the provision of local network connectivity, management and operational services in support of Comcast Cable Communications Holdings' local cable telephone services, with a minimum term of five years commencing January 1, 2002.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0" w:hanging="532"/>
        <w:spacing w:after="0" w:line="291"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Master Facilities Agreement. </w:t>
      </w:r>
      <w:r>
        <w:rPr>
          <w:rFonts w:ascii="Arial" w:cs="Arial" w:eastAsia="Arial" w:hAnsi="Arial"/>
          <w:sz w:val="16"/>
          <w:szCs w:val="16"/>
          <w:color w:val="auto"/>
        </w:rPr>
        <w:t>This agreement permits AT&amp;T or any of its subsidiaries to use existing fiber facilities owned or leased by Comcast</w:t>
      </w:r>
      <w:r>
        <w:rPr>
          <w:rFonts w:ascii="Arial" w:cs="Arial" w:eastAsia="Arial" w:hAnsi="Arial"/>
          <w:sz w:val="16"/>
          <w:szCs w:val="16"/>
          <w:i w:val="1"/>
          <w:iCs w:val="1"/>
          <w:color w:val="auto"/>
        </w:rPr>
        <w:t xml:space="preserve"> </w:t>
      </w:r>
      <w:r>
        <w:rPr>
          <w:rFonts w:ascii="Arial" w:cs="Arial" w:eastAsia="Arial" w:hAnsi="Arial"/>
          <w:sz w:val="16"/>
          <w:szCs w:val="16"/>
          <w:color w:val="auto"/>
        </w:rPr>
        <w:t>Cable Communications Holdings or its controlled affiliates, together with related services. In addition, Comcast Cable Communications Holdings will construct and lease to AT&amp;T new fiber facilities in the areas served by Comcast Cable Communications Holdings'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20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Interconnection and Intercarrier Compensation Term Sheet. </w:t>
      </w:r>
      <w:r>
        <w:rPr>
          <w:rFonts w:ascii="Arial" w:cs="Arial" w:eastAsia="Arial" w:hAnsi="Arial"/>
          <w:sz w:val="18"/>
          <w:szCs w:val="18"/>
          <w:color w:val="auto"/>
        </w:rPr>
        <w:t>This agreement, which has a five-year initial term commencing January 1, 2002,</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specifies the terms of interconnection of the parties' networks, and compensation for: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origination or termination of interexchange traffic for the other party;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exchange of local traffic between the parties' local customers.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High Speed Internet Services Binding Term Sheet. </w:t>
      </w:r>
      <w:r>
        <w:rPr>
          <w:rFonts w:ascii="Arial" w:cs="Arial" w:eastAsia="Arial" w:hAnsi="Arial"/>
          <w:sz w:val="16"/>
          <w:szCs w:val="16"/>
          <w:color w:val="auto"/>
        </w:rPr>
        <w:t>This agreement reflects the rates, terms and conditions on which AT&amp;T will provide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procedures and services to support Comcast Cable Communications Holdings in its provision of broadband Internet services to Comcast Cable Communications Holdings subscribers. This agreement has a four-year initial term commencing December 4, 2001.</w:t>
      </w:r>
    </w:p>
    <w:p>
      <w:pPr>
        <w:spacing w:after="0" w:line="174" w:lineRule="exact"/>
        <w:rPr>
          <w:rFonts w:ascii="Arial" w:cs="Arial" w:eastAsia="Arial" w:hAnsi="Arial"/>
          <w:sz w:val="16"/>
          <w:szCs w:val="16"/>
          <w:color w:val="auto"/>
        </w:rPr>
      </w:pPr>
    </w:p>
    <w:p>
      <w:pPr>
        <w:ind w:left="1080" w:right="20" w:hanging="532"/>
        <w:spacing w:after="0" w:line="25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Agreement. </w:t>
      </w:r>
      <w:r>
        <w:rPr>
          <w:rFonts w:ascii="Arial" w:cs="Arial" w:eastAsia="Arial" w:hAnsi="Arial"/>
          <w:sz w:val="18"/>
          <w:szCs w:val="18"/>
          <w:color w:val="auto"/>
        </w:rPr>
        <w:t>This agreement specifies the ownership and license rights granted by each party to the other in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software, copyrights and trade secrets. Among other rights granted, the effect of this agreement is to allow Comcast Cable Communications Holdings and AT&amp;T to continue to have the same rights to use the intellectual property that they had at the time of the separation and Comcast Cable Communications Holdings spin-off.</w:t>
      </w:r>
    </w:p>
    <w:p>
      <w:pPr>
        <w:spacing w:after="0" w:line="210"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Corporate Name Agreement. </w:t>
      </w:r>
      <w:r>
        <w:rPr>
          <w:rFonts w:ascii="Arial" w:cs="Arial" w:eastAsia="Arial" w:hAnsi="Arial"/>
          <w:sz w:val="16"/>
          <w:szCs w:val="16"/>
          <w:color w:val="auto"/>
        </w:rPr>
        <w:t>AT&amp;T and we entered into a corporate name agreement immediately prior to the completion of the AT&amp;T Comcast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pursuant to which AT&amp;T will grant to us the right to use the term "AT&amp;T" as part of our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 On November 18, 2002, we changed our name from AT&amp;T Comcast Corporation to Comcast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QUIPS Exchange</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Prior to the AT&amp;T Comcast transaction, Microsoft (through a wholly owned subsidiary) held $5 billion in aggregate liquidation preference amount of 5% Convertible Quarterly Income Preferred Securities, referred to in this prospectus by their acronym "QUIPS," of AT&amp;T Finance Trust I, a Delaware business trust. The QUIPS were convertible into $5 billion aggregate face amount of 5% Junior Convertible Subordinated Debentures due 2029 of AT&amp;T, which were in turn convertible into AT&amp;T common stock. In connection with the AT&amp;T Comcast transaction, Comcast Holdings and Microsoft entered into an exchange agreement dated December 7, 2001 relating to the exchange of the QUIPS for a combination of our voting and non-voting shares to be issued in the merger, and on December 19, 2001 we became a party to the exchange agreement by executing the instrument of admission. On March 11, 2002, the parties amended the exchange agreement and instrument of admission. The following summary of the exchange agreement and the instrument of admission, in each case as amended, is qualified in its entirety by reference to the complete texts of the exchange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agreement and the instrument of admission, in each case as amended, which are incorporated by reference and attached as exhibits to the registration statement in which this prospectus is included.</w:t>
      </w:r>
    </w:p>
    <w:p>
      <w:pPr>
        <w:spacing w:after="0" w:line="186"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b w:val="1"/>
          <w:bCs w:val="1"/>
          <w:i w:val="1"/>
          <w:iCs w:val="1"/>
          <w:color w:val="auto"/>
        </w:rPr>
        <w:t xml:space="preserve">The Exchange. </w:t>
      </w:r>
      <w:r>
        <w:rPr>
          <w:rFonts w:ascii="Arial" w:cs="Arial" w:eastAsia="Arial" w:hAnsi="Arial"/>
          <w:sz w:val="15"/>
          <w:szCs w:val="15"/>
          <w:color w:val="auto"/>
        </w:rPr>
        <w:t>In the exchange agreement and instrument of admission, we agreed to exchange the QUIPS for approximately 100.6 million shares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Class A Common Stock, and approximately 14.4 million shares of our non-voting Class A Special Common Stock in the AT&amp;T Comcast transaction. If Microsoft transfers shares of our Class A Common Stock or its voting interest in us is diluted below 4.95%, subject to certain conditions, Microsoft will have the right to cause us to exchange the shares of our non-voting Class A Special Common Stock received in the AT&amp;T Comcast transaction for shares of our voting Class A Common Stock provided that its voting interest in us does not exceed 4.95% after the exchange. Prior to six months after completion of the Microsoft transaction, subject to certain exceptions, Microsoft has agreed that neither Microsoft nor any of its wholly-owned subsidiaries will sell, or enter into any agreement, arrangement or negotiations relating to the sale of, any of the shares of our Class A Special Common Stock that it received in connection with the Microsoft transaction. Comcast Holdings agreed to indemnify Microsoft against any claim by Comcast Holdings, AT&amp;T or any shareholder of Comcast Holdings, AT&amp;T or us for any loss arising as a result of the Comcast Cable Communications Holdings spin-off or the mergers failing to be tax-free, except to the extent such a failure</w:t>
      </w:r>
    </w:p>
    <w:p>
      <w:pPr>
        <w:sectPr>
          <w:pgSz w:w="11900" w:h="16838" w:orient="portrait"/>
          <w:cols w:equalWidth="0" w:num="1">
            <w:col w:w="11420"/>
          </w:cols>
          <w:pgMar w:left="240" w:top="145" w:right="239" w:bottom="0" w:gutter="0" w:footer="0" w:header="0"/>
        </w:sectPr>
      </w:pPr>
    </w:p>
    <w:bookmarkStart w:id="39" w:name="page40"/>
    <w:bookmarkEnd w:id="39"/>
    <w:p>
      <w:pPr>
        <w:ind w:right="60"/>
        <w:spacing w:after="0" w:line="268" w:lineRule="auto"/>
        <w:rPr>
          <w:sz w:val="20"/>
          <w:szCs w:val="20"/>
          <w:color w:val="auto"/>
        </w:rPr>
      </w:pPr>
      <w:r>
        <w:rPr>
          <w:rFonts w:ascii="Arial" w:cs="Arial" w:eastAsia="Arial" w:hAnsi="Arial"/>
          <w:sz w:val="18"/>
          <w:szCs w:val="18"/>
          <w:color w:val="auto"/>
        </w:rPr>
        <w:t>results directly from a breach by Microsoft of the lock-up agreement described above or of the failure of a related representation and warranty made by Microsoft in the exchange agreement.</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Internet Access. </w:t>
      </w:r>
      <w:r>
        <w:rPr>
          <w:rFonts w:ascii="Arial" w:cs="Arial" w:eastAsia="Arial" w:hAnsi="Arial"/>
          <w:sz w:val="16"/>
          <w:szCs w:val="16"/>
          <w:color w:val="auto"/>
        </w:rPr>
        <w:t>Until the fifth anniversary of the Microsoft transaction, we have agreed that if we offer a high-speed Internet access agreement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party, then we will be obligated to offer an agreement on nondiscriminatory terms with respect to the same cable systems to Microsoft for its ISP, The Microsoft Network. In connection with Comcast Holdings' and AT&amp;T's agreement with AOL Time Warner providing for the restructuring of TWE, Comcast Holdings and Comcast Cable Communications will enter into a three-year non-exclusive access agreement with AOL Time Warner. Because Comcast Holdings has also entered into an access agreement with United Online and Comcast Cable Communications Holdings has also entered into an access agreement with each of Earthlink, Internet Central, Connected Data Systems, Galaxy Internet Services and Connect Plus International, we will be required after the consummation of the AT&amp;T Comcast transaction, with respect to each such agreement with another ISP, including the agreement to be entered into with AOL Time Warner, to offer an access agreement to Microsoft on terms no less favorable than those provided to the other ISP with respect to the specific cable systems covered under the agreement with the other ISP.</w:t>
      </w:r>
    </w:p>
    <w:p>
      <w:pPr>
        <w:spacing w:after="0" w:line="17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Interactive Technology Agreement. </w:t>
      </w:r>
      <w:r>
        <w:rPr>
          <w:rFonts w:ascii="Arial" w:cs="Arial" w:eastAsia="Arial" w:hAnsi="Arial"/>
          <w:sz w:val="18"/>
          <w:szCs w:val="18"/>
          <w:color w:val="auto"/>
        </w:rPr>
        <w:t>In connection with the exchange agreement, Microsoft and Comcast Cable entered into a letter of intent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negotiating a definitive agreement pursuant to which the parties will conduct a trial during 2003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Cross Guarantees</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To simplify our capital structure and to insure that our traded debt securities and those of Comcast Cable, Comcast Cable Communications Holdings, Comcast Cable Holdings and Comcast MO Group will be treated equally, upon completion of the AT&amp;T Comcast transaction, we, Comcast Cable, Comcast Cable Communications Holdings, Comcast Cable Holdings and Comcast MO Group each fully and unconditionally guaranteed each other's traded debt securities.</w:t>
      </w:r>
    </w:p>
    <w:p>
      <w:pPr>
        <w:spacing w:after="0" w:line="14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Comcast Holdings did not become a guarantor, and its debt securities were not guaranteed, because we believe that future investors will be interested in "pure play" debt securities of our cable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communications operations and not Comcast Holdings' commerce and content assets, such as QVC, E! Entertainment and Comcast Spectacor. Comcast MO of Delaware, Inc., formerly known as MediaOne of Delaware, Inc., and one of AT&amp;T's cable subsidiaries that was transferred to Comcast Cable Communications Holdings in the AT&amp;T Comcast transaction, which we refer to in this prospectus as Continental, also did not become a guarantor, and its debt securities were not guaranteed, because Continental's indentures contain covenants that effectively prohibit Continental from guaranteeing its affiliates' debt obligations. If these indentures were amended to permit guarantees of affiliate debt obligations, Continental might become a guarantor and its debt securities might be cross-guaranteed.</w:t>
      </w:r>
    </w:p>
    <w:p>
      <w:pPr>
        <w:spacing w:after="0" w:line="198" w:lineRule="exact"/>
        <w:rPr>
          <w:sz w:val="20"/>
          <w:szCs w:val="20"/>
          <w:color w:val="auto"/>
        </w:rPr>
      </w:pPr>
    </w:p>
    <w:p>
      <w:pPr>
        <w:ind w:right="100" w:firstLine="348"/>
        <w:spacing w:after="0" w:line="310" w:lineRule="auto"/>
        <w:rPr>
          <w:sz w:val="20"/>
          <w:szCs w:val="20"/>
          <w:color w:val="auto"/>
        </w:rPr>
      </w:pPr>
      <w:r>
        <w:rPr>
          <w:rFonts w:ascii="Arial" w:cs="Arial" w:eastAsia="Arial" w:hAnsi="Arial"/>
          <w:sz w:val="15"/>
          <w:szCs w:val="15"/>
          <w:color w:val="auto"/>
        </w:rPr>
        <w:t>The following table presents as of September 30, 2002 for each of Comcast Cable, Comcast Cable Holdings, Comcast MO Group and Continental, their pro forma payment obligations for principal, excluding obligations of their subsidiaries and excluding interest but including principal accreted under discount obligations, under (a) debt securities that are subject, or in the case of Continental, might be subject, to the cross guarantees, (b) other contractual liabilities, including capital leases, none of which will be subject to the cross-guarantees and (c) operating leases, none of which will be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Comcast Cable Communications Holdings the pro forma effect of its issuance in connection with the AT&amp;T Comcast transaction of approximately $3.50 billion in debt securities to retire existing AT&amp;T debt. The table also presents for us the pro forma effect of our borrowings under the New Credit Facility in connection with the closing of the AT&amp;T Comcast transaction.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Payments Due by Period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Payment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Remainder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76"/>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4"/>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of 2002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1-2 Years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9"/>
              </w:rPr>
              <w:t>3-5 Years</w:t>
            </w:r>
          </w:p>
        </w:tc>
        <w:tc>
          <w:tcPr>
            <w:tcW w:w="1040" w:type="dxa"/>
            <w:vAlign w:val="bottom"/>
          </w:tcPr>
          <w:p>
            <w:pPr>
              <w:jc w:val="right"/>
              <w:ind w:right="41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(In millions, unaudited)</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Comcast: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New Credit Facility</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7,180.0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7,180.0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 including capital leases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Comcast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4180" w:type="dxa"/>
            <w:vAlign w:val="bottom"/>
            <w:gridSpan w:val="2"/>
          </w:tcPr>
          <w:p>
            <w:pPr>
              <w:spacing w:after="0"/>
              <w:rPr>
                <w:sz w:val="20"/>
                <w:szCs w:val="20"/>
                <w:color w:val="auto"/>
              </w:rPr>
            </w:pPr>
            <w:r>
              <w:rPr>
                <w:rFonts w:ascii="Arial" w:cs="Arial" w:eastAsia="Arial" w:hAnsi="Arial"/>
                <w:sz w:val="18"/>
                <w:szCs w:val="18"/>
                <w:color w:val="auto"/>
              </w:rPr>
              <w:t>Comcast Cable: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Guaranteed debt securities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Other liabilities, including capital leases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Total Comcast Cable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7,828.5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2,888.1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Comcast Cable Communications Holdings:</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Guaranteed debt securities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3,505.1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 including capital leases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-3211195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-3211195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-2867660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-2867660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-2867660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-2867660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-2867660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-2867660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-2867660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-2867660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-2867660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-2867660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-2867660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-2867660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-1864360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-1864360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-1864360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-1864360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-1864360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-1864360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-1864360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-1864360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-1864360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-1864360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-818515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-818515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-818515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-818515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-818515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-818515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-818515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-818515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-818515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-818515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2"/>
        </w:trPr>
        <w:tc>
          <w:tcPr>
            <w:tcW w:w="44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47"/>
        </w:trPr>
        <w:tc>
          <w:tcPr>
            <w:tcW w:w="440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r>
      <w:tr>
        <w:trPr>
          <w:trHeight w:val="105"/>
        </w:trPr>
        <w:tc>
          <w:tcPr>
            <w:tcW w:w="4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43"/>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Comcast Cable Communications Holdings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3,505.1</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3,505.1</w:t>
            </w: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Comcast Cable Holdings: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Guaranteed debt securities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5,883.9</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1,748.7</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w:t>
            </w:r>
          </w:p>
        </w:tc>
      </w:tr>
      <w:tr>
        <w:trPr>
          <w:trHeight w:val="242"/>
        </w:trPr>
        <w:tc>
          <w:tcPr>
            <w:tcW w:w="4400" w:type="dxa"/>
            <w:vAlign w:val="bottom"/>
          </w:tcPr>
          <w:p>
            <w:pPr>
              <w:ind w:left="220"/>
              <w:spacing w:after="0"/>
              <w:rPr>
                <w:sz w:val="20"/>
                <w:szCs w:val="20"/>
                <w:color w:val="auto"/>
              </w:rPr>
            </w:pPr>
            <w:r>
              <w:rPr>
                <w:rFonts w:ascii="Arial" w:cs="Arial" w:eastAsia="Arial" w:hAnsi="Arial"/>
                <w:sz w:val="18"/>
                <w:szCs w:val="18"/>
                <w:color w:val="auto"/>
              </w:rPr>
              <w:t>Other liabilities, including capital leases</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118"/>
        </w:trPr>
        <w:tc>
          <w:tcPr>
            <w:tcW w:w="44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346"/>
        </w:trPr>
        <w:tc>
          <w:tcPr>
            <w:tcW w:w="4400" w:type="dxa"/>
            <w:vAlign w:val="bottom"/>
          </w:tcPr>
          <w:p>
            <w:pPr>
              <w:ind w:left="440"/>
              <w:spacing w:after="0"/>
              <w:rPr>
                <w:sz w:val="20"/>
                <w:szCs w:val="20"/>
                <w:color w:val="auto"/>
              </w:rPr>
            </w:pPr>
            <w:r>
              <w:rPr>
                <w:rFonts w:ascii="Arial" w:cs="Arial" w:eastAsia="Arial" w:hAnsi="Arial"/>
                <w:sz w:val="18"/>
                <w:szCs w:val="18"/>
                <w:color w:val="auto"/>
              </w:rPr>
              <w:t>Total Comcast Cable Holdings</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5,936.1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1,774.5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1,181.4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2,946.6</w:t>
            </w:r>
          </w:p>
        </w:tc>
      </w:tr>
      <w:tr>
        <w:trPr>
          <w:trHeight w:val="120"/>
        </w:trPr>
        <w:tc>
          <w:tcPr>
            <w:tcW w:w="44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105"/>
        </w:trPr>
        <w:tc>
          <w:tcPr>
            <w:tcW w:w="4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432"/>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MO Group:</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2"/>
        </w:trPr>
        <w:tc>
          <w:tcPr>
            <w:tcW w:w="4400" w:type="dxa"/>
            <w:vAlign w:val="bottom"/>
          </w:tcPr>
          <w:p>
            <w:pPr>
              <w:ind w:left="220"/>
              <w:spacing w:after="0"/>
              <w:rPr>
                <w:sz w:val="20"/>
                <w:szCs w:val="20"/>
                <w:color w:val="auto"/>
              </w:rPr>
            </w:pPr>
            <w:r>
              <w:rPr>
                <w:rFonts w:ascii="Arial" w:cs="Arial" w:eastAsia="Arial" w:hAnsi="Arial"/>
                <w:sz w:val="18"/>
                <w:szCs w:val="18"/>
                <w:color w:val="auto"/>
              </w:rPr>
              <w:t>Guaranteed debt securities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302.8</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4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 including capital leases</w:t>
            </w: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44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44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105"/>
        </w:trPr>
        <w:tc>
          <w:tcPr>
            <w:tcW w:w="4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43"/>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Comcast MO Group</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430"/>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24,756.8</w:t>
            </w:r>
          </w:p>
        </w:tc>
        <w:tc>
          <w:tcPr>
            <w:tcW w:w="22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9,284.1</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4,151.8</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11,275.3</w:t>
            </w:r>
          </w:p>
        </w:tc>
      </w:tr>
      <w:tr>
        <w:trPr>
          <w:trHeight w:val="107"/>
        </w:trPr>
        <w:tc>
          <w:tcPr>
            <w:tcW w:w="4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44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r>
      <w:tr>
        <w:trPr>
          <w:trHeight w:val="105"/>
        </w:trPr>
        <w:tc>
          <w:tcPr>
            <w:tcW w:w="4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432"/>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Continental:</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2"/>
        </w:trPr>
        <w:tc>
          <w:tcPr>
            <w:tcW w:w="4400" w:type="dxa"/>
            <w:vAlign w:val="bottom"/>
          </w:tcPr>
          <w:p>
            <w:pPr>
              <w:ind w:left="220"/>
              <w:spacing w:after="0"/>
              <w:rPr>
                <w:sz w:val="20"/>
                <w:szCs w:val="20"/>
                <w:color w:val="auto"/>
              </w:rPr>
            </w:pPr>
            <w:r>
              <w:rPr>
                <w:rFonts w:ascii="Arial" w:cs="Arial" w:eastAsia="Arial" w:hAnsi="Arial"/>
                <w:sz w:val="18"/>
                <w:szCs w:val="18"/>
                <w:color w:val="auto"/>
              </w:rPr>
              <w:t>Potentially guaranteed debt securities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tcPr>
          <w:p>
            <w:pPr>
              <w:spacing w:after="0"/>
              <w:rPr>
                <w:sz w:val="21"/>
                <w:szCs w:val="21"/>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875.0</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825.0</w:t>
            </w:r>
          </w:p>
        </w:tc>
      </w:tr>
      <w:tr>
        <w:trPr>
          <w:trHeight w:val="24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 including capital leases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44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44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r>
      <w:tr>
        <w:trPr>
          <w:trHeight w:val="105"/>
        </w:trPr>
        <w:tc>
          <w:tcPr>
            <w:tcW w:w="4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43"/>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Continental</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r>
      <w:tr>
        <w:trPr>
          <w:trHeight w:val="105"/>
        </w:trPr>
        <w:tc>
          <w:tcPr>
            <w:tcW w:w="4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44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r>
      <w:tr>
        <w:trPr>
          <w:trHeight w:val="535"/>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8"/>
        </w:trPr>
        <w:tc>
          <w:tcPr>
            <w:tcW w:w="4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-4576445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-4576445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-4576445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-4576445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-4576445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-4576445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-4576445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-4576445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-4576445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-4576445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-3530600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-3530600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-3530600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-3530600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-3530600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-3530600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-3530600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-3530600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-3530600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-3530600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-3221355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-3221355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-3221355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-3221355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-3221355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-3221355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-3221355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-3221355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-3221355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-3221355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-2329815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-2329815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-2329815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-2329815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-2329815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-2329815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-2329815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-2329815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-2329815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-2329815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-837565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-837565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-837565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-837565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-837565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-837565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-837565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-837565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-837565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194"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ectPr>
          <w:pgSz w:w="11900" w:h="16838" w:orient="portrait"/>
          <w:cols w:equalWidth="0" w:num="1">
            <w:col w:w="11420"/>
          </w:cols>
          <w:pgMar w:left="240" w:top="131" w:right="239" w:bottom="41" w:gutter="0" w:footer="0" w:header="0"/>
        </w:sectPr>
      </w:pPr>
    </w:p>
    <w:bookmarkStart w:id="41" w:name="page42"/>
    <w:bookmarkEnd w:id="41"/>
    <w:p>
      <w:pPr>
        <w:ind w:right="120" w:firstLine="3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balance sheet of Comcast at December 31, 2001 in Comcast's Current Report on Form 8-K/A dated November 18, 2002 filed on December 16, 2002 has been audited by Deloitte &amp; Touche LLP, independent auditors, as stated in their report, which is incorporated herein by reference, and has been so incorporated herein in reliance upon the report of such firm given upon their authority as experts in accounting and auditing.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Holdings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consolidated financial statements and the related financial statement schedule of Comcast Holdings incorporated in this prospectus by reference from Comcast's Current Report on Form 8-K/A dated November 18, 2002 filed on December 16, 2002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 of such firm given upon their authority as experts in accounting and auditing.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financial statements and the related financial statement schedule of Comcast Cable, an indirect wholly-owned subsidiary of Comcast, and subsidiaries incorporated in this prospectus by reference from Comcast Cable's Annual Report on Form 10-K for the year ended December 31, 2001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 Broadband Group</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statement or otherwise filed with the SEC are only summaries of the documents' material terms. If you want a complete description of the content of the documents, you should obtain the documents by following the procedures described below.</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Comcast Cable Communications Holdings, Comcast MO Group and Comcast Cable Holdings do not currently file information with the SEC. We, and Comcast Holdings as our predecessor, file annual, quarterly and special reports and other information with the SEC. Although Comcast Cable, which currently files annual, quarterly and special reports and other information with the SEC, and the other cable guarantors would normally be required to file information with the SEC on an ongoing basis, we expect that Comcast Cable and the cable guarantors will be exempt from this filing obligation for as long as we continue to file our information with the SEC. You may read and copy any document we, Comcast Holdings or Comcast Cable file at the SEC's public reference room located at 450 Fifth Street, N.W., Washington, D.C. 20549. Please call the SEC at 1-800-SEC-0330 for further information on the public reference rooms. Our SEC filings, including the complete registration statement and all of the exhibits to it, and the SEC filings of Comcast Holdings and Comcast Cable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ectPr>
          <w:pgSz w:w="11900" w:h="16838" w:orient="portrait"/>
          <w:cols w:equalWidth="0" w:num="1">
            <w:col w:w="11420"/>
          </w:cols>
          <w:pgMar w:left="240" w:top="131" w:right="239" w:bottom="135" w:gutter="0" w:footer="0" w:header="0"/>
        </w:sectPr>
      </w:pPr>
    </w:p>
    <w:bookmarkStart w:id="42" w:name="page43"/>
    <w:bookmarkEnd w:id="42"/>
    <w:p>
      <w:pPr>
        <w:spacing w:after="0" w:line="57" w:lineRule="exact"/>
        <w:rPr>
          <w:sz w:val="20"/>
          <w:szCs w:val="20"/>
          <w:color w:val="auto"/>
        </w:rPr>
      </w:pPr>
    </w:p>
    <w:p>
      <w:pPr>
        <w:ind w:right="20" w:firstLine="345"/>
        <w:spacing w:after="0" w:line="294" w:lineRule="auto"/>
        <w:rPr>
          <w:sz w:val="20"/>
          <w:szCs w:val="20"/>
          <w:color w:val="auto"/>
        </w:rPr>
      </w:pPr>
      <w:r>
        <w:rPr>
          <w:rFonts w:ascii="Arial" w:cs="Arial" w:eastAsia="Arial" w:hAnsi="Arial"/>
          <w:sz w:val="16"/>
          <w:szCs w:val="16"/>
          <w:color w:val="auto"/>
        </w:rPr>
        <w:t>You should rely only on the information contained in this prospectus, in the accompanying prospectus supplement and in material we, Comcast Holdings and Comcast Cable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and the filings of Comcast Holdings and Comcast Cable with the SEC is accurate only as of its date, regardless of the time of delivery of this prospectus and the prospectus supplement or of any sale of the securities.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prospectus incorporates by reference the documents set forth below that we, Comcast Holdings and Comcast Cable have previously filed with the SEC.</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Comcast SEC Filings (File No. 333-82460)</w:t>
      </w:r>
    </w:p>
    <w:p>
      <w:pPr>
        <w:spacing w:after="0" w:line="239" w:lineRule="exact"/>
        <w:rPr>
          <w:sz w:val="20"/>
          <w:szCs w:val="20"/>
          <w:color w:val="auto"/>
        </w:rPr>
      </w:pPr>
    </w:p>
    <w:p>
      <w:pPr>
        <w:ind w:left="360" w:firstLine="188"/>
        <w:spacing w:after="0" w:line="501"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Report on Form 8-K filed on October 30, 2002 and Current Report on Form 8-K/A dated November 18, 2002 filed on December 16, 2002. Comcast Holdings SEC Filings (File No. 001-15471)</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Report on Form 10-K (except for Item 8) for the year ended December 31, 2001, filed on March 29, 2002.</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2002, filed on May 15, 2002, June 30, 2002, filed on August 14, 2002, and September 30, 2002, filed on October 30, 2002.</w:t>
      </w:r>
    </w:p>
    <w:p>
      <w:pPr>
        <w:spacing w:after="0" w:line="199" w:lineRule="exact"/>
        <w:rPr>
          <w:rFonts w:ascii="Arial" w:cs="Arial" w:eastAsia="Arial" w:hAnsi="Arial"/>
          <w:sz w:val="18"/>
          <w:szCs w:val="18"/>
          <w:color w:val="auto"/>
        </w:rPr>
      </w:pPr>
    </w:p>
    <w:p>
      <w:pPr>
        <w:ind w:left="360" w:right="20" w:firstLine="188"/>
        <w:spacing w:after="0" w:line="501"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Reports on Form 8-K filed on May 3, 2002, July 10, 2002, August 1, 2002, September 26, 2002, October 4, 2002 and November 18, 2002. Comcast Cable SEC Filings (File No. 333-30745)</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2001, filed on March 29,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2002, filed on May 15, 2002, June 30, 2002, filed on August 14, 2002, and September 30, 2002, filed on November 13, 2002.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Current Report on Form 8-K filed on November 18, 2002.</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67"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will provide free copies of any of those documents, if you write or telephone us at: 1500 Market Street, Philadelphia, Pennsylvania 19102-2148, (215) 665-1700.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474345</wp:posOffset>
            </wp:positionV>
            <wp:extent cx="2160905" cy="548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609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$600,000,000 5.85% Notes due 2010</w:t>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$900,000,000 6.50% Notes due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140335</wp:posOffset>
            </wp:positionV>
            <wp:extent cx="12560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560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45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5"/>
              </w:rPr>
              <w:t>PROSPECTUS SUPPLEMENT</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680" w:type="dxa"/>
            <w:vAlign w:val="bottom"/>
          </w:tcPr>
          <w:p>
            <w:pPr>
              <w:spacing w:after="0"/>
              <w:rPr>
                <w:sz w:val="24"/>
                <w:szCs w:val="24"/>
                <w:color w:val="auto"/>
              </w:rPr>
            </w:pPr>
          </w:p>
        </w:tc>
        <w:tc>
          <w:tcPr>
            <w:tcW w:w="4520" w:type="dxa"/>
            <w:vAlign w:val="bottom"/>
            <w:gridSpan w:val="5"/>
          </w:tcPr>
          <w:p>
            <w:pPr>
              <w:jc w:val="center"/>
              <w:ind w:right="440"/>
              <w:spacing w:after="0"/>
              <w:rPr>
                <w:sz w:val="20"/>
                <w:szCs w:val="20"/>
                <w:color w:val="auto"/>
              </w:rPr>
            </w:pPr>
            <w:r>
              <w:rPr>
                <w:rFonts w:ascii="Arial" w:cs="Arial" w:eastAsia="Arial" w:hAnsi="Arial"/>
                <w:sz w:val="18"/>
                <w:szCs w:val="18"/>
                <w:i w:val="1"/>
                <w:iCs w:val="1"/>
                <w:color w:val="auto"/>
                <w:w w:val="89"/>
              </w:rPr>
              <w:t>Joint Book-Running Managers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3680" w:type="dxa"/>
            <w:vAlign w:val="bottom"/>
          </w:tcPr>
          <w:p>
            <w:pPr>
              <w:spacing w:after="0"/>
              <w:rPr>
                <w:sz w:val="20"/>
                <w:szCs w:val="20"/>
                <w:color w:val="auto"/>
              </w:rPr>
            </w:pPr>
            <w:r>
              <w:rPr>
                <w:rFonts w:ascii="Arial" w:cs="Arial" w:eastAsia="Arial" w:hAnsi="Arial"/>
                <w:sz w:val="32"/>
                <w:szCs w:val="32"/>
                <w:b w:val="1"/>
                <w:bCs w:val="1"/>
                <w:color w:val="auto"/>
              </w:rPr>
              <w:t>JPMorgan</w:t>
            </w:r>
          </w:p>
        </w:tc>
        <w:tc>
          <w:tcPr>
            <w:tcW w:w="4520" w:type="dxa"/>
            <w:vAlign w:val="bottom"/>
            <w:gridSpan w:val="5"/>
          </w:tcPr>
          <w:p>
            <w:pPr>
              <w:ind w:left="680"/>
              <w:spacing w:after="0"/>
              <w:rPr>
                <w:sz w:val="20"/>
                <w:szCs w:val="20"/>
                <w:color w:val="auto"/>
              </w:rPr>
            </w:pPr>
            <w:r>
              <w:rPr>
                <w:rFonts w:ascii="Arial" w:cs="Arial" w:eastAsia="Arial" w:hAnsi="Arial"/>
                <w:sz w:val="32"/>
                <w:szCs w:val="32"/>
                <w:b w:val="1"/>
                <w:bCs w:val="1"/>
                <w:color w:val="auto"/>
              </w:rPr>
              <w:t>Merrill Lynch &amp; Co.</w:t>
            </w:r>
          </w:p>
        </w:tc>
        <w:tc>
          <w:tcPr>
            <w:tcW w:w="322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c>
          <w:tcPr>
            <w:tcW w:w="0" w:type="dxa"/>
            <w:vAlign w:val="bottom"/>
          </w:tcPr>
          <w:p>
            <w:pPr>
              <w:spacing w:after="0"/>
              <w:rPr>
                <w:sz w:val="1"/>
                <w:szCs w:val="1"/>
                <w:color w:val="auto"/>
              </w:rPr>
            </w:pPr>
          </w:p>
        </w:tc>
      </w:tr>
      <w:tr>
        <w:trPr>
          <w:trHeight w:val="103"/>
        </w:trPr>
        <w:tc>
          <w:tcPr>
            <w:tcW w:w="3680" w:type="dxa"/>
            <w:vAlign w:val="bottom"/>
            <w:vMerge w:val="restart"/>
          </w:tcPr>
          <w:p>
            <w:pPr>
              <w:spacing w:after="0"/>
              <w:rPr>
                <w:sz w:val="20"/>
                <w:szCs w:val="20"/>
                <w:color w:val="auto"/>
              </w:rPr>
            </w:pPr>
            <w:r>
              <w:rPr>
                <w:rFonts w:ascii="Arial" w:cs="Arial" w:eastAsia="Arial" w:hAnsi="Arial"/>
                <w:sz w:val="22"/>
                <w:szCs w:val="22"/>
                <w:b w:val="1"/>
                <w:bCs w:val="1"/>
                <w:color w:val="auto"/>
              </w:rPr>
              <w:t>Banc of America Securities LLC</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2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Salomon Smith Barney</w:t>
            </w:r>
          </w:p>
        </w:tc>
        <w:tc>
          <w:tcPr>
            <w:tcW w:w="0" w:type="dxa"/>
            <w:vAlign w:val="bottom"/>
          </w:tcPr>
          <w:p>
            <w:pPr>
              <w:spacing w:after="0"/>
              <w:rPr>
                <w:sz w:val="1"/>
                <w:szCs w:val="1"/>
                <w:color w:val="auto"/>
              </w:rPr>
            </w:pPr>
          </w:p>
        </w:tc>
      </w:tr>
      <w:tr>
        <w:trPr>
          <w:trHeight w:val="506"/>
        </w:trPr>
        <w:tc>
          <w:tcPr>
            <w:tcW w:w="3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-1158875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-1158875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-335915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-335915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p>
      <w:pPr>
        <w:spacing w:after="0" w:line="27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900" w:type="dxa"/>
            <w:vAlign w:val="bottom"/>
          </w:tcPr>
          <w:p>
            <w:pPr>
              <w:jc w:val="center"/>
              <w:ind w:right="812"/>
              <w:spacing w:after="0"/>
              <w:rPr>
                <w:sz w:val="20"/>
                <w:szCs w:val="20"/>
                <w:color w:val="auto"/>
              </w:rPr>
            </w:pPr>
            <w:r>
              <w:rPr>
                <w:rFonts w:ascii="Arial" w:cs="Arial" w:eastAsia="Arial" w:hAnsi="Arial"/>
                <w:sz w:val="18"/>
                <w:szCs w:val="18"/>
                <w:b w:val="1"/>
                <w:bCs w:val="1"/>
                <w:color w:val="auto"/>
                <w:w w:val="93"/>
              </w:rPr>
              <w:t>ABN AMRO Incorporated</w:t>
            </w:r>
          </w:p>
        </w:tc>
        <w:tc>
          <w:tcPr>
            <w:tcW w:w="432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Banc One Capital Markets, Inc.</w:t>
            </w:r>
          </w:p>
        </w:tc>
        <w:tc>
          <w:tcPr>
            <w:tcW w:w="2280" w:type="dxa"/>
            <w:vAlign w:val="bottom"/>
            <w:vMerge w:val="restart"/>
          </w:tcPr>
          <w:p>
            <w:pPr>
              <w:ind w:left="1020"/>
              <w:spacing w:after="0"/>
              <w:rPr>
                <w:sz w:val="20"/>
                <w:szCs w:val="20"/>
                <w:color w:val="auto"/>
              </w:rPr>
            </w:pPr>
            <w:r>
              <w:rPr>
                <w:rFonts w:ascii="Arial" w:cs="Arial" w:eastAsia="Arial" w:hAnsi="Arial"/>
                <w:sz w:val="18"/>
                <w:szCs w:val="18"/>
                <w:b w:val="1"/>
                <w:bCs w:val="1"/>
                <w:color w:val="auto"/>
                <w:w w:val="88"/>
              </w:rPr>
              <w:t>Barclays Capital</w:t>
            </w:r>
          </w:p>
        </w:tc>
        <w:tc>
          <w:tcPr>
            <w:tcW w:w="0" w:type="dxa"/>
            <w:vAlign w:val="bottom"/>
          </w:tcPr>
          <w:p>
            <w:pPr>
              <w:spacing w:after="0"/>
              <w:rPr>
                <w:sz w:val="1"/>
                <w:szCs w:val="1"/>
                <w:color w:val="auto"/>
              </w:rPr>
            </w:pPr>
          </w:p>
        </w:tc>
      </w:tr>
      <w:tr>
        <w:trPr>
          <w:trHeight w:val="147"/>
        </w:trPr>
        <w:tc>
          <w:tcPr>
            <w:tcW w:w="2900" w:type="dxa"/>
            <w:vAlign w:val="bottom"/>
            <w:vMerge w:val="restart"/>
          </w:tcPr>
          <w:p>
            <w:pPr>
              <w:jc w:val="center"/>
              <w:ind w:right="812"/>
              <w:spacing w:after="0"/>
              <w:rPr>
                <w:sz w:val="20"/>
                <w:szCs w:val="20"/>
                <w:color w:val="auto"/>
              </w:rPr>
            </w:pPr>
            <w:r>
              <w:rPr>
                <w:rFonts w:ascii="Arial" w:cs="Arial" w:eastAsia="Arial" w:hAnsi="Arial"/>
                <w:sz w:val="18"/>
                <w:szCs w:val="18"/>
                <w:b w:val="1"/>
                <w:bCs w:val="1"/>
                <w:color w:val="auto"/>
                <w:w w:val="93"/>
              </w:rPr>
              <w:t>BNP PARIBAS</w:t>
            </w:r>
          </w:p>
        </w:tc>
        <w:tc>
          <w:tcPr>
            <w:tcW w:w="432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900" w:type="dxa"/>
            <w:vAlign w:val="bottom"/>
            <w:vMerge w:val="continue"/>
          </w:tcPr>
          <w:p>
            <w:pPr>
              <w:spacing w:after="0"/>
              <w:rPr>
                <w:sz w:val="7"/>
                <w:szCs w:val="7"/>
                <w:color w:val="auto"/>
              </w:rPr>
            </w:pPr>
          </w:p>
        </w:tc>
        <w:tc>
          <w:tcPr>
            <w:tcW w:w="4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95" w:orient="portrait"/>
          <w:cols w:equalWidth="0" w:num="1">
            <w:col w:w="11420"/>
          </w:cols>
          <w:pgMar w:left="240" w:top="131" w:right="239" w:bottom="0" w:gutter="0" w:footer="0" w:header="0"/>
          <w:type w:val="continuous"/>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Deutsche Bank Securities Inc.</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3"/>
              </w:rPr>
              <w:t>BNY Capital Markets, Inc.</w:t>
            </w:r>
          </w:p>
        </w:tc>
        <w:tc>
          <w:tcPr>
            <w:tcW w:w="3580" w:type="dxa"/>
            <w:vAlign w:val="bottom"/>
          </w:tcPr>
          <w:p>
            <w:pPr>
              <w:jc w:val="center"/>
              <w:ind w:left="72"/>
              <w:spacing w:after="0"/>
              <w:rPr>
                <w:sz w:val="20"/>
                <w:szCs w:val="20"/>
                <w:color w:val="auto"/>
              </w:rPr>
            </w:pPr>
            <w:r>
              <w:rPr>
                <w:rFonts w:ascii="Arial" w:cs="Arial" w:eastAsia="Arial" w:hAnsi="Arial"/>
                <w:sz w:val="18"/>
                <w:szCs w:val="18"/>
                <w:b w:val="1"/>
                <w:bCs w:val="1"/>
                <w:color w:val="auto"/>
                <w:w w:val="90"/>
              </w:rPr>
              <w:t>Dresdner Kleinwort</w:t>
            </w:r>
          </w:p>
        </w:tc>
      </w:tr>
      <w:tr>
        <w:trPr>
          <w:trHeight w:val="216"/>
        </w:trPr>
        <w:tc>
          <w:tcPr>
            <w:tcW w:w="388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The Royal Bank of Scotland</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Fleet Securities, Inc.</w:t>
            </w:r>
          </w:p>
        </w:tc>
        <w:tc>
          <w:tcPr>
            <w:tcW w:w="3580" w:type="dxa"/>
            <w:vAlign w:val="bottom"/>
          </w:tcPr>
          <w:p>
            <w:pPr>
              <w:jc w:val="center"/>
              <w:ind w:left="72"/>
              <w:spacing w:after="0"/>
              <w:rPr>
                <w:sz w:val="20"/>
                <w:szCs w:val="20"/>
                <w:color w:val="auto"/>
              </w:rPr>
            </w:pPr>
            <w:r>
              <w:rPr>
                <w:rFonts w:ascii="Arial" w:cs="Arial" w:eastAsia="Arial" w:hAnsi="Arial"/>
                <w:sz w:val="18"/>
                <w:szCs w:val="18"/>
                <w:b w:val="1"/>
                <w:bCs w:val="1"/>
                <w:color w:val="auto"/>
                <w:w w:val="84"/>
              </w:rPr>
              <w:t>Wasserstein</w:t>
            </w:r>
          </w:p>
        </w:tc>
      </w:tr>
      <w:tr>
        <w:trPr>
          <w:trHeight w:val="228"/>
        </w:trPr>
        <w:tc>
          <w:tcPr>
            <w:tcW w:w="388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Scotia Capital</w:t>
            </w:r>
          </w:p>
        </w:tc>
        <w:tc>
          <w:tcPr>
            <w:tcW w:w="358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Goldman, Sachs &amp; Co.</w:t>
            </w:r>
          </w:p>
        </w:tc>
      </w:tr>
      <w:tr>
        <w:trPr>
          <w:trHeight w:val="432"/>
        </w:trPr>
        <w:tc>
          <w:tcPr>
            <w:tcW w:w="3880" w:type="dxa"/>
            <w:vAlign w:val="bottom"/>
          </w:tcPr>
          <w:p>
            <w:pPr>
              <w:spacing w:after="0"/>
              <w:rPr>
                <w:sz w:val="24"/>
                <w:szCs w:val="24"/>
                <w:color w:val="auto"/>
              </w:rPr>
            </w:pPr>
          </w:p>
        </w:tc>
        <w:tc>
          <w:tcPr>
            <w:tcW w:w="3960" w:type="dxa"/>
            <w:vAlign w:val="bottom"/>
          </w:tcPr>
          <w:p>
            <w:pPr>
              <w:ind w:left="1280"/>
              <w:spacing w:after="0"/>
              <w:rPr>
                <w:sz w:val="20"/>
                <w:szCs w:val="20"/>
                <w:color w:val="auto"/>
              </w:rPr>
            </w:pPr>
            <w:r>
              <w:rPr>
                <w:rFonts w:ascii="Arial" w:cs="Arial" w:eastAsia="Arial" w:hAnsi="Arial"/>
                <w:sz w:val="18"/>
                <w:szCs w:val="18"/>
                <w:color w:val="auto"/>
              </w:rPr>
              <w:t>January 7, 2003</w:t>
            </w:r>
          </w:p>
        </w:tc>
        <w:tc>
          <w:tcPr>
            <w:tcW w:w="3580" w:type="dxa"/>
            <w:vAlign w:val="bottom"/>
          </w:tcPr>
          <w:p>
            <w:pPr>
              <w:spacing w:after="0"/>
              <w:rPr>
                <w:sz w:val="24"/>
                <w:szCs w:val="24"/>
                <w:color w:val="auto"/>
              </w:rPr>
            </w:pPr>
          </w:p>
        </w:tc>
      </w:tr>
      <w:tr>
        <w:trPr>
          <w:trHeight w:val="228"/>
        </w:trPr>
        <w:tc>
          <w:tcPr>
            <w:tcW w:w="388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r>
      <w:tr>
        <w:trPr>
          <w:trHeight w:val="115"/>
        </w:trPr>
        <w:tc>
          <w:tcPr>
            <w:tcW w:w="388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r>
      <w:tr>
        <w:trPr>
          <w:trHeight w:val="115"/>
        </w:trPr>
        <w:tc>
          <w:tcPr>
            <w:tcW w:w="388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-186055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-186055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PROSPECTUS SUPPLEMENT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SUPPLEMENT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DESCRIPTION OF THE NOTES AND THE CABLE GUARANTEES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RATIOS OF EARNINGS TO FIXED CHARGES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PRO FORMA RATIO OF EARNINGS TO FIXED CHARGES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RATIO OF EARNINGS TO COMBINED FIXED CHARGES AND PREFERRED DIVIDENDS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THE SENIOR DEBT SECURITIES, SUBORDINATED DEBT SECURITIES AND CABLE GUARANTEES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WARRANTS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PURCHASE CONTRACTS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DESCRIPTION OF UNITS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GLOBAL SECURITIES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PREFERRED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DESCRIPTION OF DEPOSITARY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DESCRIPTION OF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SHAREHOLDER RIGHTS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DESCRIPTION OF AT&amp;T COMCAST TRANSACTION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AVAILABLE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INCORPORATION OF CERTAIN DOCUMENTS BY REFERENCE</w:t>
        </w:r>
      </w:hyperlink>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lvl w:ilvl="1">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3"/>
    </w:lvl>
  </w:abstractNum>
  <w:abstractNum w:abstractNumId="13">
    <w:nsid w:val="22221A70"/>
    <w:multiLevelType w:val="hybridMultilevel"/>
    <w:lvl w:ilvl="0">
      <w:lvlJc w:val="left"/>
      <w:lvlText w:val="(%1)"/>
      <w:numFmt w:val="lowerLetter"/>
      <w:start w:val="10"/>
    </w:lvl>
  </w:abstractNum>
  <w:abstractNum w:abstractNumId="14">
    <w:nsid w:val="4516DDE9"/>
    <w:multiLevelType w:val="hybridMultilevel"/>
    <w:lvl w:ilvl="0">
      <w:lvlJc w:val="left"/>
      <w:lvlText w:val="(%1)"/>
      <w:numFmt w:val="lowerLetter"/>
      <w:start w:val="1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lvl w:ilvl="1">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lvl w:ilvl="1">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lvl w:ilvl="1">
      <w:lvlJc w:val="left"/>
      <w:lvlText w:val="•"/>
      <w:numFmt w:val="bullet"/>
      <w:start w:val="1"/>
    </w:lvl>
  </w:abstractNum>
  <w:abstractNum w:abstractNumId="30">
    <w:nsid w:val="153EA438"/>
    <w:multiLevelType w:val="hybridMultilevel"/>
    <w:lvl w:ilvl="0">
      <w:lvlJc w:val="left"/>
      <w:lvlText w:val="(%1)"/>
      <w:numFmt w:val="decimal"/>
      <w:start w:val="6"/>
    </w:lvl>
    <w:lvl w:ilvl="1">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lvl w:ilvl="1">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lvl w:ilvl="1">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lvl w:ilvl="1">
      <w:lvlJc w:val="left"/>
      <w:lvlText w:val="•"/>
      <w:numFmt w:val="bullet"/>
      <w:start w:val="1"/>
    </w:lvl>
  </w:abstractNum>
  <w:abstractNum w:abstractNumId="47">
    <w:nsid w:val="579478FE"/>
    <w:multiLevelType w:val="hybridMultilevel"/>
    <w:lvl w:ilvl="0">
      <w:lvlJc w:val="left"/>
      <w:lvlText w:val="•"/>
      <w:numFmt w:val="bullet"/>
      <w:start w:val="1"/>
    </w:lvl>
    <w:lvl w:ilvl="1">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2019-12-15T06:56:05Z</dcterms:created>
  <dcterms:modified xsi:type="dcterms:W3CDTF">2019-12-15T06:56:05Z</dcterms:modified>
</cp:coreProperties>
</file>