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2800" w:type="dxa"/>
            <w:vAlign w:val="bottom"/>
          </w:tcPr>
          <w:p>
            <w:pPr>
              <w:spacing w:after="0"/>
              <w:rPr>
                <w:sz w:val="18"/>
                <w:szCs w:val="18"/>
                <w:color w:val="auto"/>
              </w:rPr>
            </w:pPr>
          </w:p>
        </w:tc>
        <w:tc>
          <w:tcPr>
            <w:tcW w:w="4560" w:type="dxa"/>
            <w:vAlign w:val="bottom"/>
          </w:tcPr>
          <w:p>
            <w:pPr>
              <w:jc w:val="center"/>
              <w:ind w:right="2141"/>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49"/>
        </w:trPr>
        <w:tc>
          <w:tcPr>
            <w:tcW w:w="2800" w:type="dxa"/>
            <w:vAlign w:val="bottom"/>
          </w:tcPr>
          <w:p>
            <w:pPr>
              <w:spacing w:after="0"/>
              <w:rPr>
                <w:sz w:val="12"/>
                <w:szCs w:val="12"/>
                <w:color w:val="auto"/>
              </w:rPr>
            </w:pPr>
          </w:p>
        </w:tc>
        <w:tc>
          <w:tcPr>
            <w:tcW w:w="4560" w:type="dxa"/>
            <w:vAlign w:val="bottom"/>
          </w:tcPr>
          <w:p>
            <w:pPr>
              <w:jc w:val="center"/>
              <w:ind w:right="216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r>
      <w:tr>
        <w:trPr>
          <w:trHeight w:val="190"/>
        </w:trPr>
        <w:tc>
          <w:tcPr>
            <w:tcW w:w="2800" w:type="dxa"/>
            <w:vAlign w:val="bottom"/>
          </w:tcPr>
          <w:p>
            <w:pPr>
              <w:spacing w:after="0"/>
              <w:rPr>
                <w:sz w:val="16"/>
                <w:szCs w:val="16"/>
                <w:color w:val="auto"/>
              </w:rPr>
            </w:pPr>
          </w:p>
        </w:tc>
        <w:tc>
          <w:tcPr>
            <w:tcW w:w="4560" w:type="dxa"/>
            <w:vAlign w:val="bottom"/>
          </w:tcPr>
          <w:p>
            <w:pPr>
              <w:jc w:val="center"/>
              <w:ind w:right="2161"/>
              <w:spacing w:after="0"/>
              <w:rPr>
                <w:sz w:val="20"/>
                <w:szCs w:val="20"/>
                <w:color w:val="auto"/>
              </w:rPr>
            </w:pPr>
            <w:r>
              <w:rPr>
                <w:rFonts w:ascii="Times New Roman" w:cs="Times New Roman" w:eastAsia="Times New Roman" w:hAnsi="Times New Roman"/>
                <w:sz w:val="14"/>
                <w:szCs w:val="14"/>
                <w:b w:val="1"/>
                <w:bCs w:val="1"/>
                <w:color w:val="auto"/>
              </w:rPr>
              <w:t>of incorporation)</w:t>
            </w:r>
          </w:p>
        </w:tc>
      </w:tr>
      <w:tr>
        <w:trPr>
          <w:trHeight w:val="417"/>
        </w:trPr>
        <w:tc>
          <w:tcPr>
            <w:tcW w:w="2800" w:type="dxa"/>
            <w:vAlign w:val="bottom"/>
          </w:tcPr>
          <w:p>
            <w:pPr>
              <w:jc w:val="center"/>
              <w:ind w:right="259"/>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560" w:type="dxa"/>
            <w:vAlign w:val="bottom"/>
          </w:tcPr>
          <w:p>
            <w:pPr>
              <w:jc w:val="center"/>
              <w:ind w:left="3361"/>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48"/>
        </w:trPr>
        <w:tc>
          <w:tcPr>
            <w:tcW w:w="280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560" w:type="dxa"/>
            <w:vAlign w:val="bottom"/>
          </w:tcPr>
          <w:p>
            <w:pPr>
              <w:jc w:val="center"/>
              <w:ind w:left="33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560" w:type="dxa"/>
            <w:vAlign w:val="bottom"/>
          </w:tcPr>
          <w:p>
            <w:pPr>
              <w:jc w:val="center"/>
              <w:ind w:left="33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80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560" w:type="dxa"/>
            <w:vAlign w:val="bottom"/>
          </w:tcPr>
          <w:p>
            <w:pPr>
              <w:spacing w:after="0"/>
              <w:rPr>
                <w:sz w:val="24"/>
                <w:szCs w:val="24"/>
                <w:color w:val="auto"/>
              </w:rPr>
            </w:pPr>
          </w:p>
        </w:tc>
      </w:tr>
      <w:tr>
        <w:trPr>
          <w:trHeight w:val="227"/>
        </w:trPr>
        <w:tc>
          <w:tcPr>
            <w:tcW w:w="280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560" w:type="dxa"/>
            <w:vAlign w:val="bottom"/>
          </w:tcPr>
          <w:p>
            <w:pPr>
              <w:jc w:val="center"/>
              <w:ind w:left="3361"/>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90"/>
        </w:trPr>
        <w:tc>
          <w:tcPr>
            <w:tcW w:w="280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60" w:type="dxa"/>
            <w:vAlign w:val="bottom"/>
          </w:tcPr>
          <w:p>
            <w:pPr>
              <w:jc w:val="center"/>
              <w:ind w:left="3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286-1700</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230505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CMCSA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0.000% Notes due 2026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0.250%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1.500%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0.250%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CMCS29A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0.750%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1.875% Notes due 2036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1.250% Notes due 2040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CMCS40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CCGBP29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2.0% Exchangeable Subordinated Debentures due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CCZ</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325"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On September 26, 2024, Comcast Corporation (“Comcast”) consummated the issuance and sale of €900,000,000 aggregate principal amount of its 3.250% Notes due 2032 (the “2032 Euro Notes”), €900,000,000 aggregate principal amount of its 3.550% Notes due 2036 (the “2036 Euro Notes” and, together with the 2032 Euro Notes, the “Euro Notes”) and £750,000,000 aggregate principal amount of its 5.250% Notes due 2040 (the “Sterling Notes,” and together with the Euro Notes, the “Notes”), pursuant to an underwriting agreement dated September 23, 2024 among Comcast, the Guarantors (as defined below) and the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as further supplemented by the Second Supplemental Indenture dated as of July 29, 2022 (the “Second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94"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Notes were offered pursuant to Comcast’s Registration Statement on Form S-3 filed on July 29, 2022 (the “Registration Statement”), as amended at the date of the underwriting agreement (Reg. No. 333-266390), including the prospectus contained therein, a related preliminary prospectus supplement, dated September 23, 2024 and a related prospectus supplement, dated September 23, 2024.</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material terms and conditions of the Notes are set forth (i) in the Form of Officers’ Certificate filed herewith as Exhibit 4.1, (ii) in the Base Indenture, filed as Exhibit 4.3 to Comcast’s Registration Statement on Form S-3, as amended, filed on September 18, 2013 (Reg. No 333-191239), (iii) in the First Supplemental Indenture, filed as Exhibit 4.4 to Comcast’s Post Effective Amendment No. 2 to Registration Statement on Form S-3, filed on November 23, 2015 (Reg. No 333-191239) and (iv) in the Second Supplemental Indenture, which was filed as Exhibit 4.4 to the Registration Statement, each of which are incorporated by reference herein.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80" w:type="dxa"/>
            <w:vAlign w:val="bottom"/>
          </w:tcPr>
          <w:p>
            <w:pPr>
              <w:spacing w:after="0"/>
              <w:rPr>
                <w:sz w:val="13"/>
                <w:szCs w:val="13"/>
                <w:color w:val="auto"/>
              </w:rPr>
            </w:pPr>
          </w:p>
        </w:tc>
      </w:tr>
      <w:tr>
        <w:trPr>
          <w:trHeight w:val="173"/>
        </w:trPr>
        <w:tc>
          <w:tcPr>
            <w:tcW w:w="10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gridSpan w:val="6"/>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4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Form of Officers’ Certificate setting forth the terms of the Notes.</w:t>
            </w:r>
          </w:p>
        </w:tc>
        <w:tc>
          <w:tcPr>
            <w:tcW w:w="5300" w:type="dxa"/>
            <w:vAlign w:val="bottom"/>
            <w:gridSpan w:val="2"/>
          </w:tcPr>
          <w:p>
            <w:pPr>
              <w:spacing w:after="0"/>
              <w:rPr>
                <w:sz w:val="22"/>
                <w:szCs w:val="22"/>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Opinion of Elizabeth Wideman, Esq.</w:t>
            </w:r>
          </w:p>
        </w:tc>
      </w:tr>
      <w:tr>
        <w:trPr>
          <w:trHeight w:val="20"/>
        </w:trPr>
        <w:tc>
          <w:tcPr>
            <w:tcW w:w="1040" w:type="dxa"/>
            <w:vAlign w:val="bottom"/>
            <w:gridSpan w:val="2"/>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5.2</w:t>
            </w:r>
          </w:p>
        </w:tc>
        <w:tc>
          <w:tcPr>
            <w:tcW w:w="2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Opinion of Davis Polk &amp; Wardwell LLP.</w:t>
            </w:r>
          </w:p>
        </w:tc>
        <w:tc>
          <w:tcPr>
            <w:tcW w:w="7040" w:type="dxa"/>
            <w:vAlign w:val="bottom"/>
            <w:gridSpan w:val="4"/>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Elizabeth Wideman, Esq. (contained in Exhibit 5.1)</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Davis Polk &amp; Wardwell LLP (contained in Exhibit 5.2)</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0" w:type="dxa"/>
            <w:vAlign w:val="bottom"/>
            <w:gridSpan w:val="5"/>
            <w:shd w:val="clear" w:color="auto" w:fill="0000EE"/>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spacing w:after="0"/>
        <w:tabs>
          <w:tab w:leader="none" w:pos="5300" w:val="left"/>
          <w:tab w:leader="none" w:pos="5720" w:val="left"/>
        </w:tabs>
        <w:rPr>
          <w:sz w:val="20"/>
          <w:szCs w:val="20"/>
          <w:color w:val="auto"/>
        </w:rPr>
      </w:pPr>
      <w:r>
        <w:rPr>
          <w:rFonts w:ascii="Times New Roman" w:cs="Times New Roman" w:eastAsia="Times New Roman" w:hAnsi="Times New Roman"/>
          <w:sz w:val="18"/>
          <w:szCs w:val="18"/>
          <w:color w:val="auto"/>
        </w:rPr>
        <w:t>Date: September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17145</wp:posOffset>
            </wp:positionV>
            <wp:extent cx="3343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Elizabeth Wideman</w:t>
      </w:r>
    </w:p>
    <w:p>
      <w:pPr>
        <w:spacing w:after="0" w:line="27"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Senior Vice President, Senior Deputy</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General Counsel and Assistant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26, 2024</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Pursuant to Section 2.03 of the Indenture dated as of September 18, 2013, by and among Comcast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guarantors named therein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First Supplemental Indenture dated as of November 17, 2015 by and among Comcast, the guarantors named therein and the Trustee and as further supplemented by the second Supplemental Indenture dated as of July 29, 2022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€900,000,000 aggregate principal amount of 3.250% Euro Notes due 2032 (the “</w:t>
      </w:r>
      <w:r>
        <w:rPr>
          <w:rFonts w:ascii="Times New Roman" w:cs="Times New Roman" w:eastAsia="Times New Roman" w:hAnsi="Times New Roman"/>
          <w:sz w:val="18"/>
          <w:szCs w:val="18"/>
          <w:b w:val="1"/>
          <w:bCs w:val="1"/>
          <w:color w:val="auto"/>
        </w:rPr>
        <w:t>2032 Euro Notes</w:t>
      </w:r>
      <w:r>
        <w:rPr>
          <w:rFonts w:ascii="Times New Roman" w:cs="Times New Roman" w:eastAsia="Times New Roman" w:hAnsi="Times New Roman"/>
          <w:sz w:val="18"/>
          <w:szCs w:val="18"/>
          <w:color w:val="auto"/>
        </w:rPr>
        <w:t>”), €900,000,000 aggregate principal amount of 3.550% Euro Notes due 2036 (the “</w:t>
      </w:r>
      <w:r>
        <w:rPr>
          <w:rFonts w:ascii="Times New Roman" w:cs="Times New Roman" w:eastAsia="Times New Roman" w:hAnsi="Times New Roman"/>
          <w:sz w:val="18"/>
          <w:szCs w:val="18"/>
          <w:b w:val="1"/>
          <w:bCs w:val="1"/>
          <w:color w:val="auto"/>
        </w:rPr>
        <w:t>2036 Euro Notes</w:t>
      </w:r>
      <w:r>
        <w:rPr>
          <w:rFonts w:ascii="Times New Roman" w:cs="Times New Roman" w:eastAsia="Times New Roman" w:hAnsi="Times New Roman"/>
          <w:sz w:val="18"/>
          <w:szCs w:val="18"/>
          <w:color w:val="auto"/>
        </w:rPr>
        <w:t>” and, together with the 2032 Euro Notes, the “</w:t>
      </w:r>
      <w:r>
        <w:rPr>
          <w:rFonts w:ascii="Times New Roman" w:cs="Times New Roman" w:eastAsia="Times New Roman" w:hAnsi="Times New Roman"/>
          <w:sz w:val="18"/>
          <w:szCs w:val="18"/>
          <w:b w:val="1"/>
          <w:bCs w:val="1"/>
          <w:color w:val="auto"/>
        </w:rPr>
        <w:t>Euro Notes</w:t>
      </w:r>
      <w:r>
        <w:rPr>
          <w:rFonts w:ascii="Times New Roman" w:cs="Times New Roman" w:eastAsia="Times New Roman" w:hAnsi="Times New Roman"/>
          <w:sz w:val="18"/>
          <w:szCs w:val="18"/>
          <w:color w:val="auto"/>
        </w:rPr>
        <w:t>”) and £750,000,000 aggregate principal amount of 5.250% Sterling Notes due 2040 (the “</w:t>
      </w:r>
      <w:r>
        <w:rPr>
          <w:rFonts w:ascii="Times New Roman" w:cs="Times New Roman" w:eastAsia="Times New Roman" w:hAnsi="Times New Roman"/>
          <w:sz w:val="18"/>
          <w:szCs w:val="18"/>
          <w:b w:val="1"/>
          <w:bCs w:val="1"/>
          <w:color w:val="auto"/>
        </w:rPr>
        <w:t>Sterling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together with the Euro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that the terms of the Notes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3.</w:t>
            </w:r>
            <w:r>
              <w:rPr>
                <w:rFonts w:ascii="Times New Roman" w:cs="Times New Roman" w:eastAsia="Times New Roman" w:hAnsi="Times New Roman"/>
                <w:sz w:val="18"/>
                <w:szCs w:val="18"/>
                <w:b w:val="1"/>
                <w:bCs w:val="1"/>
                <w:u w:val="single" w:color="auto"/>
                <w:color w:val="auto"/>
                <w:w w:val="99"/>
              </w:rPr>
              <w:t>250%</w:t>
            </w:r>
            <w:r>
              <w:rPr>
                <w:rFonts w:ascii="Times New Roman" w:cs="Times New Roman" w:eastAsia="Times New Roman" w:hAnsi="Times New Roman"/>
                <w:sz w:val="18"/>
                <w:szCs w:val="18"/>
                <w:b w:val="1"/>
                <w:bCs w:val="1"/>
                <w:color w:val="auto"/>
                <w:w w:val="99"/>
              </w:rPr>
              <w:t xml:space="preserve"> Notes due 2032</w:t>
            </w:r>
          </w:p>
        </w:tc>
        <w:tc>
          <w:tcPr>
            <w:tcW w:w="4600" w:type="dxa"/>
            <w:vAlign w:val="bottom"/>
          </w:tcPr>
          <w:p>
            <w:pPr>
              <w:spacing w:after="0"/>
              <w:rPr>
                <w:sz w:val="17"/>
                <w:szCs w:val="17"/>
                <w:color w:val="auto"/>
              </w:rPr>
            </w:pPr>
          </w:p>
        </w:tc>
      </w:tr>
      <w:tr>
        <w:trPr>
          <w:trHeight w:val="345"/>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3.250% Notes due 2032</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tc>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€900,000,000</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tc>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September 26, 2032</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3.250%</w:t>
            </w:r>
          </w:p>
        </w:tc>
        <w:tc>
          <w:tcPr>
            <w:tcW w:w="18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02"/>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Prior to June 26, 2032 (three (3) months prior to the maturity date of the 2032 Euro Notes) (the “</w:t>
            </w:r>
            <w:r>
              <w:rPr>
                <w:rFonts w:ascii="Times New Roman" w:cs="Times New Roman" w:eastAsia="Times New Roman" w:hAnsi="Times New Roman"/>
                <w:sz w:val="18"/>
                <w:szCs w:val="18"/>
                <w:b w:val="1"/>
                <w:bCs w:val="1"/>
                <w:color w:val="auto"/>
              </w:rPr>
              <w:t>2032</w:t>
            </w:r>
          </w:p>
        </w:tc>
      </w:tr>
      <w:tr>
        <w:trPr>
          <w:trHeight w:val="220"/>
        </w:trPr>
        <w:tc>
          <w:tcPr>
            <w:tcW w:w="3200" w:type="dxa"/>
            <w:vAlign w:val="bottom"/>
          </w:tcPr>
          <w:p>
            <w:pPr>
              <w:spacing w:after="0"/>
              <w:rPr>
                <w:sz w:val="19"/>
                <w:szCs w:val="19"/>
                <w:color w:val="auto"/>
              </w:rPr>
            </w:pPr>
          </w:p>
        </w:tc>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Euro Notes Par Call Date</w:t>
            </w:r>
            <w:r>
              <w:rPr>
                <w:rFonts w:ascii="Times New Roman" w:cs="Times New Roman" w:eastAsia="Times New Roman" w:hAnsi="Times New Roman"/>
                <w:sz w:val="18"/>
                <w:szCs w:val="18"/>
                <w:color w:val="auto"/>
                <w:w w:val="99"/>
              </w:rPr>
              <w:t>”), the Company may redeem the 2032 Euro Notes at its option, in whole or in</w:t>
            </w:r>
          </w:p>
        </w:tc>
      </w:tr>
      <w:tr>
        <w:trPr>
          <w:trHeight w:val="216"/>
        </w:trPr>
        <w:tc>
          <w:tcPr>
            <w:tcW w:w="3200" w:type="dxa"/>
            <w:vAlign w:val="bottom"/>
          </w:tcPr>
          <w:p>
            <w:pPr>
              <w:spacing w:after="0"/>
              <w:rPr>
                <w:sz w:val="18"/>
                <w:szCs w:val="18"/>
                <w:color w:val="auto"/>
              </w:rPr>
            </w:pPr>
          </w:p>
        </w:tc>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part, at any time and from time to time, at a redemption price (expressed as a percentage of the principal</w:t>
            </w:r>
          </w:p>
        </w:tc>
      </w:tr>
      <w:tr>
        <w:trPr>
          <w:trHeight w:val="216"/>
        </w:trPr>
        <w:tc>
          <w:tcPr>
            <w:tcW w:w="3200" w:type="dxa"/>
            <w:vAlign w:val="bottom"/>
          </w:tcPr>
          <w:p>
            <w:pPr>
              <w:spacing w:after="0"/>
              <w:rPr>
                <w:sz w:val="18"/>
                <w:szCs w:val="18"/>
                <w:color w:val="auto"/>
              </w:rPr>
            </w:pPr>
          </w:p>
        </w:tc>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amount and rounded to three decimal places) equal to the greater of: (1) (a) the sum of the present values</w:t>
            </w:r>
          </w:p>
        </w:tc>
      </w:tr>
      <w:tr>
        <w:trPr>
          <w:trHeight w:val="216"/>
        </w:trPr>
        <w:tc>
          <w:tcPr>
            <w:tcW w:w="3200" w:type="dxa"/>
            <w:vAlign w:val="bottom"/>
          </w:tcPr>
          <w:p>
            <w:pPr>
              <w:spacing w:after="0"/>
              <w:rPr>
                <w:sz w:val="18"/>
                <w:szCs w:val="18"/>
                <w:color w:val="auto"/>
              </w:rPr>
            </w:pPr>
          </w:p>
        </w:tc>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 the remaining scheduled payments of principal and interest thereon discounted to the redemption date</w:t>
            </w:r>
          </w:p>
        </w:tc>
      </w:tr>
      <w:tr>
        <w:trPr>
          <w:trHeight w:val="216"/>
        </w:trPr>
        <w:tc>
          <w:tcPr>
            <w:tcW w:w="3200" w:type="dxa"/>
            <w:vAlign w:val="bottom"/>
          </w:tcPr>
          <w:p>
            <w:pPr>
              <w:spacing w:after="0"/>
              <w:rPr>
                <w:sz w:val="18"/>
                <w:szCs w:val="18"/>
                <w:color w:val="auto"/>
              </w:rPr>
            </w:pPr>
          </w:p>
        </w:tc>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(assuming that the 2032 Euro Notes matured on the 2032 Euro Notes Par Call Date) on an annual basis</w:t>
            </w:r>
          </w:p>
        </w:tc>
      </w:tr>
      <w:tr>
        <w:trPr>
          <w:trHeight w:val="234"/>
        </w:trPr>
        <w:tc>
          <w:tcPr>
            <w:tcW w:w="3200" w:type="dxa"/>
            <w:vAlign w:val="bottom"/>
          </w:tcPr>
          <w:p>
            <w:pPr>
              <w:spacing w:after="0"/>
              <w:rPr>
                <w:sz w:val="20"/>
                <w:szCs w:val="20"/>
                <w:color w:val="auto"/>
              </w:rPr>
            </w:pPr>
          </w:p>
        </w:tc>
        <w:tc>
          <w:tcPr>
            <w:tcW w:w="7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(ACTUAL/ACTUAL (ICMA)) at the applicable</w:t>
            </w:r>
          </w:p>
        </w:tc>
      </w:tr>
    </w:tbl>
    <w:p>
      <w:pPr>
        <w:sectPr>
          <w:pgSz w:w="11900" w:h="16838" w:orient="portrait"/>
          <w:cols w:equalWidth="0" w:num="1">
            <w:col w:w="11020"/>
          </w:cols>
          <w:pgMar w:left="440" w:top="117"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comparable government bond rate plus 20 basis points, less (b) interest accrued to the date of</w:t>
            </w:r>
          </w:p>
        </w:tc>
      </w:tr>
      <w:tr>
        <w:trPr>
          <w:trHeight w:val="216"/>
        </w:trPr>
        <w:tc>
          <w:tcPr>
            <w:tcW w:w="2480" w:type="dxa"/>
            <w:vAlign w:val="bottom"/>
          </w:tcPr>
          <w:p>
            <w:pPr>
              <w:spacing w:after="0"/>
              <w:rPr>
                <w:sz w:val="18"/>
                <w:szCs w:val="18"/>
                <w:color w:val="auto"/>
              </w:rPr>
            </w:pP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redemption, and (2) 100% of the principal amount of the 2032 Euro Notes to be redeemed, plus, in either</w:t>
            </w:r>
          </w:p>
        </w:tc>
      </w:tr>
      <w:tr>
        <w:trPr>
          <w:trHeight w:val="216"/>
        </w:trPr>
        <w:tc>
          <w:tcPr>
            <w:tcW w:w="2480" w:type="dxa"/>
            <w:vAlign w:val="bottom"/>
          </w:tcPr>
          <w:p>
            <w:pPr>
              <w:spacing w:after="0"/>
              <w:rPr>
                <w:sz w:val="18"/>
                <w:szCs w:val="18"/>
                <w:color w:val="auto"/>
              </w:rPr>
            </w:pP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case, accrued and unpaid interest thereon to the redemption date. On or after the 2032 Euro Notes Par</w:t>
            </w:r>
          </w:p>
        </w:tc>
      </w:tr>
      <w:tr>
        <w:trPr>
          <w:trHeight w:val="216"/>
        </w:trPr>
        <w:tc>
          <w:tcPr>
            <w:tcW w:w="2480" w:type="dxa"/>
            <w:vAlign w:val="bottom"/>
          </w:tcPr>
          <w:p>
            <w:pPr>
              <w:spacing w:after="0"/>
              <w:rPr>
                <w:sz w:val="18"/>
                <w:szCs w:val="18"/>
                <w:color w:val="auto"/>
              </w:rPr>
            </w:pP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Call Date, the Company may redeem the 2032 Euro Notes, in whole or in part, at any time and from time</w:t>
            </w:r>
          </w:p>
        </w:tc>
      </w:tr>
      <w:tr>
        <w:trPr>
          <w:trHeight w:val="216"/>
        </w:trPr>
        <w:tc>
          <w:tcPr>
            <w:tcW w:w="2480" w:type="dxa"/>
            <w:vAlign w:val="bottom"/>
          </w:tcPr>
          <w:p>
            <w:pPr>
              <w:spacing w:after="0"/>
              <w:rPr>
                <w:sz w:val="18"/>
                <w:szCs w:val="18"/>
                <w:color w:val="auto"/>
              </w:rPr>
            </w:pP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to time, at a redemption price equal to 100% of the principal amount of the 2032 Euro Notes being</w:t>
            </w:r>
          </w:p>
        </w:tc>
      </w:tr>
      <w:tr>
        <w:trPr>
          <w:trHeight w:val="234"/>
        </w:trPr>
        <w:tc>
          <w:tcPr>
            <w:tcW w:w="2480" w:type="dxa"/>
            <w:vAlign w:val="bottom"/>
          </w:tcPr>
          <w:p>
            <w:pPr>
              <w:spacing w:after="0"/>
              <w:rPr>
                <w:sz w:val="20"/>
                <w:szCs w:val="20"/>
                <w:color w:val="auto"/>
              </w:rPr>
            </w:pP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redeemed plus accrued and unpaid interest thereon to the redemption date.</w:t>
            </w:r>
          </w:p>
        </w:tc>
      </w:tr>
      <w:tr>
        <w:trPr>
          <w:trHeight w:val="319"/>
        </w:trPr>
        <w:tc>
          <w:tcPr>
            <w:tcW w:w="2480" w:type="dxa"/>
            <w:vAlign w:val="bottom"/>
          </w:tcPr>
          <w:p>
            <w:pPr>
              <w:spacing w:after="0"/>
              <w:rPr>
                <w:sz w:val="24"/>
                <w:szCs w:val="24"/>
                <w:color w:val="auto"/>
              </w:rPr>
            </w:pP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The Company’s determination of the redemption price shall be conclusive and binding for all purposes,</w:t>
            </w:r>
          </w:p>
        </w:tc>
      </w:tr>
      <w:tr>
        <w:trPr>
          <w:trHeight w:val="234"/>
        </w:trPr>
        <w:tc>
          <w:tcPr>
            <w:tcW w:w="2480" w:type="dxa"/>
            <w:vAlign w:val="bottom"/>
          </w:tcPr>
          <w:p>
            <w:pPr>
              <w:spacing w:after="0"/>
              <w:rPr>
                <w:sz w:val="20"/>
                <w:szCs w:val="20"/>
                <w:color w:val="auto"/>
              </w:rPr>
            </w:pP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absent manifest error.</w:t>
            </w:r>
          </w:p>
        </w:tc>
      </w:tr>
      <w:tr>
        <w:trPr>
          <w:trHeight w:val="319"/>
        </w:trPr>
        <w:tc>
          <w:tcPr>
            <w:tcW w:w="2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Issuances:</w:t>
            </w: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An unlimited amount of additional 2032 Euro Notes may be issued. The 2032 Euro Notes and any</w:t>
            </w:r>
          </w:p>
        </w:tc>
      </w:tr>
      <w:tr>
        <w:trPr>
          <w:trHeight w:val="216"/>
        </w:trPr>
        <w:tc>
          <w:tcPr>
            <w:tcW w:w="2480" w:type="dxa"/>
            <w:vAlign w:val="bottom"/>
          </w:tcPr>
          <w:p>
            <w:pPr>
              <w:spacing w:after="0"/>
              <w:rPr>
                <w:sz w:val="18"/>
                <w:szCs w:val="18"/>
                <w:color w:val="auto"/>
              </w:rPr>
            </w:pP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w w:val="99"/>
              </w:rPr>
              <w:t>additional 2032 Euro Notes that may be issued may be treated as a single series for all purposes under the</w:t>
            </w:r>
          </w:p>
        </w:tc>
      </w:tr>
      <w:tr>
        <w:trPr>
          <w:trHeight w:val="234"/>
        </w:trPr>
        <w:tc>
          <w:tcPr>
            <w:tcW w:w="2480" w:type="dxa"/>
            <w:vAlign w:val="bottom"/>
          </w:tcPr>
          <w:p>
            <w:pPr>
              <w:spacing w:after="0"/>
              <w:rPr>
                <w:sz w:val="20"/>
                <w:szCs w:val="20"/>
                <w:color w:val="auto"/>
              </w:rPr>
            </w:pP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Indenture</w:t>
            </w:r>
          </w:p>
        </w:tc>
      </w:tr>
      <w:tr>
        <w:trPr>
          <w:trHeight w:val="324"/>
        </w:trPr>
        <w:tc>
          <w:tcPr>
            <w:tcW w:w="2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Conversion:</w:t>
            </w: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None</w:t>
            </w:r>
          </w:p>
        </w:tc>
      </w:tr>
      <w:tr>
        <w:trPr>
          <w:trHeight w:val="324"/>
        </w:trPr>
        <w:tc>
          <w:tcPr>
            <w:tcW w:w="2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Sinking Fund:</w:t>
            </w: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None</w:t>
            </w:r>
          </w:p>
        </w:tc>
      </w:tr>
      <w:tr>
        <w:trPr>
          <w:trHeight w:val="302"/>
        </w:trPr>
        <w:tc>
          <w:tcPr>
            <w:tcW w:w="2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85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The terms of the 2032 Euro Notes shall include such other terms as are set forth in the Form of 3.250%</w:t>
            </w:r>
          </w:p>
        </w:tc>
      </w:tr>
      <w:tr>
        <w:trPr>
          <w:trHeight w:val="198"/>
        </w:trPr>
        <w:tc>
          <w:tcPr>
            <w:tcW w:w="2480" w:type="dxa"/>
            <w:vAlign w:val="bottom"/>
          </w:tcPr>
          <w:p>
            <w:pPr>
              <w:spacing w:after="0"/>
              <w:rPr>
                <w:sz w:val="17"/>
                <w:szCs w:val="17"/>
                <w:color w:val="auto"/>
              </w:rPr>
            </w:pPr>
          </w:p>
        </w:tc>
        <w:tc>
          <w:tcPr>
            <w:tcW w:w="8540" w:type="dxa"/>
            <w:vAlign w:val="bottom"/>
            <w:gridSpan w:val="3"/>
          </w:tcPr>
          <w:p>
            <w:pPr>
              <w:ind w:left="940"/>
              <w:spacing w:after="0" w:line="198" w:lineRule="exact"/>
              <w:rPr>
                <w:sz w:val="20"/>
                <w:szCs w:val="20"/>
                <w:color w:val="auto"/>
              </w:rPr>
            </w:pPr>
            <w:r>
              <w:rPr>
                <w:rFonts w:ascii="Times New Roman" w:cs="Times New Roman" w:eastAsia="Times New Roman" w:hAnsi="Times New Roman"/>
                <w:sz w:val="18"/>
                <w:szCs w:val="18"/>
                <w:color w:val="auto"/>
              </w:rPr>
              <w:t xml:space="preserve">Notes due 2032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tc>
      </w:tr>
      <w:tr>
        <w:trPr>
          <w:trHeight w:val="20"/>
        </w:trPr>
        <w:tc>
          <w:tcPr>
            <w:tcW w:w="24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3.</w:t>
            </w:r>
            <w:r>
              <w:rPr>
                <w:rFonts w:ascii="Times New Roman" w:cs="Times New Roman" w:eastAsia="Times New Roman" w:hAnsi="Times New Roman"/>
                <w:sz w:val="18"/>
                <w:szCs w:val="18"/>
                <w:b w:val="1"/>
                <w:bCs w:val="1"/>
                <w:u w:val="single" w:color="auto"/>
                <w:color w:val="auto"/>
                <w:w w:val="99"/>
              </w:rPr>
              <w:t>550%</w:t>
            </w:r>
            <w:r>
              <w:rPr>
                <w:rFonts w:ascii="Times New Roman" w:cs="Times New Roman" w:eastAsia="Times New Roman" w:hAnsi="Times New Roman"/>
                <w:sz w:val="18"/>
                <w:szCs w:val="18"/>
                <w:b w:val="1"/>
                <w:bCs w:val="1"/>
                <w:color w:val="auto"/>
                <w:w w:val="99"/>
              </w:rPr>
              <w:t xml:space="preserve"> Notes due 2036</w:t>
            </w:r>
          </w:p>
        </w:tc>
        <w:tc>
          <w:tcPr>
            <w:tcW w:w="4620" w:type="dxa"/>
            <w:vAlign w:val="bottom"/>
          </w:tcPr>
          <w:p>
            <w:pPr>
              <w:spacing w:after="0"/>
              <w:rPr>
                <w:sz w:val="17"/>
                <w:szCs w:val="17"/>
                <w:color w:val="auto"/>
              </w:rPr>
            </w:pPr>
          </w:p>
        </w:tc>
      </w:tr>
      <w:tr>
        <w:trPr>
          <w:trHeight w:val="345"/>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3.550% Notes due 2036</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€900,000,000</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September 26, 2036</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3.550%</w:t>
            </w:r>
          </w:p>
        </w:tc>
        <w:tc>
          <w:tcPr>
            <w:tcW w:w="18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02"/>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Prior to June 26, 2036 (three (3) months prior to the maturity date of the 2036 Euro Notes) (the “</w:t>
            </w:r>
            <w:r>
              <w:rPr>
                <w:rFonts w:ascii="Times New Roman" w:cs="Times New Roman" w:eastAsia="Times New Roman" w:hAnsi="Times New Roman"/>
                <w:sz w:val="18"/>
                <w:szCs w:val="18"/>
                <w:b w:val="1"/>
                <w:bCs w:val="1"/>
                <w:color w:val="auto"/>
              </w:rPr>
              <w:t>2036</w:t>
            </w:r>
          </w:p>
        </w:tc>
      </w:tr>
      <w:tr>
        <w:trPr>
          <w:trHeight w:val="220"/>
        </w:trPr>
        <w:tc>
          <w:tcPr>
            <w:tcW w:w="3200" w:type="dxa"/>
            <w:vAlign w:val="bottom"/>
          </w:tcPr>
          <w:p>
            <w:pPr>
              <w:spacing w:after="0"/>
              <w:rPr>
                <w:sz w:val="19"/>
                <w:szCs w:val="19"/>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Euro Notes Par Call Date</w:t>
            </w:r>
            <w:r>
              <w:rPr>
                <w:rFonts w:ascii="Times New Roman" w:cs="Times New Roman" w:eastAsia="Times New Roman" w:hAnsi="Times New Roman"/>
                <w:sz w:val="18"/>
                <w:szCs w:val="18"/>
                <w:color w:val="auto"/>
                <w:w w:val="99"/>
              </w:rPr>
              <w:t>”), the Company may redeem the 2036 Euro Notes at its option, in whole or in</w:t>
            </w:r>
          </w:p>
        </w:tc>
      </w:tr>
      <w:tr>
        <w:trPr>
          <w:trHeight w:val="216"/>
        </w:trPr>
        <w:tc>
          <w:tcPr>
            <w:tcW w:w="3200" w:type="dxa"/>
            <w:vAlign w:val="bottom"/>
          </w:tcPr>
          <w:p>
            <w:pPr>
              <w:spacing w:after="0"/>
              <w:rPr>
                <w:sz w:val="18"/>
                <w:szCs w:val="18"/>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part, at any time and from time to time, at a redemption price (expressed as a percentage of the principal</w:t>
            </w:r>
          </w:p>
        </w:tc>
      </w:tr>
      <w:tr>
        <w:trPr>
          <w:trHeight w:val="234"/>
        </w:trPr>
        <w:tc>
          <w:tcPr>
            <w:tcW w:w="3200" w:type="dxa"/>
            <w:vAlign w:val="bottom"/>
          </w:tcPr>
          <w:p>
            <w:pPr>
              <w:spacing w:after="0"/>
              <w:rPr>
                <w:sz w:val="20"/>
                <w:szCs w:val="20"/>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amount and rounded to three decimal places) equal to the greater of:</w:t>
            </w:r>
          </w:p>
        </w:tc>
      </w:tr>
      <w:tr>
        <w:trPr>
          <w:trHeight w:val="319"/>
        </w:trPr>
        <w:tc>
          <w:tcPr>
            <w:tcW w:w="3200" w:type="dxa"/>
            <w:vAlign w:val="bottom"/>
          </w:tcPr>
          <w:p>
            <w:pPr>
              <w:spacing w:after="0"/>
              <w:rPr>
                <w:sz w:val="24"/>
                <w:szCs w:val="24"/>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w:t>
            </w:r>
          </w:p>
        </w:tc>
      </w:tr>
      <w:tr>
        <w:trPr>
          <w:trHeight w:val="216"/>
        </w:trPr>
        <w:tc>
          <w:tcPr>
            <w:tcW w:w="3200" w:type="dxa"/>
            <w:vAlign w:val="bottom"/>
          </w:tcPr>
          <w:p>
            <w:pPr>
              <w:spacing w:after="0"/>
              <w:rPr>
                <w:sz w:val="18"/>
                <w:szCs w:val="18"/>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thereon discounted to the redemption date (assuming that the 2036 Euro Notes matured on the 2036 Euro</w:t>
            </w:r>
          </w:p>
        </w:tc>
      </w:tr>
      <w:tr>
        <w:trPr>
          <w:trHeight w:val="216"/>
        </w:trPr>
        <w:tc>
          <w:tcPr>
            <w:tcW w:w="3200" w:type="dxa"/>
            <w:vAlign w:val="bottom"/>
          </w:tcPr>
          <w:p>
            <w:pPr>
              <w:spacing w:after="0"/>
              <w:rPr>
                <w:sz w:val="18"/>
                <w:szCs w:val="18"/>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Notes Par Call Date) on an annual basis (ACTUAL/ACTUAL (ICMA)) at the applicable comparable</w:t>
            </w:r>
          </w:p>
        </w:tc>
      </w:tr>
      <w:tr>
        <w:trPr>
          <w:trHeight w:val="216"/>
        </w:trPr>
        <w:tc>
          <w:tcPr>
            <w:tcW w:w="3200" w:type="dxa"/>
            <w:vAlign w:val="bottom"/>
          </w:tcPr>
          <w:p>
            <w:pPr>
              <w:spacing w:after="0"/>
              <w:rPr>
                <w:sz w:val="18"/>
                <w:szCs w:val="18"/>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government bond rate plus 20 basis points, less (b) interest accrued to the date of redemption, and (2)</w:t>
            </w:r>
          </w:p>
        </w:tc>
      </w:tr>
      <w:tr>
        <w:trPr>
          <w:trHeight w:val="216"/>
        </w:trPr>
        <w:tc>
          <w:tcPr>
            <w:tcW w:w="3200" w:type="dxa"/>
            <w:vAlign w:val="bottom"/>
          </w:tcPr>
          <w:p>
            <w:pPr>
              <w:spacing w:after="0"/>
              <w:rPr>
                <w:sz w:val="18"/>
                <w:szCs w:val="18"/>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100% of the principal amount of the 2036 Euro Notes to be redeemed, plus, in either case, accrued and</w:t>
            </w:r>
          </w:p>
        </w:tc>
      </w:tr>
      <w:tr>
        <w:trPr>
          <w:trHeight w:val="216"/>
        </w:trPr>
        <w:tc>
          <w:tcPr>
            <w:tcW w:w="3200" w:type="dxa"/>
            <w:vAlign w:val="bottom"/>
          </w:tcPr>
          <w:p>
            <w:pPr>
              <w:spacing w:after="0"/>
              <w:rPr>
                <w:sz w:val="18"/>
                <w:szCs w:val="18"/>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unpaid interest thereon to the redemption date. On or after the 2036 Euro Notes Par Call Date, the</w:t>
            </w:r>
          </w:p>
        </w:tc>
      </w:tr>
      <w:tr>
        <w:trPr>
          <w:trHeight w:val="216"/>
        </w:trPr>
        <w:tc>
          <w:tcPr>
            <w:tcW w:w="3200" w:type="dxa"/>
            <w:vAlign w:val="bottom"/>
          </w:tcPr>
          <w:p>
            <w:pPr>
              <w:spacing w:after="0"/>
              <w:rPr>
                <w:sz w:val="18"/>
                <w:szCs w:val="18"/>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may redeem the 2036 Euro Notes, in whole or in part, at any time and from time to time, at a</w:t>
            </w:r>
          </w:p>
        </w:tc>
      </w:tr>
      <w:tr>
        <w:trPr>
          <w:trHeight w:val="216"/>
        </w:trPr>
        <w:tc>
          <w:tcPr>
            <w:tcW w:w="3200" w:type="dxa"/>
            <w:vAlign w:val="bottom"/>
          </w:tcPr>
          <w:p>
            <w:pPr>
              <w:spacing w:after="0"/>
              <w:rPr>
                <w:sz w:val="18"/>
                <w:szCs w:val="18"/>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2036 Euro Notes being redeemed plus</w:t>
            </w:r>
          </w:p>
        </w:tc>
      </w:tr>
      <w:tr>
        <w:trPr>
          <w:trHeight w:val="234"/>
        </w:trPr>
        <w:tc>
          <w:tcPr>
            <w:tcW w:w="3200" w:type="dxa"/>
            <w:vAlign w:val="bottom"/>
          </w:tcPr>
          <w:p>
            <w:pPr>
              <w:spacing w:after="0"/>
              <w:rPr>
                <w:sz w:val="20"/>
                <w:szCs w:val="20"/>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accrued and unpaid interest thereon to the redemption date.</w:t>
            </w:r>
          </w:p>
        </w:tc>
      </w:tr>
      <w:tr>
        <w:trPr>
          <w:trHeight w:val="319"/>
        </w:trPr>
        <w:tc>
          <w:tcPr>
            <w:tcW w:w="3200" w:type="dxa"/>
            <w:vAlign w:val="bottom"/>
          </w:tcPr>
          <w:p>
            <w:pPr>
              <w:spacing w:after="0"/>
              <w:rPr>
                <w:sz w:val="24"/>
                <w:szCs w:val="24"/>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Company’s determination of the redemption price shall be conclusive and binding for all purposes,</w:t>
            </w:r>
          </w:p>
        </w:tc>
      </w:tr>
      <w:tr>
        <w:trPr>
          <w:trHeight w:val="234"/>
        </w:trPr>
        <w:tc>
          <w:tcPr>
            <w:tcW w:w="3200" w:type="dxa"/>
            <w:vAlign w:val="bottom"/>
          </w:tcPr>
          <w:p>
            <w:pPr>
              <w:spacing w:after="0"/>
              <w:rPr>
                <w:sz w:val="20"/>
                <w:szCs w:val="20"/>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absent manifest error.</w:t>
            </w:r>
          </w:p>
        </w:tc>
      </w:tr>
      <w:tr>
        <w:trPr>
          <w:trHeight w:val="319"/>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Issuances:</w:t>
            </w: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 unlimited amount of additional 2036 Euro Notes may be issued. The 2036 Euro Notes and any</w:t>
            </w:r>
          </w:p>
        </w:tc>
      </w:tr>
      <w:tr>
        <w:trPr>
          <w:trHeight w:val="216"/>
        </w:trPr>
        <w:tc>
          <w:tcPr>
            <w:tcW w:w="3200" w:type="dxa"/>
            <w:vAlign w:val="bottom"/>
          </w:tcPr>
          <w:p>
            <w:pPr>
              <w:spacing w:after="0"/>
              <w:rPr>
                <w:sz w:val="18"/>
                <w:szCs w:val="18"/>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additional 2036 Euro Notes that may be issued may be treated as a single series for all purposes under the</w:t>
            </w:r>
          </w:p>
        </w:tc>
      </w:tr>
      <w:tr>
        <w:trPr>
          <w:trHeight w:val="234"/>
        </w:trPr>
        <w:tc>
          <w:tcPr>
            <w:tcW w:w="3200" w:type="dxa"/>
            <w:vAlign w:val="bottom"/>
          </w:tcPr>
          <w:p>
            <w:pPr>
              <w:spacing w:after="0"/>
              <w:rPr>
                <w:sz w:val="20"/>
                <w:szCs w:val="20"/>
                <w:color w:val="auto"/>
              </w:rPr>
            </w:pP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Indenture</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Conversion:</w:t>
            </w:r>
          </w:p>
        </w:tc>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None</w:t>
            </w:r>
          </w:p>
        </w:tc>
      </w:tr>
    </w:tbl>
    <w:p>
      <w:pPr>
        <w:sectPr>
          <w:pgSz w:w="11900" w:h="16838" w:orient="portrait"/>
          <w:cols w:equalWidth="0" w:num="1">
            <w:col w:w="11020"/>
          </w:cols>
          <w:pgMar w:left="440" w:top="257"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6"/>
        </w:trPr>
        <w:tc>
          <w:tcPr>
            <w:tcW w:w="2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Sinking Fund:</w:t>
            </w:r>
          </w:p>
        </w:tc>
        <w:tc>
          <w:tcPr>
            <w:tcW w:w="858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None</w:t>
            </w:r>
          </w:p>
        </w:tc>
      </w:tr>
      <w:tr>
        <w:trPr>
          <w:trHeight w:val="302"/>
        </w:trPr>
        <w:tc>
          <w:tcPr>
            <w:tcW w:w="2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858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w w:val="99"/>
              </w:rPr>
              <w:t>The terms of the 2036 Euro Notes shall include such other terms as are set forth in the Form of 3.550%</w:t>
            </w:r>
          </w:p>
        </w:tc>
      </w:tr>
      <w:tr>
        <w:trPr>
          <w:trHeight w:val="198"/>
        </w:trPr>
        <w:tc>
          <w:tcPr>
            <w:tcW w:w="2260" w:type="dxa"/>
            <w:vAlign w:val="bottom"/>
          </w:tcPr>
          <w:p>
            <w:pPr>
              <w:spacing w:after="0"/>
              <w:rPr>
                <w:sz w:val="17"/>
                <w:szCs w:val="17"/>
                <w:color w:val="auto"/>
              </w:rPr>
            </w:pPr>
          </w:p>
        </w:tc>
        <w:tc>
          <w:tcPr>
            <w:tcW w:w="8580" w:type="dxa"/>
            <w:vAlign w:val="bottom"/>
            <w:gridSpan w:val="3"/>
          </w:tcPr>
          <w:p>
            <w:pPr>
              <w:ind w:left="1160"/>
              <w:spacing w:after="0" w:line="198" w:lineRule="exact"/>
              <w:rPr>
                <w:sz w:val="20"/>
                <w:szCs w:val="20"/>
                <w:color w:val="auto"/>
              </w:rPr>
            </w:pPr>
            <w:r>
              <w:rPr>
                <w:rFonts w:ascii="Times New Roman" w:cs="Times New Roman" w:eastAsia="Times New Roman" w:hAnsi="Times New Roman"/>
                <w:sz w:val="18"/>
                <w:szCs w:val="18"/>
                <w:color w:val="auto"/>
              </w:rPr>
              <w:t xml:space="preserve">Notes due 2036 attached hereto as </w:t>
            </w:r>
            <w:r>
              <w:rPr>
                <w:rFonts w:ascii="Times New Roman" w:cs="Times New Roman" w:eastAsia="Times New Roman" w:hAnsi="Times New Roman"/>
                <w:sz w:val="18"/>
                <w:szCs w:val="18"/>
                <w:b w:val="1"/>
                <w:bCs w:val="1"/>
                <w:color w:val="auto"/>
              </w:rPr>
              <w:t>Exhibit B.</w:t>
            </w:r>
          </w:p>
        </w:tc>
      </w:tr>
      <w:tr>
        <w:trPr>
          <w:trHeight w:val="20"/>
        </w:trPr>
        <w:tc>
          <w:tcPr>
            <w:tcW w:w="22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ectPr>
          <w:pgSz w:w="11900" w:h="16838" w:orient="portrait"/>
          <w:cols w:equalWidth="0" w:num="1">
            <w:col w:w="10840"/>
          </w:cols>
          <w:pgMar w:left="440" w:top="268" w:right="61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5.</w:t>
            </w:r>
            <w:r>
              <w:rPr>
                <w:rFonts w:ascii="Times New Roman" w:cs="Times New Roman" w:eastAsia="Times New Roman" w:hAnsi="Times New Roman"/>
                <w:sz w:val="18"/>
                <w:szCs w:val="18"/>
                <w:b w:val="1"/>
                <w:bCs w:val="1"/>
                <w:u w:val="single" w:color="auto"/>
                <w:color w:val="auto"/>
                <w:w w:val="99"/>
              </w:rPr>
              <w:t>250%</w:t>
            </w:r>
            <w:r>
              <w:rPr>
                <w:rFonts w:ascii="Times New Roman" w:cs="Times New Roman" w:eastAsia="Times New Roman" w:hAnsi="Times New Roman"/>
                <w:sz w:val="18"/>
                <w:szCs w:val="18"/>
                <w:b w:val="1"/>
                <w:bCs w:val="1"/>
                <w:color w:val="auto"/>
                <w:w w:val="99"/>
              </w:rPr>
              <w:t xml:space="preserve"> Notes due 2040</w:t>
            </w:r>
          </w:p>
        </w:tc>
        <w:tc>
          <w:tcPr>
            <w:tcW w:w="4580" w:type="dxa"/>
            <w:vAlign w:val="bottom"/>
            <w:gridSpan w:val="2"/>
          </w:tcPr>
          <w:p>
            <w:pPr>
              <w:spacing w:after="0"/>
              <w:rPr>
                <w:sz w:val="17"/>
                <w:szCs w:val="17"/>
                <w:color w:val="auto"/>
              </w:rPr>
            </w:pPr>
          </w:p>
        </w:tc>
      </w:tr>
      <w:tr>
        <w:trPr>
          <w:trHeight w:val="345"/>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5.250% Notes due 2040</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£750,000,000</w:t>
            </w: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September 26, 2040</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5.250%</w:t>
            </w: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302"/>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Prior to June 26, 2040 (three (3) months prior to the maturity date of the Sterling Notes) (the “</w:t>
            </w:r>
            <w:r>
              <w:rPr>
                <w:rFonts w:ascii="Times New Roman" w:cs="Times New Roman" w:eastAsia="Times New Roman" w:hAnsi="Times New Roman"/>
                <w:sz w:val="18"/>
                <w:szCs w:val="18"/>
                <w:b w:val="1"/>
                <w:bCs w:val="1"/>
                <w:color w:val="auto"/>
              </w:rPr>
              <w:t>Sterling</w:t>
            </w:r>
          </w:p>
        </w:tc>
      </w:tr>
      <w:tr>
        <w:trPr>
          <w:trHeight w:val="220"/>
        </w:trPr>
        <w:tc>
          <w:tcPr>
            <w:tcW w:w="3200" w:type="dxa"/>
            <w:vAlign w:val="bottom"/>
          </w:tcPr>
          <w:p>
            <w:pPr>
              <w:spacing w:after="0"/>
              <w:rPr>
                <w:sz w:val="19"/>
                <w:szCs w:val="19"/>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Notes Par Call Date</w:t>
            </w:r>
            <w:r>
              <w:rPr>
                <w:rFonts w:ascii="Times New Roman" w:cs="Times New Roman" w:eastAsia="Times New Roman" w:hAnsi="Times New Roman"/>
                <w:sz w:val="18"/>
                <w:szCs w:val="18"/>
                <w:color w:val="auto"/>
              </w:rPr>
              <w:t>”), the Company may redeem the Sterling Notes at its option, in whole or in part, at</w:t>
            </w:r>
          </w:p>
        </w:tc>
      </w:tr>
      <w:tr>
        <w:trPr>
          <w:trHeight w:val="216"/>
        </w:trPr>
        <w:tc>
          <w:tcPr>
            <w:tcW w:w="3200" w:type="dxa"/>
            <w:vAlign w:val="bottom"/>
          </w:tcPr>
          <w:p>
            <w:pPr>
              <w:spacing w:after="0"/>
              <w:rPr>
                <w:sz w:val="18"/>
                <w:szCs w:val="18"/>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w w:val="99"/>
              </w:rPr>
              <w:t>any time and from time to time, at a redemption price (expressed as a percentage of the principal amount</w:t>
            </w:r>
          </w:p>
        </w:tc>
      </w:tr>
      <w:tr>
        <w:trPr>
          <w:trHeight w:val="216"/>
        </w:trPr>
        <w:tc>
          <w:tcPr>
            <w:tcW w:w="3200" w:type="dxa"/>
            <w:vAlign w:val="bottom"/>
          </w:tcPr>
          <w:p>
            <w:pPr>
              <w:spacing w:after="0"/>
              <w:rPr>
                <w:sz w:val="18"/>
                <w:szCs w:val="18"/>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and rounded to three decimal places) equal to the greater of: (1) (a) the sum of the present values of the</w:t>
            </w:r>
          </w:p>
        </w:tc>
      </w:tr>
      <w:tr>
        <w:trPr>
          <w:trHeight w:val="216"/>
        </w:trPr>
        <w:tc>
          <w:tcPr>
            <w:tcW w:w="3200" w:type="dxa"/>
            <w:vAlign w:val="bottom"/>
          </w:tcPr>
          <w:p>
            <w:pPr>
              <w:spacing w:after="0"/>
              <w:rPr>
                <w:sz w:val="18"/>
                <w:szCs w:val="18"/>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remaining scheduled payments of principal and interest thereon discounted to the redemption date</w:t>
            </w:r>
          </w:p>
        </w:tc>
      </w:tr>
      <w:tr>
        <w:trPr>
          <w:trHeight w:val="216"/>
        </w:trPr>
        <w:tc>
          <w:tcPr>
            <w:tcW w:w="3200" w:type="dxa"/>
            <w:vAlign w:val="bottom"/>
          </w:tcPr>
          <w:p>
            <w:pPr>
              <w:spacing w:after="0"/>
              <w:rPr>
                <w:sz w:val="18"/>
                <w:szCs w:val="18"/>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(assuming that the Sterling Notes matured on the Sterling Notes Par Call Date) on an annual basis</w:t>
            </w:r>
          </w:p>
        </w:tc>
      </w:tr>
      <w:tr>
        <w:trPr>
          <w:trHeight w:val="216"/>
        </w:trPr>
        <w:tc>
          <w:tcPr>
            <w:tcW w:w="3200" w:type="dxa"/>
            <w:vAlign w:val="bottom"/>
          </w:tcPr>
          <w:p>
            <w:pPr>
              <w:spacing w:after="0"/>
              <w:rPr>
                <w:sz w:val="18"/>
                <w:szCs w:val="18"/>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(ACTUAL/ACTUAL (ICMA)) at the applicable comparable government bond rate plus 15 basis points,</w:t>
            </w:r>
          </w:p>
        </w:tc>
      </w:tr>
      <w:tr>
        <w:trPr>
          <w:trHeight w:val="216"/>
        </w:trPr>
        <w:tc>
          <w:tcPr>
            <w:tcW w:w="3200" w:type="dxa"/>
            <w:vAlign w:val="bottom"/>
          </w:tcPr>
          <w:p>
            <w:pPr>
              <w:spacing w:after="0"/>
              <w:rPr>
                <w:sz w:val="18"/>
                <w:szCs w:val="18"/>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less (b) interest accrued to the date of redemption, and (2) 100% of the principal amount of the Sterling</w:t>
            </w:r>
          </w:p>
        </w:tc>
      </w:tr>
      <w:tr>
        <w:trPr>
          <w:trHeight w:val="216"/>
        </w:trPr>
        <w:tc>
          <w:tcPr>
            <w:tcW w:w="3200" w:type="dxa"/>
            <w:vAlign w:val="bottom"/>
          </w:tcPr>
          <w:p>
            <w:pPr>
              <w:spacing w:after="0"/>
              <w:rPr>
                <w:sz w:val="18"/>
                <w:szCs w:val="18"/>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Notes to be redeemed, plus, in either case, accrued and unpaid interest thereon to the redemption date.</w:t>
            </w:r>
          </w:p>
        </w:tc>
      </w:tr>
      <w:tr>
        <w:trPr>
          <w:trHeight w:val="216"/>
        </w:trPr>
        <w:tc>
          <w:tcPr>
            <w:tcW w:w="3200" w:type="dxa"/>
            <w:vAlign w:val="bottom"/>
          </w:tcPr>
          <w:p>
            <w:pPr>
              <w:spacing w:after="0"/>
              <w:rPr>
                <w:sz w:val="18"/>
                <w:szCs w:val="18"/>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w w:val="99"/>
              </w:rPr>
              <w:t>On or after the Sterling Notes Par Call Date, the Company may redeem the Sterling Notes, in whole or in</w:t>
            </w:r>
          </w:p>
        </w:tc>
      </w:tr>
      <w:tr>
        <w:trPr>
          <w:trHeight w:val="216"/>
        </w:trPr>
        <w:tc>
          <w:tcPr>
            <w:tcW w:w="3200" w:type="dxa"/>
            <w:vAlign w:val="bottom"/>
          </w:tcPr>
          <w:p>
            <w:pPr>
              <w:spacing w:after="0"/>
              <w:rPr>
                <w:sz w:val="18"/>
                <w:szCs w:val="18"/>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part, at any time and from time to time, at a redemption price equal to 100% of the principal amount of</w:t>
            </w:r>
          </w:p>
        </w:tc>
      </w:tr>
      <w:tr>
        <w:trPr>
          <w:trHeight w:val="234"/>
        </w:trPr>
        <w:tc>
          <w:tcPr>
            <w:tcW w:w="3200" w:type="dxa"/>
            <w:vAlign w:val="bottom"/>
          </w:tcPr>
          <w:p>
            <w:pPr>
              <w:spacing w:after="0"/>
              <w:rPr>
                <w:sz w:val="20"/>
                <w:szCs w:val="20"/>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the Sterling Notes being redeemed plus accrued and unpaid interest thereon to the redemption date.</w:t>
            </w:r>
          </w:p>
        </w:tc>
      </w:tr>
      <w:tr>
        <w:trPr>
          <w:trHeight w:val="319"/>
        </w:trPr>
        <w:tc>
          <w:tcPr>
            <w:tcW w:w="3200" w:type="dxa"/>
            <w:vAlign w:val="bottom"/>
          </w:tcPr>
          <w:p>
            <w:pPr>
              <w:spacing w:after="0"/>
              <w:rPr>
                <w:sz w:val="24"/>
                <w:szCs w:val="24"/>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The Company’s determination of the redemption price shall be conclusive and binding for all purposes,</w:t>
            </w:r>
          </w:p>
        </w:tc>
      </w:tr>
      <w:tr>
        <w:trPr>
          <w:trHeight w:val="234"/>
        </w:trPr>
        <w:tc>
          <w:tcPr>
            <w:tcW w:w="3200" w:type="dxa"/>
            <w:vAlign w:val="bottom"/>
          </w:tcPr>
          <w:p>
            <w:pPr>
              <w:spacing w:after="0"/>
              <w:rPr>
                <w:sz w:val="20"/>
                <w:szCs w:val="20"/>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absent manifest error.</w:t>
            </w:r>
          </w:p>
        </w:tc>
      </w:tr>
      <w:tr>
        <w:trPr>
          <w:trHeight w:val="319"/>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Issuances:</w:t>
            </w: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An unlimited amount of additional Sterling Notes may be issued. The Sterling Notes and any additional</w:t>
            </w:r>
          </w:p>
        </w:tc>
      </w:tr>
      <w:tr>
        <w:trPr>
          <w:trHeight w:val="234"/>
        </w:trPr>
        <w:tc>
          <w:tcPr>
            <w:tcW w:w="3200" w:type="dxa"/>
            <w:vAlign w:val="bottom"/>
          </w:tcPr>
          <w:p>
            <w:pPr>
              <w:spacing w:after="0"/>
              <w:rPr>
                <w:sz w:val="20"/>
                <w:szCs w:val="20"/>
                <w:color w:val="auto"/>
              </w:rPr>
            </w:pP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Sterling Notes that may be issued may be treated as a single series for all purposes under the Indenture</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Conversion:</w:t>
            </w: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None</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Sinking Fund:</w:t>
            </w: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None</w:t>
            </w:r>
          </w:p>
        </w:tc>
      </w:tr>
      <w:tr>
        <w:trPr>
          <w:trHeight w:val="302"/>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7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The terms of the Sterling Notes shall include such other terms as are set forth in the Form of 5.250%</w:t>
            </w:r>
          </w:p>
        </w:tc>
      </w:tr>
      <w:tr>
        <w:trPr>
          <w:trHeight w:val="198"/>
        </w:trPr>
        <w:tc>
          <w:tcPr>
            <w:tcW w:w="3200" w:type="dxa"/>
            <w:vAlign w:val="bottom"/>
          </w:tcPr>
          <w:p>
            <w:pPr>
              <w:spacing w:after="0"/>
              <w:rPr>
                <w:sz w:val="17"/>
                <w:szCs w:val="17"/>
                <w:color w:val="auto"/>
              </w:rPr>
            </w:pPr>
          </w:p>
        </w:tc>
        <w:tc>
          <w:tcPr>
            <w:tcW w:w="7780" w:type="dxa"/>
            <w:vAlign w:val="bottom"/>
            <w:gridSpan w:val="5"/>
          </w:tcPr>
          <w:p>
            <w:pPr>
              <w:ind w:left="220"/>
              <w:spacing w:after="0" w:line="198" w:lineRule="exact"/>
              <w:rPr>
                <w:sz w:val="20"/>
                <w:szCs w:val="20"/>
                <w:color w:val="auto"/>
              </w:rPr>
            </w:pPr>
            <w:r>
              <w:rPr>
                <w:rFonts w:ascii="Times New Roman" w:cs="Times New Roman" w:eastAsia="Times New Roman" w:hAnsi="Times New Roman"/>
                <w:sz w:val="18"/>
                <w:szCs w:val="18"/>
                <w:color w:val="auto"/>
              </w:rPr>
              <w:t xml:space="preserve">Notes due 2040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tc>
      </w:tr>
      <w:tr>
        <w:trPr>
          <w:trHeight w:val="20"/>
        </w:trPr>
        <w:tc>
          <w:tcPr>
            <w:tcW w:w="3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bl>
    <w:p>
      <w:pPr>
        <w:sectPr>
          <w:pgSz w:w="11900" w:h="16838" w:orient="portrait"/>
          <w:cols w:equalWidth="0" w:num="1">
            <w:col w:w="10980"/>
          </w:cols>
          <w:pgMar w:left="440" w:top="257" w:right="47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0940"/>
          </w:cols>
          <w:pgMar w:left="440" w:top="270"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officers of the Company have duly executed this certificate as of the date first set forth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 Senior Vice President, Senior Deputy General</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Counsel and Assistant Secretary</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James P. McCue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 and Assistant Treasurer</w:t>
      </w:r>
    </w:p>
    <w:p>
      <w:pPr>
        <w:spacing w:after="0" w:line="20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Officer’s Certificate Pursuant to the Indenture</w:t>
      </w:r>
      <w:r>
        <w:rPr>
          <w:rFonts w:ascii="Times New Roman" w:cs="Times New Roman" w:eastAsia="Times New Roman" w:hAnsi="Times New Roman"/>
          <w:sz w:val="18"/>
          <w:szCs w:val="18"/>
          <w:color w:val="auto"/>
        </w:rPr>
        <w:t>]</w:t>
      </w:r>
    </w:p>
    <w:p>
      <w:pPr>
        <w:sectPr>
          <w:pgSz w:w="11900" w:h="16838" w:orient="portrait"/>
          <w:cols w:equalWidth="0" w:num="1">
            <w:col w:w="10280"/>
          </w:cols>
          <w:pgMar w:left="880" w:top="270" w:right="7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ectPr>
          <w:pgSz w:w="11900" w:h="16838" w:orient="portrait"/>
          <w:cols w:equalWidth="0" w:num="1">
            <w:col w:w="9019"/>
          </w:cols>
          <w:pgMar w:left="1440" w:top="266" w:right="1440" w:bottom="1440" w:gutter="0" w:footer="0" w:header="0"/>
        </w:sectPr>
      </w:pPr>
    </w:p>
    <w:bookmarkStart w:id="11" w:name="page12"/>
    <w:bookmarkEnd w:id="11"/>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 AS MUCH AS THE REGISTERED OWNER HEREOF, THE BANK OF NEW YORK MELLON, LONDON BRANCH, HAS AN INTEREST HEREIN.</w:t>
      </w:r>
    </w:p>
    <w:p>
      <w:pPr>
        <w:sectPr>
          <w:pgSz w:w="11900" w:h="16838" w:orient="portrait"/>
          <w:cols w:equalWidth="0" w:num="1">
            <w:col w:w="11000"/>
          </w:cols>
          <w:pgMar w:left="440" w:top="270" w:right="4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COMCAST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3.250% Notes due 2032</w:t>
      </w:r>
    </w:p>
    <w:p>
      <w:pPr>
        <w:spacing w:after="0" w:line="234" w:lineRule="exact"/>
        <w:rPr>
          <w:sz w:val="20"/>
          <w:szCs w:val="20"/>
          <w:color w:val="auto"/>
        </w:rPr>
      </w:pPr>
    </w:p>
    <w:p>
      <w:pPr>
        <w:spacing w:after="0"/>
        <w:tabs>
          <w:tab w:leader="none" w:pos="360" w:val="left"/>
          <w:tab w:leader="none" w:pos="9100" w:val="left"/>
        </w:tabs>
        <w:rPr>
          <w:sz w:val="20"/>
          <w:szCs w:val="20"/>
          <w:color w:val="auto"/>
        </w:rPr>
      </w:pPr>
      <w:r>
        <w:rPr>
          <w:rFonts w:ascii="Times New Roman" w:cs="Times New Roman" w:eastAsia="Times New Roman" w:hAnsi="Times New Roman"/>
          <w:sz w:val="18"/>
          <w:szCs w:val="18"/>
          <w:color w:val="auto"/>
        </w:rPr>
        <w:t>€[ </w:t>
        <w:tab/>
        <w:t>]</w:t>
      </w:r>
      <w:r>
        <w:rPr>
          <w:sz w:val="20"/>
          <w:szCs w:val="20"/>
          <w:color w:val="auto"/>
        </w:rPr>
        <w:tab/>
      </w:r>
      <w:r>
        <w:rPr>
          <w:rFonts w:ascii="Times New Roman" w:cs="Times New Roman" w:eastAsia="Times New Roman" w:hAnsi="Times New Roman"/>
          <w:sz w:val="18"/>
          <w:szCs w:val="18"/>
          <w:color w:val="auto"/>
        </w:rPr>
        <w:t>ISIN No.: XS2909746401</w:t>
      </w:r>
    </w:p>
    <w:p>
      <w:pPr>
        <w:spacing w:after="0" w:line="22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xml:space="preserve">”, which term includes any successor corporation), for value received promises to pay to The Bank of New York Depository (Nominees) Limited, as nominee of The Bank of New York Mellon, London Branch, as common depositary for Euroclear Bank S.A./N.V.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Luxembourg, or registered assigns, the principal sum of €[  ] ([  ]) on September 26, 2032.</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 September 26 (the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September 26, 2025.</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Interest Record Date: September 15 (the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 Reference is made to the further provisions of this Security contained herein, which will for all purposes have the same effect as if set forth at this place.</w:t>
      </w:r>
    </w:p>
    <w:p>
      <w:pPr>
        <w:sectPr>
          <w:pgSz w:w="11900" w:h="16838" w:orient="portrait"/>
          <w:cols w:equalWidth="0" w:num="1">
            <w:col w:w="11020"/>
          </w:cols>
          <w:pgMar w:left="440" w:top="266" w:right="439" w:bottom="1440" w:gutter="0" w:footer="0" w:header="0"/>
        </w:sectPr>
      </w:pPr>
    </w:p>
    <w:bookmarkStart w:id="13" w:name="page14"/>
    <w:bookmarkEnd w:id="13"/>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 Senior Vice President, Senior Deputy General</w:t>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Counsel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James P. McCue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Assistant Treasurer</w:t>
      </w:r>
    </w:p>
    <w:p>
      <w:pPr>
        <w:sectPr>
          <w:pgSz w:w="11900" w:h="16838" w:orient="portrait"/>
          <w:cols w:equalWidth="0" w:num="1">
            <w:col w:w="10720"/>
          </w:cols>
          <w:pgMar w:left="440" w:top="270" w:right="73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series designated herein and referred to in the within- 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26,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THE BANK OF NEW YORK MELLON, as Trustee</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420"/>
          </w:cols>
          <w:pgMar w:left="440" w:top="270" w:right="10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SECURITY)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3.250% Notes due 2032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Interest.</w:t>
      </w:r>
    </w:p>
    <w:p>
      <w:pPr>
        <w:spacing w:after="0" w:line="221" w:lineRule="exact"/>
        <w:rPr>
          <w:sz w:val="20"/>
          <w:szCs w:val="20"/>
          <w:color w:val="auto"/>
        </w:rPr>
      </w:pPr>
    </w:p>
    <w:p>
      <w:pPr>
        <w:jc w:val="both"/>
        <w:ind w:right="160" w:firstLine="440"/>
        <w:spacing w:after="0" w:line="291" w:lineRule="auto"/>
        <w:rPr>
          <w:sz w:val="20"/>
          <w:szCs w:val="20"/>
          <w:color w:val="auto"/>
        </w:rPr>
      </w:pPr>
      <w:r>
        <w:rPr>
          <w:rFonts w:ascii="Times New Roman" w:cs="Times New Roman" w:eastAsia="Times New Roman" w:hAnsi="Times New Roman"/>
          <w:sz w:val="17"/>
          <w:szCs w:val="17"/>
          <w:color w:val="auto"/>
        </w:rPr>
        <w:t>COMCAST CORPORATION, a Pennsylvania corporation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promises to pay interest on the principal amount of this Security at the rate per annum shown above. Cash interest on the Securities will accrue from the most recent date to which interest has been paid or, if no interest has been paid, from September 26, 2024. The Issuer will pay interest annually in arrears on the Interest Payment Date, commencing September 26, 2025.</w:t>
      </w:r>
    </w:p>
    <w:p>
      <w:pPr>
        <w:spacing w:after="0" w:line="15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Interest on the Securities will be computed on the basis of the actual number of days in the period for which interest is being calculated and the actual number of days from and including the last date to which interest was paid on the Securities (or September 26, 2024 if no interest has been paid on the Securities), to but excluding the next scheduled Interest Payment Date. This payment convention is referred to as ACTUAL/ACTUAL (ICMA) as defined in the rulebook of the International Capital Market Association.</w:t>
      </w:r>
    </w:p>
    <w:p>
      <w:pPr>
        <w:spacing w:after="0" w:line="180"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2"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or Sunday (i) which is not a day on which banking institutions in The City of New York or London are authorized or obligated by law, regulation or executive order to close and (ii) on which the Trans-European Automated Real-Time Gross Settlement Express Transfer System (the T2 system) or any successor thereto is open.</w:t>
      </w:r>
    </w:p>
    <w:p>
      <w:pPr>
        <w:spacing w:after="0" w:line="17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Issuance in Euro.</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will be payable in Euro. If Euro is unavailable to the Issuer due to the imposition of exchange controls or other circumstances beyond the Issuer’s control, then all payments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so made in U.S. dollars will not constitute an event of default under the Indenture. Neither the Trustee nor the Paying Agent will be responsible for obtaining exchange rates, effecting currency conversions or otherwise handling re-denominations.</w:t>
      </w:r>
    </w:p>
    <w:p>
      <w:pPr>
        <w:sectPr>
          <w:pgSz w:w="11900" w:h="16838" w:orient="portrait"/>
          <w:cols w:equalWidth="0" w:num="1">
            <w:col w:w="11020"/>
          </w:cols>
          <w:pgMar w:left="440" w:top="270" w:right="439" w:bottom="1440" w:gutter="0" w:footer="0" w:header="0"/>
        </w:sectPr>
      </w:pPr>
    </w:p>
    <w:bookmarkStart w:id="16" w:name="page17"/>
    <w:bookmarkEnd w:id="16"/>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w:t>
      </w:r>
      <w:r>
        <w:rPr>
          <w:rFonts w:ascii="Times New Roman" w:cs="Times New Roman" w:eastAsia="Times New Roman" w:hAnsi="Times New Roman"/>
          <w:sz w:val="18"/>
          <w:szCs w:val="18"/>
          <w:b w:val="1"/>
          <w:bCs w:val="1"/>
          <w:color w:val="auto"/>
        </w:rPr>
        <w:t>Market Exchange Rate</w:t>
      </w:r>
      <w:r>
        <w:rPr>
          <w:rFonts w:ascii="Times New Roman" w:cs="Times New Roman" w:eastAsia="Times New Roman" w:hAnsi="Times New Roman"/>
          <w:sz w:val="18"/>
          <w:szCs w:val="18"/>
          <w:color w:val="auto"/>
        </w:rPr>
        <w:t>” means the noon buying rate in The City of New York for cable transfers of Euro as certified for customs purposes (or, if not so certified, as otherwise determined) by the Federal Reserve Bank of New York.</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Method of Payment.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collect principal payments.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payments of interest, and any portion of the principal (other than interest payable at maturity or on any redemption or repayment date or the final payment of principal) shall be made by the Paying Agent, upon receipt from the Issuer of immediately available funds by 10:00 a.m., London time one Business Day prior to the payment due date (or such other time as may be agreed to between the Issuer and the Paying Agent), directly to a Holder (by Federal funds wire transfer or otherwise) if the Holder has delivered written instructions to the Paying Agent 10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Paying Agent.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Initially, The Bank of New York Mellon, London Branch will act as Paying Agent. The Issuer may change any Paying Agent without notice to the Holders.</w:t>
      </w:r>
    </w:p>
    <w:p>
      <w:pPr>
        <w:sectPr>
          <w:pgSz w:w="11900" w:h="16838" w:orient="portrait"/>
          <w:cols w:equalWidth="0" w:num="1">
            <w:col w:w="11000"/>
          </w:cols>
          <w:pgMar w:left="440" w:top="266" w:right="4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Indenture.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Trustee, and as further amended by the Second Supplemental Indenture dated as of July 29, 2022, by and among the Issuer, the Guarantors and the Trustee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the notes are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under the Indenture.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 Guarantees.</w:t>
      </w:r>
    </w:p>
    <w:p>
      <w:pPr>
        <w:spacing w:after="0" w:line="225"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 Denominations; Transfer; Exchange.</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Securities are in registered form, without coupons, in denominations of €100,000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 Persons Deemed Owners.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 Unclaimed Funds.</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000"/>
          </w:cols>
          <w:pgMar w:left="440" w:top="270" w:right="45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 Legal Defeasance and Covenant Defeasance.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 Amendment; Supplement; Waiver.</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 Restrictive Covenants.</w:t>
      </w:r>
    </w:p>
    <w:p>
      <w:pPr>
        <w:spacing w:after="0" w:line="225" w:lineRule="exact"/>
        <w:rPr>
          <w:sz w:val="20"/>
          <w:szCs w:val="20"/>
          <w:color w:val="auto"/>
        </w:rPr>
      </w:pPr>
    </w:p>
    <w:p>
      <w:pPr>
        <w:ind w:right="240" w:firstLine="440"/>
        <w:spacing w:after="0" w:line="289" w:lineRule="auto"/>
        <w:rPr>
          <w:sz w:val="20"/>
          <w:szCs w:val="20"/>
          <w:color w:val="auto"/>
        </w:rPr>
      </w:pPr>
      <w:r>
        <w:rPr>
          <w:rFonts w:ascii="Times New Roman" w:cs="Times New Roman" w:eastAsia="Times New Roman" w:hAnsi="Times New Roman"/>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 Optional Redemption.</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Prior to June 26, 2032 (the “Par Call Date”), the Issuer may redeem the Securities at its option, in whole or in part, at any time and from time to time, on at least 10 days, but not more than 60 days, prior notice delivered electronically or mailed to the registered address of each Holder of the Securities, at a redemption price (expressed as a percentage of the principal amount and rounded to three decimal places) equal to the greater of:</w:t>
      </w:r>
    </w:p>
    <w:p>
      <w:pPr>
        <w:spacing w:after="0" w:line="81" w:lineRule="exact"/>
        <w:rPr>
          <w:sz w:val="20"/>
          <w:szCs w:val="20"/>
          <w:color w:val="auto"/>
        </w:rPr>
      </w:pPr>
    </w:p>
    <w:p>
      <w:pPr>
        <w:ind w:left="960" w:right="12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for this purpose, that such Securities mature on the Par Call Date) on an annual basis (ACTUAL/ACTUAL (ICMA)) at the applicable comparable government bond rate, as defined below, plus 20 basis points, less (b) interest accrued to the date of redemption, and</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in either case, accrued and unpaid interest thereon to the redemption date.</w:t>
      </w:r>
    </w:p>
    <w:p>
      <w:pPr>
        <w:sectPr>
          <w:pgSz w:w="11900" w:h="16838" w:orient="portrait"/>
          <w:cols w:equalWidth="0" w:num="1">
            <w:col w:w="10980"/>
          </w:cols>
          <w:pgMar w:left="440" w:top="270" w:right="479" w:bottom="1440" w:gutter="0" w:footer="0" w:header="0"/>
        </w:sectPr>
      </w:pPr>
    </w:p>
    <w:bookmarkStart w:id="19" w:name="page20"/>
    <w:bookmarkEnd w:id="19"/>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or after the Par Call Date, the Issuer may redeem the Securities, in whole or in part, at any time and from time to time, on at least 10 days, but not more than 60 days, prior notice delivered electronically or mailed to the registered address of each Holder of the Securities, at a redemption price equal to 100% of the principal amount of the Securities being redeemed, plus accrued and unpaid interest thereon to the redemption date.</w:t>
      </w:r>
    </w:p>
    <w:p>
      <w:pPr>
        <w:spacing w:after="0" w:line="172" w:lineRule="exact"/>
        <w:rPr>
          <w:sz w:val="20"/>
          <w:szCs w:val="20"/>
          <w:color w:val="auto"/>
        </w:rPr>
      </w:pPr>
    </w:p>
    <w:p>
      <w:pPr>
        <w:ind w:right="180" w:firstLine="440"/>
        <w:spacing w:after="0" w:line="257"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comparable government bond</w:t>
      </w:r>
      <w:r>
        <w:rPr>
          <w:rFonts w:ascii="Times New Roman" w:cs="Times New Roman" w:eastAsia="Times New Roman" w:hAnsi="Times New Roman"/>
          <w:sz w:val="18"/>
          <w:szCs w:val="18"/>
          <w:color w:val="auto"/>
        </w:rPr>
        <w:t>” means in relation to any comparable government bond rate calculation, at the discretion of an independent investment banker selected by the Issuer, a German government bond whose maturity is closest to the maturity of the Securities to be redeemed (assuming for this purpose that the Securities matured on the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w:t>
      </w:r>
    </w:p>
    <w:p>
      <w:pPr>
        <w:spacing w:after="0" w:line="182"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comparable government bond rate</w:t>
      </w:r>
      <w:r>
        <w:rPr>
          <w:rFonts w:ascii="Times New Roman" w:cs="Times New Roman" w:eastAsia="Times New Roman" w:hAnsi="Times New Roman"/>
          <w:sz w:val="18"/>
          <w:szCs w:val="18"/>
          <w:color w:val="auto"/>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7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independent investment banker</w:t>
      </w:r>
      <w:r>
        <w:rPr>
          <w:rFonts w:ascii="Times New Roman" w:cs="Times New Roman" w:eastAsia="Times New Roman" w:hAnsi="Times New Roman"/>
          <w:sz w:val="18"/>
          <w:szCs w:val="18"/>
          <w:color w:val="auto"/>
        </w:rPr>
        <w:t>” means each of Barclays Bank PLC and BNP Paribas (or their respective successors), or if each such firm is unwilling or unable to select the comparable government bond, an independent investment banking institution of international standing appointed by the Issuer.</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 Redemption for Tax Reasons.</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September 23, 2024, the Issuer becomes or, based upon a written opinion of independent counsel selected by us, will become obligated to pay additional amounts as described in Section 15 herein under the heading “Payment of Additional Amounts” with respect to the Securities, then the Issuer may, at any time at its option, redeem, in whole, but not in part, the Securities on not less than 15 nor more than 30 days’ prior notice, at a redemption price equal to 100% of their principal amount, together with accrued and unpaid interest on the Securities to, but not including, the date fixed for redemption.</w:t>
      </w:r>
    </w:p>
    <w:p>
      <w:pPr>
        <w:sectPr>
          <w:pgSz w:w="11900" w:h="16838" w:orient="portrait"/>
          <w:cols w:equalWidth="0" w:num="1">
            <w:col w:w="11000"/>
          </w:cols>
          <w:pgMar w:left="440" w:top="270" w:right="45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 Payment of Additional Amounts.</w:t>
      </w:r>
    </w:p>
    <w:p>
      <w:pPr>
        <w:spacing w:after="0" w:line="225"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in respect of the Securities to a beneficial owner who is not a United States person (as defined below), after withholding or deduction for any present or future tax, assessment or other governmental charge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89" w:lineRule="exact"/>
        <w:rPr>
          <w:sz w:val="20"/>
          <w:szCs w:val="20"/>
          <w:color w:val="auto"/>
        </w:rPr>
      </w:pPr>
    </w:p>
    <w:p>
      <w:pPr>
        <w:ind w:left="960" w:right="80" w:hanging="532"/>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that is imposed by reason of the Holder (or the beneficial owner for whose benefit such Holder holds the Securities),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85" w:lineRule="exact"/>
        <w:rPr>
          <w:rFonts w:ascii="Times New Roman" w:cs="Times New Roman" w:eastAsia="Times New Roman" w:hAnsi="Times New Roman"/>
          <w:sz w:val="18"/>
          <w:szCs w:val="18"/>
          <w:color w:val="auto"/>
        </w:rPr>
      </w:pPr>
    </w:p>
    <w:p>
      <w:pPr>
        <w:ind w:left="1420" w:right="220" w:hanging="439"/>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engaged in a trade or business in the United States or having or having had a permanent establishment in the United States;</w:t>
      </w:r>
    </w:p>
    <w:p>
      <w:pPr>
        <w:spacing w:after="0" w:line="67" w:lineRule="exact"/>
        <w:rPr>
          <w:rFonts w:ascii="Times New Roman" w:cs="Times New Roman" w:eastAsia="Times New Roman" w:hAnsi="Times New Roman"/>
          <w:sz w:val="18"/>
          <w:szCs w:val="18"/>
          <w:color w:val="auto"/>
        </w:rPr>
      </w:pPr>
    </w:p>
    <w:p>
      <w:pPr>
        <w:jc w:val="both"/>
        <w:ind w:left="1420" w:right="200" w:hanging="439"/>
        <w:spacing w:after="0" w:line="26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81" w:lineRule="exact"/>
        <w:rPr>
          <w:rFonts w:ascii="Times New Roman" w:cs="Times New Roman" w:eastAsia="Times New Roman" w:hAnsi="Times New Roman"/>
          <w:sz w:val="18"/>
          <w:szCs w:val="18"/>
          <w:color w:val="auto"/>
        </w:rPr>
      </w:pPr>
    </w:p>
    <w:p>
      <w:pPr>
        <w:jc w:val="both"/>
        <w:ind w:left="1420" w:hanging="439"/>
        <w:spacing w:after="0" w:line="26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77" w:lineRule="exact"/>
        <w:rPr>
          <w:rFonts w:ascii="Times New Roman" w:cs="Times New Roman" w:eastAsia="Times New Roman" w:hAnsi="Times New Roman"/>
          <w:sz w:val="18"/>
          <w:szCs w:val="18"/>
          <w:color w:val="auto"/>
        </w:rPr>
      </w:pPr>
    </w:p>
    <w:p>
      <w:pPr>
        <w:ind w:left="1420" w:right="320" w:hanging="439"/>
        <w:spacing w:after="0" w:line="28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w:t>
      </w:r>
      <w:r>
        <w:rPr>
          <w:rFonts w:ascii="Times New Roman" w:cs="Times New Roman" w:eastAsia="Times New Roman" w:hAnsi="Times New Roman"/>
          <w:sz w:val="18"/>
          <w:szCs w:val="18"/>
          <w:b w:val="1"/>
          <w:bCs w:val="1"/>
          <w:color w:val="auto"/>
        </w:rPr>
        <w:t>10-percent shareholder</w:t>
      </w:r>
      <w:r>
        <w:rPr>
          <w:rFonts w:ascii="Times New Roman" w:cs="Times New Roman" w:eastAsia="Times New Roman" w:hAnsi="Times New Roman"/>
          <w:sz w:val="18"/>
          <w:szCs w:val="18"/>
          <w:color w:val="auto"/>
        </w:rPr>
        <w:t>” of the Issuer or the applicable guarantor as defined in Section 871(h)(3) of the United States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or any successor provision; or</w:t>
      </w:r>
    </w:p>
    <w:p>
      <w:pPr>
        <w:spacing w:after="0" w:line="64"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67" w:lineRule="exact"/>
        <w:rPr>
          <w:rFonts w:ascii="Times New Roman" w:cs="Times New Roman" w:eastAsia="Times New Roman" w:hAnsi="Times New Roman"/>
          <w:sz w:val="18"/>
          <w:szCs w:val="18"/>
          <w:color w:val="auto"/>
        </w:rPr>
      </w:pPr>
    </w:p>
    <w:p>
      <w:pPr>
        <w:ind w:left="960" w:right="60" w:hanging="532"/>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that is not the sole beneficial owner of the Securities, or a portion of the Securities,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88"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 or reduction in such Tax;</w:t>
      </w:r>
    </w:p>
    <w:p>
      <w:pPr>
        <w:sectPr>
          <w:pgSz w:w="11900" w:h="16838" w:orient="portrait"/>
          <w:cols w:equalWidth="0" w:num="1">
            <w:col w:w="11000"/>
          </w:cols>
          <w:pgMar w:left="440" w:top="270" w:right="459" w:bottom="1440" w:gutter="0" w:footer="0" w:header="0"/>
        </w:sectPr>
      </w:pPr>
    </w:p>
    <w:bookmarkStart w:id="21" w:name="page22"/>
    <w:bookmarkEnd w:id="21"/>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Tax that is imposed otherwise than by withholding by the Issuer or an applicable withholding agent from the payment;</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estate, inheritance, gift, sales, excise, transfer, wealth, capital gains or personal property or similar Tax;</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required to be withheld by any paying agent from any payment of principal of or interest on any Security, if such payment can be made without such withholding by at least one other paying agent;</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81"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w:t>
      </w:r>
    </w:p>
    <w:p>
      <w:pPr>
        <w:spacing w:after="0" w:line="81" w:lineRule="exact"/>
        <w:rPr>
          <w:rFonts w:ascii="Times New Roman" w:cs="Times New Roman" w:eastAsia="Times New Roman" w:hAnsi="Times New Roman"/>
          <w:sz w:val="18"/>
          <w:szCs w:val="18"/>
          <w:color w:val="auto"/>
        </w:rPr>
      </w:pPr>
    </w:p>
    <w:p>
      <w:pPr>
        <w:ind w:left="960" w:right="560" w:hanging="532"/>
        <w:spacing w:after="0" w:line="281"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69"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combination of items (a)-(j) above.</w:t>
      </w:r>
    </w:p>
    <w:p>
      <w:pPr>
        <w:spacing w:after="0" w:line="221"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As used in this Section 15, “</w:t>
      </w:r>
      <w:r>
        <w:rPr>
          <w:rFonts w:ascii="Times New Roman" w:cs="Times New Roman" w:eastAsia="Times New Roman" w:hAnsi="Times New Roman"/>
          <w:sz w:val="18"/>
          <w:szCs w:val="18"/>
          <w:b w:val="1"/>
          <w:bCs w:val="1"/>
          <w:color w:val="auto"/>
        </w:rPr>
        <w:t>United States person</w:t>
      </w:r>
      <w:r>
        <w:rPr>
          <w:rFonts w:ascii="Times New Roman" w:cs="Times New Roman" w:eastAsia="Times New Roman" w:hAnsi="Times New Roman"/>
          <w:sz w:val="18"/>
          <w:szCs w:val="18"/>
          <w:color w:val="auto"/>
        </w:rPr>
        <w:t>”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ectPr>
          <w:pgSz w:w="11900" w:h="16838" w:orient="portrait"/>
          <w:cols w:equalWidth="0" w:num="1">
            <w:col w:w="10960"/>
          </w:cols>
          <w:pgMar w:left="440" w:top="270" w:right="49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 Defaults and Remedies.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 Trustee Dealings with Issuer.</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 No Recourse Against Others.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Security shall not be valid until the Trustee manually or electronically signs the certificate of authentication on this Security.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 Abbreviations and Defined Terms.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 ISIN Numbers.</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ectPr>
          <w:pgSz w:w="11900" w:h="16838" w:orient="portrait"/>
          <w:cols w:equalWidth="0" w:num="1">
            <w:col w:w="11000"/>
          </w:cols>
          <w:pgMar w:left="440" w:top="270"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 Governing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laws of the State of New York shall govern the Indenture and this Security thereof.</w:t>
      </w:r>
    </w:p>
    <w:p>
      <w:pPr>
        <w:sectPr>
          <w:pgSz w:w="11900" w:h="16838" w:orient="portrait"/>
          <w:cols w:equalWidth="0" w:num="1">
            <w:col w:w="9579"/>
          </w:cols>
          <w:pgMar w:left="880" w:top="270"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80" w:type="dxa"/>
            <w:vAlign w:val="bottom"/>
            <w:gridSpan w:val="3"/>
          </w:tcPr>
          <w:p>
            <w:pPr>
              <w:jc w:val="center"/>
              <w:ind w:right="2470"/>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tc>
      </w:tr>
      <w:tr>
        <w:trPr>
          <w:trHeight w:val="256"/>
        </w:trPr>
        <w:tc>
          <w:tcPr>
            <w:tcW w:w="5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840" w:type="dxa"/>
            <w:vAlign w:val="bottom"/>
            <w:tcBorders>
              <w:bottom w:val="single" w:sz="8" w:color="auto"/>
            </w:tcBorders>
          </w:tcPr>
          <w:p>
            <w:pPr>
              <w:spacing w:after="0"/>
              <w:rPr>
                <w:sz w:val="22"/>
                <w:szCs w:val="22"/>
                <w:color w:val="auto"/>
              </w:rPr>
            </w:pPr>
          </w:p>
        </w:tc>
      </w:tr>
      <w:tr>
        <w:trPr>
          <w:trHeight w:val="250"/>
        </w:trPr>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80" w:type="dxa"/>
            <w:vAlign w:val="bottom"/>
            <w:gridSpan w:val="3"/>
          </w:tcPr>
          <w:p>
            <w:pPr>
              <w:jc w:val="center"/>
              <w:ind w:right="2450"/>
              <w:spacing w:after="0"/>
              <w:rPr>
                <w:sz w:val="20"/>
                <w:szCs w:val="20"/>
                <w:color w:val="auto"/>
              </w:rPr>
            </w:pPr>
            <w:r>
              <w:rPr>
                <w:rFonts w:ascii="Times New Roman" w:cs="Times New Roman" w:eastAsia="Times New Roman" w:hAnsi="Times New Roman"/>
                <w:sz w:val="18"/>
                <w:szCs w:val="18"/>
                <w:color w:val="auto"/>
                <w:w w:val="99"/>
              </w:rPr>
              <w:t>(Insert Social Security or other identifying number of assignee or transferee)</w:t>
            </w:r>
          </w:p>
        </w:tc>
      </w:tr>
      <w:tr>
        <w:trPr>
          <w:trHeight w:val="392"/>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2"/>
              </w:rPr>
              <w:t>and irrevocably appoint </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8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agent to transfer this Security on the books of the Issuer. The agent may</w:t>
            </w:r>
          </w:p>
        </w:tc>
      </w:tr>
      <w:tr>
        <w:trPr>
          <w:trHeight w:val="20"/>
        </w:trPr>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7"/>
        </w:trPr>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substitute another to act for him.</w:t>
            </w: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18"/>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Dated:                    </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Signed:</w:t>
            </w:r>
          </w:p>
        </w:tc>
      </w:tr>
      <w:tr>
        <w:trPr>
          <w:trHeight w:val="20"/>
        </w:trPr>
        <w:tc>
          <w:tcPr>
            <w:tcW w:w="5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r>
      <w:tr>
        <w:trPr>
          <w:trHeight w:val="191"/>
        </w:trPr>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(Signed exactly as name appears on</w:t>
            </w:r>
          </w:p>
        </w:tc>
      </w:tr>
      <w:tr>
        <w:trPr>
          <w:trHeight w:val="234"/>
        </w:trPr>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other side of this Security)</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17145</wp:posOffset>
            </wp:positionV>
            <wp:extent cx="18256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Guarantee Medallion Program (or</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other signature guarantor program</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reasonably acceptable to the Trustee)</w:t>
      </w:r>
    </w:p>
    <w:p>
      <w:pPr>
        <w:sectPr>
          <w:pgSz w:w="11900" w:h="16838" w:orient="portrait"/>
          <w:cols w:equalWidth="0" w:num="1">
            <w:col w:w="11020"/>
          </w:cols>
          <w:pgMar w:left="440" w:top="270" w:right="4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ectPr>
          <w:pgSz w:w="11900" w:h="16838" w:orient="portrait"/>
          <w:cols w:equalWidth="0" w:num="1">
            <w:col w:w="9019"/>
          </w:cols>
          <w:pgMar w:left="1440" w:top="266" w:right="1440" w:bottom="1440" w:gutter="0" w:footer="0" w:header="0"/>
        </w:sectPr>
      </w:pPr>
    </w:p>
    <w:bookmarkStart w:id="26" w:name="page27"/>
    <w:bookmarkEnd w:id="26"/>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 AS MUCH AS THE REGISTERED OWNER HEREOF, THE BANK OF NEW YORK MELLON, LONDON BRANCH, HAS AN INTEREST HEREIN.</w:t>
      </w:r>
    </w:p>
    <w:p>
      <w:pPr>
        <w:sectPr>
          <w:pgSz w:w="11900" w:h="16838" w:orient="portrait"/>
          <w:cols w:equalWidth="0" w:num="1">
            <w:col w:w="11000"/>
          </w:cols>
          <w:pgMar w:left="440" w:top="270" w:right="4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COMCAST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3.550% Notes due 2036</w:t>
      </w:r>
    </w:p>
    <w:p>
      <w:pPr>
        <w:spacing w:after="0" w:line="234" w:lineRule="exact"/>
        <w:rPr>
          <w:sz w:val="20"/>
          <w:szCs w:val="20"/>
          <w:color w:val="auto"/>
        </w:rPr>
      </w:pPr>
    </w:p>
    <w:p>
      <w:pPr>
        <w:spacing w:after="0"/>
        <w:tabs>
          <w:tab w:leader="none" w:pos="91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ISIN No.: XS2909746310</w:t>
      </w:r>
    </w:p>
    <w:p>
      <w:pPr>
        <w:spacing w:after="0" w:line="22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xml:space="preserve">”, which term includes any successor corporation), for value received promises to pay to The Bank of New York Depository (Nominees) Limited, as nominee of The Bank of New York Mellon, London Branch, as common depositary for Euroclear Bank S.A./N.V.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Luxembourg, or registered assigns, the principal sum of €[  ] ([  ]) on September 26, 2036.</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 September 26 (the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September 26, 2025.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 September 15 (the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Security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66" w:right="439" w:bottom="1440" w:gutter="0" w:footer="0" w:header="0"/>
        </w:sectPr>
      </w:pPr>
    </w:p>
    <w:bookmarkStart w:id="28" w:name="page29"/>
    <w:bookmarkEnd w:id="28"/>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 Senior Vice President, Senior Deputy General</w:t>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Counsel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James P. McCue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Assistant Treasurer</w:t>
      </w:r>
    </w:p>
    <w:p>
      <w:pPr>
        <w:sectPr>
          <w:pgSz w:w="11900" w:h="16838" w:orient="portrait"/>
          <w:cols w:equalWidth="0" w:num="1">
            <w:col w:w="10720"/>
          </w:cols>
          <w:pgMar w:left="440" w:top="270" w:right="73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series designated herein and referred to in the within- 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26,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019"/>
          </w:cols>
          <w:pgMar w:left="440" w:top="270"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SECURITY)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3.550% Notes due 2036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Interest.</w:t>
      </w:r>
    </w:p>
    <w:p>
      <w:pPr>
        <w:spacing w:after="0" w:line="221" w:lineRule="exact"/>
        <w:rPr>
          <w:sz w:val="20"/>
          <w:szCs w:val="20"/>
          <w:color w:val="auto"/>
        </w:rPr>
      </w:pPr>
    </w:p>
    <w:p>
      <w:pPr>
        <w:jc w:val="both"/>
        <w:ind w:right="160" w:firstLine="440"/>
        <w:spacing w:after="0" w:line="291" w:lineRule="auto"/>
        <w:rPr>
          <w:sz w:val="20"/>
          <w:szCs w:val="20"/>
          <w:color w:val="auto"/>
        </w:rPr>
      </w:pPr>
      <w:r>
        <w:rPr>
          <w:rFonts w:ascii="Times New Roman" w:cs="Times New Roman" w:eastAsia="Times New Roman" w:hAnsi="Times New Roman"/>
          <w:sz w:val="17"/>
          <w:szCs w:val="17"/>
          <w:color w:val="auto"/>
        </w:rPr>
        <w:t>COMCAST CORPORATION, a Pennsylvania corporation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promises to pay interest on the principal amount of this Security at the rate per annum shown above. Cash interest on the Securities will accrue from the most recent date to which interest has been paid or, if no interest has been paid, from September 26, 2024. The Issuer will pay interest annually in arrears on the Interest Payment Date, commencing September 26, 2025.</w:t>
      </w:r>
    </w:p>
    <w:p>
      <w:pPr>
        <w:spacing w:after="0" w:line="15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Interest on the Securities will be computed on the basis of the actual number of days in the period for which interest is being calculated and the actual number of days from and including the last date to which interest was paid on the Securities (or September 26, 2024 if no interest has been paid on the Securities), to but excluding the next scheduled Interest Payment Date. This payment convention is referred to as ACTUAL/ACTUAL (ICMA) as defined in the rulebook of the International Capital Market Association.</w:t>
      </w:r>
    </w:p>
    <w:p>
      <w:pPr>
        <w:spacing w:after="0" w:line="180"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2"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or Sunday (i) which is not a day on which banking institutions in The City of New York or London are authorized or obligated by law, regulation or executive order to close and (ii) on which the Trans-European Automated Real-Time Gross Settlement Express Transfer System (the T2 system) or any successor thereto is open.</w:t>
      </w:r>
    </w:p>
    <w:p>
      <w:pPr>
        <w:spacing w:after="0" w:line="17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Issuance in Euro.</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will be payable in Euro. If Euro is unavailable to the Issuer due to the imposition of exchange controls or other circumstances beyond the Issuer’s control, then all payments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so made in U.S. dollars will not constitute an event of default under the Indenture. Neither the Trustee nor the Paying Agent will be responsible for obtaining exchange rates, effecting currency conversions or otherwise handling re-denominations.</w:t>
      </w:r>
    </w:p>
    <w:p>
      <w:pPr>
        <w:sectPr>
          <w:pgSz w:w="11900" w:h="16838" w:orient="portrait"/>
          <w:cols w:equalWidth="0" w:num="1">
            <w:col w:w="11020"/>
          </w:cols>
          <w:pgMar w:left="440" w:top="270" w:right="439" w:bottom="1440" w:gutter="0" w:footer="0" w:header="0"/>
        </w:sectPr>
      </w:pPr>
    </w:p>
    <w:bookmarkStart w:id="31" w:name="page32"/>
    <w:bookmarkEnd w:id="31"/>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w:t>
      </w:r>
      <w:r>
        <w:rPr>
          <w:rFonts w:ascii="Times New Roman" w:cs="Times New Roman" w:eastAsia="Times New Roman" w:hAnsi="Times New Roman"/>
          <w:sz w:val="18"/>
          <w:szCs w:val="18"/>
          <w:b w:val="1"/>
          <w:bCs w:val="1"/>
          <w:color w:val="auto"/>
        </w:rPr>
        <w:t>Market Exchange Rate</w:t>
      </w:r>
      <w:r>
        <w:rPr>
          <w:rFonts w:ascii="Times New Roman" w:cs="Times New Roman" w:eastAsia="Times New Roman" w:hAnsi="Times New Roman"/>
          <w:sz w:val="18"/>
          <w:szCs w:val="18"/>
          <w:color w:val="auto"/>
        </w:rPr>
        <w:t>” means the noon buying rate in The City of New York for cable transfers of Euro as certified for customs purposes (or, if not so certified, as otherwise determined) by the Federal Reserve Bank of New York.</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Method of Payment.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collect principal payments.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payments of interest, and any portion of the principal (other than interest payable at maturity or on any redemption or repayment date or the final payment of principal) shall be made by the Paying Agent, upon receipt from the Issuer of immediately available funds by 10:00 a.m., London time one Business Day prior to the payment due date (or such other time as may be agreed to between the Issuer and the Paying Agent), directly to a Holder (by Federal funds wire transfer or otherwise) if the Holder has delivered written instructions to the Paying Agent 10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Paying Agent.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Initially, The Bank of New York Mellon, London Branch will act as Paying Agent. The Issuer may change any Paying Agent without notice to the Holders.</w:t>
      </w:r>
    </w:p>
    <w:p>
      <w:pPr>
        <w:sectPr>
          <w:pgSz w:w="11900" w:h="16838" w:orient="portrait"/>
          <w:cols w:equalWidth="0" w:num="1">
            <w:col w:w="11000"/>
          </w:cols>
          <w:pgMar w:left="440" w:top="266" w:right="45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Indenture.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Trustee, and as further amended by the Second Supplemental Indenture dated as of July 29, 2022, by and among the Issuer, the Guarantors and the Trustee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the notes are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under the Indenture.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 Guarantees.</w:t>
      </w:r>
    </w:p>
    <w:p>
      <w:pPr>
        <w:spacing w:after="0" w:line="225"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 Denominations; Transfer; Exchange.</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Securities are in registered form, without coupons, in denominations of €100,000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 Persons Deemed Owners.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 Unclaimed Funds.</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000"/>
          </w:cols>
          <w:pgMar w:left="440" w:top="270" w:right="45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 Legal Defeasance and Covenant Defeasance.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 Amendment; Supplement; Waiver.</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 Restrictive Covenants.</w:t>
      </w:r>
    </w:p>
    <w:p>
      <w:pPr>
        <w:spacing w:after="0" w:line="225" w:lineRule="exact"/>
        <w:rPr>
          <w:sz w:val="20"/>
          <w:szCs w:val="20"/>
          <w:color w:val="auto"/>
        </w:rPr>
      </w:pPr>
    </w:p>
    <w:p>
      <w:pPr>
        <w:ind w:right="240" w:firstLine="440"/>
        <w:spacing w:after="0" w:line="289" w:lineRule="auto"/>
        <w:rPr>
          <w:sz w:val="20"/>
          <w:szCs w:val="20"/>
          <w:color w:val="auto"/>
        </w:rPr>
      </w:pPr>
      <w:r>
        <w:rPr>
          <w:rFonts w:ascii="Times New Roman" w:cs="Times New Roman" w:eastAsia="Times New Roman" w:hAnsi="Times New Roman"/>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 Optional Redemption.</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Prior to June 26, 2036 (the “Par Call Date”), the Issuer may redeem the Securities at its option, in whole or in part, at any time and from time to time, on at least 10 days, but not more than 60 days, prior notice delivered electronically or mailed to the registered address of each Holder of the Securities, at a redemption price (expressed as a percentage of the principal amount and rounded to three decimal places) equal to the greater of:</w:t>
      </w:r>
    </w:p>
    <w:p>
      <w:pPr>
        <w:spacing w:after="0" w:line="81" w:lineRule="exact"/>
        <w:rPr>
          <w:sz w:val="20"/>
          <w:szCs w:val="20"/>
          <w:color w:val="auto"/>
        </w:rPr>
      </w:pPr>
    </w:p>
    <w:p>
      <w:pPr>
        <w:ind w:left="960" w:right="120" w:hanging="532"/>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for this purpose, that such Securities mature on the Par Call Date) on an annual basis (ACTUAL/ACTUAL (ICMA)) at the applicable comparable government bond rate, as defined below, plus 20 basis points, less (b) interest accrued to the date of redemption, and</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in either case, accrued and unpaid interest thereon to the redemption date.</w:t>
      </w:r>
    </w:p>
    <w:p>
      <w:pPr>
        <w:sectPr>
          <w:pgSz w:w="11900" w:h="16838" w:orient="portrait"/>
          <w:cols w:equalWidth="0" w:num="1">
            <w:col w:w="10980"/>
          </w:cols>
          <w:pgMar w:left="440" w:top="270" w:right="479" w:bottom="1440" w:gutter="0" w:footer="0" w:header="0"/>
        </w:sectPr>
      </w:pPr>
    </w:p>
    <w:bookmarkStart w:id="34" w:name="page35"/>
    <w:bookmarkEnd w:id="34"/>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after the Par Call Date, the Issuer may redeem the Securities, in whole or in part, at any time and from time to time, on at least 10 days, but not more than 60 days, prior notice delivered electronically or mailed to the registered address of each Holder of the Securities, at a redemption price equal to 100% of the principal amount of the Securities being redeemed, plus accrued and unpaid interest thereon to the redemption date.</w:t>
      </w:r>
    </w:p>
    <w:p>
      <w:pPr>
        <w:spacing w:after="0" w:line="172" w:lineRule="exact"/>
        <w:rPr>
          <w:sz w:val="20"/>
          <w:szCs w:val="20"/>
          <w:color w:val="auto"/>
        </w:rPr>
      </w:pPr>
    </w:p>
    <w:p>
      <w:pPr>
        <w:ind w:right="180" w:firstLine="440"/>
        <w:spacing w:after="0" w:line="257"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comparable government bond</w:t>
      </w:r>
      <w:r>
        <w:rPr>
          <w:rFonts w:ascii="Times New Roman" w:cs="Times New Roman" w:eastAsia="Times New Roman" w:hAnsi="Times New Roman"/>
          <w:sz w:val="18"/>
          <w:szCs w:val="18"/>
          <w:color w:val="auto"/>
        </w:rPr>
        <w:t>” means in relation to any comparable government bond rate calculation, at the discretion of an independent investment banker selected by the Issuer, a German government bond whose maturity is closest to the maturity of the Securities to be redeemed (assuming for this purpose that the Securities matured on the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w:t>
      </w:r>
    </w:p>
    <w:p>
      <w:pPr>
        <w:spacing w:after="0" w:line="182"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comparable government bond rate</w:t>
      </w:r>
      <w:r>
        <w:rPr>
          <w:rFonts w:ascii="Times New Roman" w:cs="Times New Roman" w:eastAsia="Times New Roman" w:hAnsi="Times New Roman"/>
          <w:sz w:val="18"/>
          <w:szCs w:val="18"/>
          <w:color w:val="auto"/>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7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independent investment banker</w:t>
      </w:r>
      <w:r>
        <w:rPr>
          <w:rFonts w:ascii="Times New Roman" w:cs="Times New Roman" w:eastAsia="Times New Roman" w:hAnsi="Times New Roman"/>
          <w:sz w:val="18"/>
          <w:szCs w:val="18"/>
          <w:color w:val="auto"/>
        </w:rPr>
        <w:t>” means each of Barclays Bank PLC and BNP Paribas (or their respective successors), or if each such firm is unwilling or unable to select the comparable government bond, an independent investment banking institution of international standing appointed by the Issuer.</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 Redemption for Tax Reasons.</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September 23, 2024, the Issuer becomes or, based upon a written opinion of independent counsel selected by us, will become obligated to pay additional amounts as described in Section 15 herein under the heading “Payment of Additional Amounts” with respect to the Securities, then the Issuer may, at any time at its option, redeem, in whole, but not in part, the Securities on not less than 15 nor more than 30 days’ prior notice, at a redemption price equal to 100% of their principal amount, together with accrued and unpaid interest on the Securities to, but not including, the date fixed for redemption.</w:t>
      </w:r>
    </w:p>
    <w:p>
      <w:pPr>
        <w:sectPr>
          <w:pgSz w:w="11900" w:h="16838" w:orient="portrait"/>
          <w:cols w:equalWidth="0" w:num="1">
            <w:col w:w="11000"/>
          </w:cols>
          <w:pgMar w:left="440" w:top="270" w:right="45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Payment of Additional Amounts.</w:t>
      </w:r>
    </w:p>
    <w:p>
      <w:pPr>
        <w:spacing w:after="0" w:line="225"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in respect of the Securities to a beneficial owner who is not a United States person (as defined below), after withholding or deduction for any present or future tax, assessment or other governmental charge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89" w:lineRule="exact"/>
        <w:rPr>
          <w:sz w:val="20"/>
          <w:szCs w:val="20"/>
          <w:color w:val="auto"/>
        </w:rPr>
      </w:pPr>
    </w:p>
    <w:p>
      <w:pPr>
        <w:ind w:left="960" w:right="80" w:hanging="532"/>
        <w:spacing w:after="0" w:line="261"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that is imposed by reason of the Holder (or the beneficial owner for whose benefit such Holder holds the Securities),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85" w:lineRule="exact"/>
        <w:rPr>
          <w:rFonts w:ascii="Times New Roman" w:cs="Times New Roman" w:eastAsia="Times New Roman" w:hAnsi="Times New Roman"/>
          <w:sz w:val="18"/>
          <w:szCs w:val="18"/>
          <w:color w:val="auto"/>
        </w:rPr>
      </w:pPr>
    </w:p>
    <w:p>
      <w:pPr>
        <w:ind w:left="1420" w:right="220" w:hanging="439"/>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engaged in a trade or business in the United States or having or having had a permanent establishment in the United States;</w:t>
      </w:r>
    </w:p>
    <w:p>
      <w:pPr>
        <w:spacing w:after="0" w:line="67" w:lineRule="exact"/>
        <w:rPr>
          <w:rFonts w:ascii="Times New Roman" w:cs="Times New Roman" w:eastAsia="Times New Roman" w:hAnsi="Times New Roman"/>
          <w:sz w:val="18"/>
          <w:szCs w:val="18"/>
          <w:color w:val="auto"/>
        </w:rPr>
      </w:pPr>
    </w:p>
    <w:p>
      <w:pPr>
        <w:jc w:val="both"/>
        <w:ind w:left="1420" w:right="200" w:hanging="439"/>
        <w:spacing w:after="0" w:line="26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81" w:lineRule="exact"/>
        <w:rPr>
          <w:rFonts w:ascii="Times New Roman" w:cs="Times New Roman" w:eastAsia="Times New Roman" w:hAnsi="Times New Roman"/>
          <w:sz w:val="18"/>
          <w:szCs w:val="18"/>
          <w:color w:val="auto"/>
        </w:rPr>
      </w:pPr>
    </w:p>
    <w:p>
      <w:pPr>
        <w:jc w:val="both"/>
        <w:ind w:left="1420" w:hanging="439"/>
        <w:spacing w:after="0" w:line="26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77" w:lineRule="exact"/>
        <w:rPr>
          <w:rFonts w:ascii="Times New Roman" w:cs="Times New Roman" w:eastAsia="Times New Roman" w:hAnsi="Times New Roman"/>
          <w:sz w:val="18"/>
          <w:szCs w:val="18"/>
          <w:color w:val="auto"/>
        </w:rPr>
      </w:pPr>
    </w:p>
    <w:p>
      <w:pPr>
        <w:ind w:left="1420" w:right="320" w:hanging="439"/>
        <w:spacing w:after="0" w:line="28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w:t>
      </w:r>
      <w:r>
        <w:rPr>
          <w:rFonts w:ascii="Times New Roman" w:cs="Times New Roman" w:eastAsia="Times New Roman" w:hAnsi="Times New Roman"/>
          <w:sz w:val="18"/>
          <w:szCs w:val="18"/>
          <w:b w:val="1"/>
          <w:bCs w:val="1"/>
          <w:color w:val="auto"/>
        </w:rPr>
        <w:t>10-percent shareholder</w:t>
      </w:r>
      <w:r>
        <w:rPr>
          <w:rFonts w:ascii="Times New Roman" w:cs="Times New Roman" w:eastAsia="Times New Roman" w:hAnsi="Times New Roman"/>
          <w:sz w:val="18"/>
          <w:szCs w:val="18"/>
          <w:color w:val="auto"/>
        </w:rPr>
        <w:t>” of the Issuer or the applicable guarantor as defined in Section 871(h)(3) of the United States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or any successor provision; or</w:t>
      </w:r>
    </w:p>
    <w:p>
      <w:pPr>
        <w:spacing w:after="0" w:line="64"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67" w:lineRule="exact"/>
        <w:rPr>
          <w:rFonts w:ascii="Times New Roman" w:cs="Times New Roman" w:eastAsia="Times New Roman" w:hAnsi="Times New Roman"/>
          <w:sz w:val="18"/>
          <w:szCs w:val="18"/>
          <w:color w:val="auto"/>
        </w:rPr>
      </w:pPr>
    </w:p>
    <w:p>
      <w:pPr>
        <w:ind w:left="960" w:right="60" w:hanging="532"/>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that is not the sole beneficial owner of the Securities, or a portion of the Securities,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88"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 or reduction in such Tax;</w:t>
      </w:r>
    </w:p>
    <w:p>
      <w:pPr>
        <w:sectPr>
          <w:pgSz w:w="11900" w:h="16838" w:orient="portrait"/>
          <w:cols w:equalWidth="0" w:num="1">
            <w:col w:w="11000"/>
          </w:cols>
          <w:pgMar w:left="440" w:top="270" w:right="459" w:bottom="1440" w:gutter="0" w:footer="0" w:header="0"/>
        </w:sectPr>
      </w:pPr>
    </w:p>
    <w:bookmarkStart w:id="36" w:name="page37"/>
    <w:bookmarkEnd w:id="36"/>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Tax that is imposed otherwise than by withholding by the Issuer or an applicable withholding agent from the payment;</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estate, inheritance, gift, sales, excise, transfer, wealth, capital gains or personal property or similar Tax;</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required to be withheld by any paying agent from any payment of principal of or interest on any Security, if such payment can be made without such withholding by at least one other paying agent;</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81"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w:t>
      </w:r>
    </w:p>
    <w:p>
      <w:pPr>
        <w:spacing w:after="0" w:line="81" w:lineRule="exact"/>
        <w:rPr>
          <w:rFonts w:ascii="Times New Roman" w:cs="Times New Roman" w:eastAsia="Times New Roman" w:hAnsi="Times New Roman"/>
          <w:sz w:val="18"/>
          <w:szCs w:val="18"/>
          <w:color w:val="auto"/>
        </w:rPr>
      </w:pPr>
    </w:p>
    <w:p>
      <w:pPr>
        <w:ind w:left="960" w:right="560" w:hanging="532"/>
        <w:spacing w:after="0" w:line="281" w:lineRule="auto"/>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69"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combination of items (a)-(j) above.</w:t>
      </w:r>
    </w:p>
    <w:p>
      <w:pPr>
        <w:spacing w:after="0" w:line="221"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As used in this Section 15, “</w:t>
      </w:r>
      <w:r>
        <w:rPr>
          <w:rFonts w:ascii="Times New Roman" w:cs="Times New Roman" w:eastAsia="Times New Roman" w:hAnsi="Times New Roman"/>
          <w:sz w:val="18"/>
          <w:szCs w:val="18"/>
          <w:b w:val="1"/>
          <w:bCs w:val="1"/>
          <w:color w:val="auto"/>
        </w:rPr>
        <w:t>United States person</w:t>
      </w:r>
      <w:r>
        <w:rPr>
          <w:rFonts w:ascii="Times New Roman" w:cs="Times New Roman" w:eastAsia="Times New Roman" w:hAnsi="Times New Roman"/>
          <w:sz w:val="18"/>
          <w:szCs w:val="18"/>
          <w:color w:val="auto"/>
        </w:rPr>
        <w:t>”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ectPr>
          <w:pgSz w:w="11900" w:h="16838" w:orient="portrait"/>
          <w:cols w:equalWidth="0" w:num="1">
            <w:col w:w="10960"/>
          </w:cols>
          <w:pgMar w:left="440" w:top="270" w:right="499"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 Defaults and Remedies.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 Trustee Dealings with Issuer.</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 No Recourse Against Others.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Security shall not be valid until the Trustee manually or electronically signs the certificate of authentication on this Security.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 Abbreviations and Defined Terms.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 ISIN Numbers.</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ectPr>
          <w:pgSz w:w="11900" w:h="16838" w:orient="portrait"/>
          <w:cols w:equalWidth="0" w:num="1">
            <w:col w:w="11000"/>
          </w:cols>
          <w:pgMar w:left="440" w:top="270"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 Governing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laws of the State of New York shall govern the Indenture and this Security thereof.</w:t>
      </w:r>
    </w:p>
    <w:p>
      <w:pPr>
        <w:sectPr>
          <w:pgSz w:w="11900" w:h="16838" w:orient="portrait"/>
          <w:cols w:equalWidth="0" w:num="1">
            <w:col w:w="9579"/>
          </w:cols>
          <w:pgMar w:left="880" w:top="270"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80" w:type="dxa"/>
            <w:vAlign w:val="bottom"/>
            <w:gridSpan w:val="3"/>
          </w:tcPr>
          <w:p>
            <w:pPr>
              <w:jc w:val="center"/>
              <w:ind w:right="2470"/>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tc>
      </w:tr>
      <w:tr>
        <w:trPr>
          <w:trHeight w:val="257"/>
        </w:trPr>
        <w:tc>
          <w:tcPr>
            <w:tcW w:w="5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840" w:type="dxa"/>
            <w:vAlign w:val="bottom"/>
            <w:tcBorders>
              <w:bottom w:val="single" w:sz="8" w:color="auto"/>
            </w:tcBorders>
          </w:tcPr>
          <w:p>
            <w:pPr>
              <w:spacing w:after="0"/>
              <w:rPr>
                <w:sz w:val="22"/>
                <w:szCs w:val="22"/>
                <w:color w:val="auto"/>
              </w:rPr>
            </w:pPr>
          </w:p>
        </w:tc>
      </w:tr>
      <w:tr>
        <w:trPr>
          <w:trHeight w:val="250"/>
        </w:trPr>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80" w:type="dxa"/>
            <w:vAlign w:val="bottom"/>
            <w:gridSpan w:val="3"/>
          </w:tcPr>
          <w:p>
            <w:pPr>
              <w:jc w:val="center"/>
              <w:ind w:right="2450"/>
              <w:spacing w:after="0"/>
              <w:rPr>
                <w:sz w:val="20"/>
                <w:szCs w:val="20"/>
                <w:color w:val="auto"/>
              </w:rPr>
            </w:pPr>
            <w:r>
              <w:rPr>
                <w:rFonts w:ascii="Times New Roman" w:cs="Times New Roman" w:eastAsia="Times New Roman" w:hAnsi="Times New Roman"/>
                <w:sz w:val="18"/>
                <w:szCs w:val="18"/>
                <w:color w:val="auto"/>
                <w:w w:val="99"/>
              </w:rPr>
              <w:t>(Insert Social Security or other identifying number of assignee or transferee)</w:t>
            </w:r>
          </w:p>
        </w:tc>
      </w:tr>
      <w:tr>
        <w:trPr>
          <w:trHeight w:val="391"/>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2"/>
              </w:rPr>
              <w:t>and irrevocably appoint </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8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agent to transfer this Security on the books of the Issuer. The agent may</w:t>
            </w:r>
          </w:p>
        </w:tc>
      </w:tr>
      <w:tr>
        <w:trPr>
          <w:trHeight w:val="20"/>
        </w:trPr>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7"/>
        </w:trPr>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substitute another to act for him.</w:t>
            </w: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18"/>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Dated:                    </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Signed:</w:t>
            </w:r>
          </w:p>
        </w:tc>
      </w:tr>
      <w:tr>
        <w:trPr>
          <w:trHeight w:val="21"/>
        </w:trPr>
        <w:tc>
          <w:tcPr>
            <w:tcW w:w="5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r>
      <w:tr>
        <w:trPr>
          <w:trHeight w:val="191"/>
        </w:trPr>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(Signed exactly as name appears on</w:t>
            </w:r>
          </w:p>
        </w:tc>
      </w:tr>
      <w:tr>
        <w:trPr>
          <w:trHeight w:val="234"/>
        </w:trPr>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other side of this Security)</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17145</wp:posOffset>
            </wp:positionV>
            <wp:extent cx="18256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Guarantee Medallion Program (or</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other signature guarantor program</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reasonably acceptable to the Trustee)</w:t>
      </w:r>
    </w:p>
    <w:p>
      <w:pPr>
        <w:sectPr>
          <w:pgSz w:w="11900" w:h="16838" w:orient="portrait"/>
          <w:cols w:equalWidth="0" w:num="1">
            <w:col w:w="11020"/>
          </w:cols>
          <w:pgMar w:left="440" w:top="270" w:right="4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ectPr>
          <w:pgSz w:w="11900" w:h="16838" w:orient="portrait"/>
          <w:cols w:equalWidth="0" w:num="1">
            <w:col w:w="9019"/>
          </w:cols>
          <w:pgMar w:left="1440" w:top="266" w:right="1440" w:bottom="1440" w:gutter="0" w:footer="0" w:header="0"/>
        </w:sectPr>
      </w:pPr>
    </w:p>
    <w:bookmarkStart w:id="41" w:name="page42"/>
    <w:bookmarkEnd w:id="41"/>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 AS MUCH AS THE REGISTERED OWNER HEREOF, THE BANK OF NEW YORK MELLON, LONDON BRANCH, HAS AN INTEREST HEREIN.</w:t>
      </w:r>
    </w:p>
    <w:p>
      <w:pPr>
        <w:sectPr>
          <w:pgSz w:w="11900" w:h="16838" w:orient="portrait"/>
          <w:cols w:equalWidth="0" w:num="1">
            <w:col w:w="11000"/>
          </w:cols>
          <w:pgMar w:left="440" w:top="270" w:right="4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COMCAST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5.250% Notes due 2040</w:t>
      </w:r>
    </w:p>
    <w:p>
      <w:pPr>
        <w:spacing w:after="0" w:line="234" w:lineRule="exact"/>
        <w:rPr>
          <w:sz w:val="20"/>
          <w:szCs w:val="20"/>
          <w:color w:val="auto"/>
        </w:rPr>
      </w:pPr>
    </w:p>
    <w:p>
      <w:pPr>
        <w:spacing w:after="0"/>
        <w:tabs>
          <w:tab w:leader="none" w:pos="91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ISIN No.: XS2909746666</w:t>
      </w:r>
    </w:p>
    <w:p>
      <w:pPr>
        <w:spacing w:after="0" w:line="22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xml:space="preserve">”, which term includes any successor corporation), for value received promises to pay to The Bank of New York Depository (Nominees) Limited, as nominee of The Bank of New York Mellon, London Branch, as common depositary for Euroclear Bank S.A./N.V.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Luxembourg, or registered assigns, the principal sum of £[  ] ([  ]) on September 26, 2040.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 September 26 (the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September 26, 2025.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 September 15 (the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Security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66" w:right="439" w:bottom="1440" w:gutter="0" w:footer="0" w:header="0"/>
        </w:sectPr>
      </w:pPr>
    </w:p>
    <w:bookmarkStart w:id="43" w:name="page44"/>
    <w:bookmarkEnd w:id="43"/>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 Senior Vice President, Senior Deputy General</w:t>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Counsel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James P. McCue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Assistant Treasurer</w:t>
      </w:r>
    </w:p>
    <w:p>
      <w:pPr>
        <w:sectPr>
          <w:pgSz w:w="11900" w:h="16838" w:orient="portrait"/>
          <w:cols w:equalWidth="0" w:num="1">
            <w:col w:w="10720"/>
          </w:cols>
          <w:pgMar w:left="440" w:top="270" w:right="73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series designated herein and referred to in the within- 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26,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THE BANK OF NEW YORK MELLON, as Trustee</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420"/>
          </w:cols>
          <w:pgMar w:left="440" w:top="270" w:right="10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SECURITY)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5.250% Notes due 2040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Interest.</w:t>
      </w:r>
    </w:p>
    <w:p>
      <w:pPr>
        <w:spacing w:after="0" w:line="221" w:lineRule="exact"/>
        <w:rPr>
          <w:sz w:val="20"/>
          <w:szCs w:val="20"/>
          <w:color w:val="auto"/>
        </w:rPr>
      </w:pPr>
    </w:p>
    <w:p>
      <w:pPr>
        <w:jc w:val="both"/>
        <w:ind w:right="140" w:firstLine="440"/>
        <w:spacing w:after="0" w:line="291" w:lineRule="auto"/>
        <w:rPr>
          <w:sz w:val="20"/>
          <w:szCs w:val="20"/>
          <w:color w:val="auto"/>
        </w:rPr>
      </w:pPr>
      <w:r>
        <w:rPr>
          <w:rFonts w:ascii="Times New Roman" w:cs="Times New Roman" w:eastAsia="Times New Roman" w:hAnsi="Times New Roman"/>
          <w:sz w:val="17"/>
          <w:szCs w:val="17"/>
          <w:color w:val="auto"/>
        </w:rPr>
        <w:t>COMCAST CORPORATION, a Pennsylvania corporation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promises to pay interest on the principal amount of this Security at the rate per annum shown above. Cash interest on the Securities will accrue from the most recent date to which interest has been paid or, if no interest has been paid, from September 26, 2024. The Issuer will pay interest annually in arrears on the Interest Payment Date, commencing September 26, 2025.</w:t>
      </w:r>
    </w:p>
    <w:p>
      <w:pPr>
        <w:spacing w:after="0" w:line="15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Interest on the Securities will be computed on the basis of the actual number of days in the period for which interest is being calculated and the actual number of days from and including the last date to which interest was paid on the Securities (or September 26, 2024 if no interest has been paid on the Securities), to but excluding the next scheduled Interest Payment Date. This payment convention is referred to as ACTUAL/ACTUAL (ICMA) as defined in the rulebook of the International Capital Market Association.</w:t>
      </w:r>
    </w:p>
    <w:p>
      <w:pPr>
        <w:spacing w:after="0" w:line="180"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2"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or Sunday (i) which is not a day on which banking institutions in The City of New York or London are authorized or obligated by law, regulation or executive order to close and (ii) on which the Trans-European Automated Real-Time Gross Settlement Express Transfer System (the T2 system) or any successor thereto is open.</w:t>
      </w:r>
    </w:p>
    <w:p>
      <w:pPr>
        <w:spacing w:after="0" w:line="17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Issuance in Sterling.</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will be payable in Sterling. If Sterling is unavailable to the Issuer due to the imposition of exchange controls or other circumstances beyond the Issuer’s control, then all payments will be made in U.S. dollars until Sterling is again available to the Issuer. The amount payable on any date in Sterling will be converted into U.S. dollars at the Market Exchange Rate (as defined below) or, if such Market Exchange Rate is not then available, on the basis of the most recently available market exchange rate for Sterling. Any payment so made in U.S. dollars will not constitute an event of default under the Indenture. Neither the Trustee nor the Paying Agent will be responsible for obtaining exchange rates, effecting currency conversions or otherwise handling re-denominations.</w:t>
      </w:r>
    </w:p>
    <w:p>
      <w:pPr>
        <w:sectPr>
          <w:pgSz w:w="11900" w:h="16838" w:orient="portrait"/>
          <w:cols w:equalWidth="0" w:num="1">
            <w:col w:w="11000"/>
          </w:cols>
          <w:pgMar w:left="440" w:top="270" w:right="459" w:bottom="1440" w:gutter="0" w:footer="0" w:header="0"/>
        </w:sectPr>
      </w:pPr>
    </w:p>
    <w:bookmarkStart w:id="46" w:name="page47"/>
    <w:bookmarkEnd w:id="46"/>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w:t>
      </w:r>
      <w:r>
        <w:rPr>
          <w:rFonts w:ascii="Times New Roman" w:cs="Times New Roman" w:eastAsia="Times New Roman" w:hAnsi="Times New Roman"/>
          <w:sz w:val="18"/>
          <w:szCs w:val="18"/>
          <w:b w:val="1"/>
          <w:bCs w:val="1"/>
          <w:color w:val="auto"/>
        </w:rPr>
        <w:t>Market Exchange Rate</w:t>
      </w:r>
      <w:r>
        <w:rPr>
          <w:rFonts w:ascii="Times New Roman" w:cs="Times New Roman" w:eastAsia="Times New Roman" w:hAnsi="Times New Roman"/>
          <w:sz w:val="18"/>
          <w:szCs w:val="18"/>
          <w:color w:val="auto"/>
        </w:rPr>
        <w:t>” means the noon buying rate in The City of New York for cable transfers of Sterling as certified for customs purposes (or, if not so certified, as otherwise determined) by the Federal Reserve Bank of New York.</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Method of Payment.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collect principal payments.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payments of interest, and any portion of the principal (other than interest payable at maturity or on any redemption or repayment date or the final payment of principal) shall be made by the Paying Agent, upon receipt from the Issuer of immediately available funds by 10:00 a.m., London time one Business Day prior to the payment due date (or such other time as may be agreed to between the Issuer and the Paying Agent), directly to a Holder (by Federal funds wire transfer or otherwise) if the Holder has delivered written instructions to the Paying Agent 10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Paying Agent.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Initially, The Bank of New York Mellon, London Branch will act as Paying Agent. The Issuer may change any Paying Agent without notice to the Holders.</w:t>
      </w:r>
    </w:p>
    <w:p>
      <w:pPr>
        <w:sectPr>
          <w:pgSz w:w="11900" w:h="16838" w:orient="portrait"/>
          <w:cols w:equalWidth="0" w:num="1">
            <w:col w:w="11000"/>
          </w:cols>
          <w:pgMar w:left="440" w:top="266" w:right="459"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Indenture.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Trustee, and as further amended by the Second Supplemental Indenture dated as of July 29, 2022, by and among the Issuer, the Guarantors and the Trustee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the notes are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under the Indenture.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 Guarantees.</w:t>
      </w:r>
    </w:p>
    <w:p>
      <w:pPr>
        <w:spacing w:after="0" w:line="225"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 Denominations; Transfer; Exchange.</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Securities are in registered form, without coupons, in denominations of £100,000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 Persons Deemed Owners.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 Unclaimed Funds.</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000"/>
          </w:cols>
          <w:pgMar w:left="440" w:top="270" w:right="45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 Legal Defeasance and Covenant Defeasance.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 Amendment; Supplement; Waiver.</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 Restrictive Covenants.</w:t>
      </w:r>
    </w:p>
    <w:p>
      <w:pPr>
        <w:spacing w:after="0" w:line="225" w:lineRule="exact"/>
        <w:rPr>
          <w:sz w:val="20"/>
          <w:szCs w:val="20"/>
          <w:color w:val="auto"/>
        </w:rPr>
      </w:pPr>
    </w:p>
    <w:p>
      <w:pPr>
        <w:ind w:right="240" w:firstLine="440"/>
        <w:spacing w:after="0" w:line="289" w:lineRule="auto"/>
        <w:rPr>
          <w:sz w:val="20"/>
          <w:szCs w:val="20"/>
          <w:color w:val="auto"/>
        </w:rPr>
      </w:pPr>
      <w:r>
        <w:rPr>
          <w:rFonts w:ascii="Times New Roman" w:cs="Times New Roman" w:eastAsia="Times New Roman" w:hAnsi="Times New Roman"/>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 Optional Redemption.</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Prior to June 26, 2040 (the “Par Call Date”), the Issuer may redeem the Securities at its option, in whole or in part, at any time and from time to time, on at least 10 days, but not more than 60 days, prior notice delivered electronically or mailed to the registered address of each Holder of the Securities, at a redemption price (expressed as a percentage of the principal amount and rounded to three decimal places) equal to the greater of:</w:t>
      </w:r>
    </w:p>
    <w:p>
      <w:pPr>
        <w:spacing w:after="0" w:line="81" w:lineRule="exact"/>
        <w:rPr>
          <w:sz w:val="20"/>
          <w:szCs w:val="20"/>
          <w:color w:val="auto"/>
        </w:rPr>
      </w:pPr>
    </w:p>
    <w:p>
      <w:pPr>
        <w:ind w:left="960" w:right="120" w:hanging="532"/>
        <w:spacing w:after="0" w:line="26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for this purpose, that such Securities mature on the Par Call Date) on an annual basis (ACTUAL/ACTUAL (ICMA)) at the applicable comparable government bond rate, as defined below, plus 15 basis points, less (b) interest accrued to the date of redemption, and</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in either case, accrued and unpaid interest thereon to the redemption date.</w:t>
      </w:r>
    </w:p>
    <w:p>
      <w:pPr>
        <w:sectPr>
          <w:pgSz w:w="11900" w:h="16838" w:orient="portrait"/>
          <w:cols w:equalWidth="0" w:num="1">
            <w:col w:w="10980"/>
          </w:cols>
          <w:pgMar w:left="440" w:top="270" w:right="479" w:bottom="1440" w:gutter="0" w:footer="0" w:header="0"/>
        </w:sectPr>
      </w:pPr>
    </w:p>
    <w:bookmarkStart w:id="49" w:name="page50"/>
    <w:bookmarkEnd w:id="49"/>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or after the Par Call Date, the Issuer may redeem the Securities, in whole or in part, at any time and from time to time, on at least 10 days, but not more than 60 days, prior notice delivered electronically or mailed to the registered address of each Holder of the Securities, at a redemption price equal to 100% of the principal amount of the Securities being redeemed, plus accrued and unpaid interest thereon to the redemption date.</w:t>
      </w:r>
    </w:p>
    <w:p>
      <w:pPr>
        <w:spacing w:after="0" w:line="172"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comparable government bond</w:t>
      </w:r>
      <w:r>
        <w:rPr>
          <w:rFonts w:ascii="Times New Roman" w:cs="Times New Roman" w:eastAsia="Times New Roman" w:hAnsi="Times New Roman"/>
          <w:sz w:val="18"/>
          <w:szCs w:val="18"/>
          <w:color w:val="auto"/>
        </w:rPr>
        <w:t>” means in relation to any comparable government bond rate calculation, at the discretion of an independent investment banker selected by the Issuer, a United Kingdom government bond whose maturity is closest to the maturity of the Securities to be redeemed (assuming for this purpose that the Securities matured on the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182"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comparable government bond rate</w:t>
      </w:r>
      <w:r>
        <w:rPr>
          <w:rFonts w:ascii="Times New Roman" w:cs="Times New Roman" w:eastAsia="Times New Roman" w:hAnsi="Times New Roman"/>
          <w:sz w:val="18"/>
          <w:szCs w:val="18"/>
          <w:color w:val="auto"/>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the Issuer.</w:t>
      </w:r>
    </w:p>
    <w:p>
      <w:pPr>
        <w:spacing w:after="0" w:line="17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independent investment banker</w:t>
      </w:r>
      <w:r>
        <w:rPr>
          <w:rFonts w:ascii="Times New Roman" w:cs="Times New Roman" w:eastAsia="Times New Roman" w:hAnsi="Times New Roman"/>
          <w:sz w:val="18"/>
          <w:szCs w:val="18"/>
          <w:color w:val="auto"/>
        </w:rPr>
        <w:t>” means each of Barclays Bank PLC and BNP Paribas (or their respective successors), or if each such firm is unwilling or unable to select the comparable government bond, an independent investment banking institution of international standing appointed by the Issuer.</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 Redemption for Tax Reasons.</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September 23, 2024, the Issuer becomes or, based upon a written opinion of independent counsel selected by us, will become obligated to pay additional amounts as described in Section 15 herein under the heading “Payment of Additional Amounts” with respect to the Securities, then the Issuer may, at any time at its option, redeem, in whole, but not in part, the Securities on not less than 15 nor more than 30 days’ prior notice, at a redemption price equal to 100% of their principal amount, together with accrued and unpaid interest on the Securities to, but not including, the date fixed for redemption.</w:t>
      </w:r>
    </w:p>
    <w:p>
      <w:pPr>
        <w:sectPr>
          <w:pgSz w:w="11900" w:h="16838" w:orient="portrait"/>
          <w:cols w:equalWidth="0" w:num="1">
            <w:col w:w="11000"/>
          </w:cols>
          <w:pgMar w:left="440" w:top="270" w:right="45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 Payment of Additional Amounts.</w:t>
      </w:r>
    </w:p>
    <w:p>
      <w:pPr>
        <w:spacing w:after="0" w:line="225"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in respect of the Securities to a beneficial owner who is not a United States person (as defined below), after withholding or deduction for any present or future tax, assessment or other governmental charge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89" w:lineRule="exact"/>
        <w:rPr>
          <w:sz w:val="20"/>
          <w:szCs w:val="20"/>
          <w:color w:val="auto"/>
        </w:rPr>
      </w:pPr>
    </w:p>
    <w:p>
      <w:pPr>
        <w:ind w:left="960" w:right="80" w:hanging="532"/>
        <w:spacing w:after="0" w:line="26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that is imposed by reason of the Holder (or the beneficial owner for whose benefit such Holder holds the Securities),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85" w:lineRule="exact"/>
        <w:rPr>
          <w:rFonts w:ascii="Times New Roman" w:cs="Times New Roman" w:eastAsia="Times New Roman" w:hAnsi="Times New Roman"/>
          <w:sz w:val="18"/>
          <w:szCs w:val="18"/>
          <w:color w:val="auto"/>
        </w:rPr>
      </w:pPr>
    </w:p>
    <w:p>
      <w:pPr>
        <w:ind w:left="1420" w:right="220" w:hanging="439"/>
        <w:spacing w:after="0" w:line="282"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engaged in a trade or business in the United States or having or having had a permanent establishment in the United States;</w:t>
      </w:r>
    </w:p>
    <w:p>
      <w:pPr>
        <w:spacing w:after="0" w:line="67" w:lineRule="exact"/>
        <w:rPr>
          <w:rFonts w:ascii="Times New Roman" w:cs="Times New Roman" w:eastAsia="Times New Roman" w:hAnsi="Times New Roman"/>
          <w:sz w:val="18"/>
          <w:szCs w:val="18"/>
          <w:color w:val="auto"/>
        </w:rPr>
      </w:pPr>
    </w:p>
    <w:p>
      <w:pPr>
        <w:jc w:val="both"/>
        <w:ind w:left="1420" w:right="200" w:hanging="439"/>
        <w:spacing w:after="0" w:line="266"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81" w:lineRule="exact"/>
        <w:rPr>
          <w:rFonts w:ascii="Times New Roman" w:cs="Times New Roman" w:eastAsia="Times New Roman" w:hAnsi="Times New Roman"/>
          <w:sz w:val="18"/>
          <w:szCs w:val="18"/>
          <w:color w:val="auto"/>
        </w:rPr>
      </w:pPr>
    </w:p>
    <w:p>
      <w:pPr>
        <w:jc w:val="both"/>
        <w:ind w:left="1420" w:hanging="439"/>
        <w:spacing w:after="0" w:line="266"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77" w:lineRule="exact"/>
        <w:rPr>
          <w:rFonts w:ascii="Times New Roman" w:cs="Times New Roman" w:eastAsia="Times New Roman" w:hAnsi="Times New Roman"/>
          <w:sz w:val="18"/>
          <w:szCs w:val="18"/>
          <w:color w:val="auto"/>
        </w:rPr>
      </w:pPr>
    </w:p>
    <w:p>
      <w:pPr>
        <w:ind w:left="1420" w:right="320" w:hanging="439"/>
        <w:spacing w:after="0" w:line="286"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w:t>
      </w:r>
      <w:r>
        <w:rPr>
          <w:rFonts w:ascii="Times New Roman" w:cs="Times New Roman" w:eastAsia="Times New Roman" w:hAnsi="Times New Roman"/>
          <w:sz w:val="18"/>
          <w:szCs w:val="18"/>
          <w:b w:val="1"/>
          <w:bCs w:val="1"/>
          <w:color w:val="auto"/>
        </w:rPr>
        <w:t>10-percent shareholder</w:t>
      </w:r>
      <w:r>
        <w:rPr>
          <w:rFonts w:ascii="Times New Roman" w:cs="Times New Roman" w:eastAsia="Times New Roman" w:hAnsi="Times New Roman"/>
          <w:sz w:val="18"/>
          <w:szCs w:val="18"/>
          <w:color w:val="auto"/>
        </w:rPr>
        <w:t>” of the Issuer or the applicable guarantor as defined in Section 871(h)(3) of the United States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or any successor provision; or</w:t>
      </w:r>
    </w:p>
    <w:p>
      <w:pPr>
        <w:spacing w:after="0" w:line="64"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67" w:lineRule="exact"/>
        <w:rPr>
          <w:rFonts w:ascii="Times New Roman" w:cs="Times New Roman" w:eastAsia="Times New Roman" w:hAnsi="Times New Roman"/>
          <w:sz w:val="18"/>
          <w:szCs w:val="18"/>
          <w:color w:val="auto"/>
        </w:rPr>
      </w:pPr>
    </w:p>
    <w:p>
      <w:pPr>
        <w:ind w:left="960" w:right="60" w:hanging="532"/>
        <w:spacing w:after="0" w:line="258"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that is not the sole beneficial owner of the Securities, or a portion of the Securities,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88"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 or reduction in such Tax;</w:t>
      </w:r>
    </w:p>
    <w:p>
      <w:pPr>
        <w:sectPr>
          <w:pgSz w:w="11900" w:h="16838" w:orient="portrait"/>
          <w:cols w:equalWidth="0" w:num="1">
            <w:col w:w="11000"/>
          </w:cols>
          <w:pgMar w:left="440" w:top="270" w:right="459" w:bottom="1440" w:gutter="0" w:footer="0" w:header="0"/>
        </w:sectPr>
      </w:pPr>
    </w:p>
    <w:bookmarkStart w:id="51" w:name="page52"/>
    <w:bookmarkEnd w:id="51"/>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Tax that is imposed otherwise than by withholding by the Issuer or an applicable withholding agent from the payment;</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estate, inheritance, gift, sales, excise, transfer, wealth, capital gains or personal property or similar Tax;</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required to be withheld by any paying agent from any payment of principal of or interest on any Security, if such payment can be made without such withholding by at least one other paying agent;</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81"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w:t>
      </w:r>
    </w:p>
    <w:p>
      <w:pPr>
        <w:spacing w:after="0" w:line="81" w:lineRule="exact"/>
        <w:rPr>
          <w:rFonts w:ascii="Times New Roman" w:cs="Times New Roman" w:eastAsia="Times New Roman" w:hAnsi="Times New Roman"/>
          <w:sz w:val="18"/>
          <w:szCs w:val="18"/>
          <w:color w:val="auto"/>
        </w:rPr>
      </w:pPr>
    </w:p>
    <w:p>
      <w:pPr>
        <w:ind w:left="960" w:right="560" w:hanging="532"/>
        <w:spacing w:after="0" w:line="281"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69"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combination of items (a)-(j) above.</w:t>
      </w:r>
    </w:p>
    <w:p>
      <w:pPr>
        <w:spacing w:after="0" w:line="221"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As used in this Section 15, “</w:t>
      </w:r>
      <w:r>
        <w:rPr>
          <w:rFonts w:ascii="Times New Roman" w:cs="Times New Roman" w:eastAsia="Times New Roman" w:hAnsi="Times New Roman"/>
          <w:sz w:val="18"/>
          <w:szCs w:val="18"/>
          <w:b w:val="1"/>
          <w:bCs w:val="1"/>
          <w:color w:val="auto"/>
        </w:rPr>
        <w:t>United States person</w:t>
      </w:r>
      <w:r>
        <w:rPr>
          <w:rFonts w:ascii="Times New Roman" w:cs="Times New Roman" w:eastAsia="Times New Roman" w:hAnsi="Times New Roman"/>
          <w:sz w:val="18"/>
          <w:szCs w:val="18"/>
          <w:color w:val="auto"/>
        </w:rPr>
        <w:t>”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ectPr>
          <w:pgSz w:w="11900" w:h="16838" w:orient="portrait"/>
          <w:cols w:equalWidth="0" w:num="1">
            <w:col w:w="10960"/>
          </w:cols>
          <w:pgMar w:left="440" w:top="270" w:right="49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 Defaults and Remedies.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 Trustee Dealings with Issuer.</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 No Recourse Against Others.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Security shall not be valid until the Trustee manually or electronically signs the certificate of authentication on this Security.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 Abbreviations and Defined Terms.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 ISIN Numbers.</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ectPr>
          <w:pgSz w:w="11900" w:h="16838" w:orient="portrait"/>
          <w:cols w:equalWidth="0" w:num="1">
            <w:col w:w="11000"/>
          </w:cols>
          <w:pgMar w:left="440" w:top="270"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 Governing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laws of the State of New York shall govern the Indenture and this Security thereof.</w:t>
      </w:r>
    </w:p>
    <w:p>
      <w:pPr>
        <w:sectPr>
          <w:pgSz w:w="11900" w:h="16838" w:orient="portrait"/>
          <w:cols w:equalWidth="0" w:num="1">
            <w:col w:w="9579"/>
          </w:cols>
          <w:pgMar w:left="880" w:top="270"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80" w:type="dxa"/>
            <w:vAlign w:val="bottom"/>
            <w:gridSpan w:val="3"/>
          </w:tcPr>
          <w:p>
            <w:pPr>
              <w:jc w:val="center"/>
              <w:ind w:right="2470"/>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tc>
      </w:tr>
      <w:tr>
        <w:trPr>
          <w:trHeight w:val="257"/>
        </w:trPr>
        <w:tc>
          <w:tcPr>
            <w:tcW w:w="5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840" w:type="dxa"/>
            <w:vAlign w:val="bottom"/>
            <w:tcBorders>
              <w:bottom w:val="single" w:sz="8" w:color="auto"/>
            </w:tcBorders>
          </w:tcPr>
          <w:p>
            <w:pPr>
              <w:spacing w:after="0"/>
              <w:rPr>
                <w:sz w:val="22"/>
                <w:szCs w:val="22"/>
                <w:color w:val="auto"/>
              </w:rPr>
            </w:pPr>
          </w:p>
        </w:tc>
      </w:tr>
      <w:tr>
        <w:trPr>
          <w:trHeight w:val="250"/>
        </w:trPr>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80" w:type="dxa"/>
            <w:vAlign w:val="bottom"/>
            <w:gridSpan w:val="3"/>
          </w:tcPr>
          <w:p>
            <w:pPr>
              <w:jc w:val="center"/>
              <w:ind w:right="2450"/>
              <w:spacing w:after="0"/>
              <w:rPr>
                <w:sz w:val="20"/>
                <w:szCs w:val="20"/>
                <w:color w:val="auto"/>
              </w:rPr>
            </w:pPr>
            <w:r>
              <w:rPr>
                <w:rFonts w:ascii="Times New Roman" w:cs="Times New Roman" w:eastAsia="Times New Roman" w:hAnsi="Times New Roman"/>
                <w:sz w:val="18"/>
                <w:szCs w:val="18"/>
                <w:color w:val="auto"/>
                <w:w w:val="99"/>
              </w:rPr>
              <w:t>(Insert Social Security or other identifying number of assignee or transferee)</w:t>
            </w:r>
          </w:p>
        </w:tc>
      </w:tr>
      <w:tr>
        <w:trPr>
          <w:trHeight w:val="392"/>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2"/>
              </w:rPr>
              <w:t>and irrevocably appoint </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8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agent to transfer this Security on the books of the Issuer. The agent may</w:t>
            </w:r>
          </w:p>
        </w:tc>
      </w:tr>
      <w:tr>
        <w:trPr>
          <w:trHeight w:val="20"/>
        </w:trPr>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7"/>
        </w:trPr>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substitute another to act for him.</w:t>
            </w: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18"/>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Dated:                    </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Signed:</w:t>
            </w:r>
          </w:p>
        </w:tc>
      </w:tr>
      <w:tr>
        <w:trPr>
          <w:trHeight w:val="20"/>
        </w:trPr>
        <w:tc>
          <w:tcPr>
            <w:tcW w:w="5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r>
      <w:tr>
        <w:trPr>
          <w:trHeight w:val="191"/>
        </w:trPr>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(Signed exactly as name appears on</w:t>
            </w:r>
          </w:p>
        </w:tc>
      </w:tr>
      <w:tr>
        <w:trPr>
          <w:trHeight w:val="234"/>
        </w:trPr>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other side of this Security)</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17145</wp:posOffset>
            </wp:positionV>
            <wp:extent cx="18256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Guarantee Medallion Program (or</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other signature guarantor program</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reasonably acceptable to the Trustee)</w:t>
      </w:r>
    </w:p>
    <w:p>
      <w:pPr>
        <w:sectPr>
          <w:pgSz w:w="11900" w:h="16838" w:orient="portrait"/>
          <w:cols w:equalWidth="0" w:num="1">
            <w:col w:w="11020"/>
          </w:cols>
          <w:pgMar w:left="440" w:top="270" w:right="4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173990</wp:posOffset>
            </wp:positionV>
            <wp:extent cx="1397000" cy="6261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970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80" w:firstLine="440"/>
        <w:spacing w:after="0" w:line="253" w:lineRule="auto"/>
        <w:rPr>
          <w:sz w:val="20"/>
          <w:szCs w:val="20"/>
          <w:color w:val="auto"/>
        </w:rPr>
      </w:pPr>
      <w:r>
        <w:rPr>
          <w:rFonts w:ascii="Times New Roman" w:cs="Times New Roman" w:eastAsia="Times New Roman" w:hAnsi="Times New Roman"/>
          <w:sz w:val="18"/>
          <w:szCs w:val="18"/>
          <w:color w:val="auto"/>
        </w:rPr>
        <w:t>I am Senior Vice President, Senior Deputy General Counsel and Assistant Secretary of Comcast Corporation, a Pennsylvania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have acted for the Company in connection with the issuance by the Company, pursuant to the Underwriting Agreement dated September 23, 2024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among the Company, the Guarantors (as defined below) and the several underwriters named therein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€900,000,000 aggregate principal amount of 3.250% Euro Notes due 2032 (the “</w:t>
      </w:r>
      <w:r>
        <w:rPr>
          <w:rFonts w:ascii="Times New Roman" w:cs="Times New Roman" w:eastAsia="Times New Roman" w:hAnsi="Times New Roman"/>
          <w:sz w:val="18"/>
          <w:szCs w:val="18"/>
          <w:b w:val="1"/>
          <w:bCs w:val="1"/>
          <w:color w:val="auto"/>
        </w:rPr>
        <w:t>2032 Euro Notes</w:t>
      </w:r>
      <w:r>
        <w:rPr>
          <w:rFonts w:ascii="Times New Roman" w:cs="Times New Roman" w:eastAsia="Times New Roman" w:hAnsi="Times New Roman"/>
          <w:sz w:val="18"/>
          <w:szCs w:val="18"/>
          <w:color w:val="auto"/>
        </w:rPr>
        <w:t>”), €900,000,000 aggregate principal amount of 3.550% Euro Notes due 2036 (the “</w:t>
      </w:r>
      <w:r>
        <w:rPr>
          <w:rFonts w:ascii="Times New Roman" w:cs="Times New Roman" w:eastAsia="Times New Roman" w:hAnsi="Times New Roman"/>
          <w:sz w:val="18"/>
          <w:szCs w:val="18"/>
          <w:b w:val="1"/>
          <w:bCs w:val="1"/>
          <w:color w:val="auto"/>
        </w:rPr>
        <w:t>2036 Euro Notes</w:t>
      </w:r>
      <w:r>
        <w:rPr>
          <w:rFonts w:ascii="Times New Roman" w:cs="Times New Roman" w:eastAsia="Times New Roman" w:hAnsi="Times New Roman"/>
          <w:sz w:val="18"/>
          <w:szCs w:val="18"/>
          <w:color w:val="auto"/>
        </w:rPr>
        <w:t>” and, together with the 2032 Euro Notes, the “</w:t>
      </w:r>
      <w:r>
        <w:rPr>
          <w:rFonts w:ascii="Times New Roman" w:cs="Times New Roman" w:eastAsia="Times New Roman" w:hAnsi="Times New Roman"/>
          <w:sz w:val="18"/>
          <w:szCs w:val="18"/>
          <w:b w:val="1"/>
          <w:bCs w:val="1"/>
          <w:color w:val="auto"/>
        </w:rPr>
        <w:t>Euro Notes</w:t>
      </w:r>
      <w:r>
        <w:rPr>
          <w:rFonts w:ascii="Times New Roman" w:cs="Times New Roman" w:eastAsia="Times New Roman" w:hAnsi="Times New Roman"/>
          <w:sz w:val="18"/>
          <w:szCs w:val="18"/>
          <w:color w:val="auto"/>
        </w:rPr>
        <w:t>”) and £750,000,000 aggregate principal amount of 5.250% Sterling Notes due 2040 (the “</w:t>
      </w:r>
      <w:r>
        <w:rPr>
          <w:rFonts w:ascii="Times New Roman" w:cs="Times New Roman" w:eastAsia="Times New Roman" w:hAnsi="Times New Roman"/>
          <w:sz w:val="18"/>
          <w:szCs w:val="18"/>
          <w:b w:val="1"/>
          <w:bCs w:val="1"/>
          <w:color w:val="auto"/>
        </w:rPr>
        <w:t>Sterling Notes</w:t>
      </w:r>
      <w:r>
        <w:rPr>
          <w:rFonts w:ascii="Times New Roman" w:cs="Times New Roman" w:eastAsia="Times New Roman" w:hAnsi="Times New Roman"/>
          <w:sz w:val="18"/>
          <w:szCs w:val="18"/>
          <w:color w:val="auto"/>
        </w:rPr>
        <w:t>”). The Euro Notes and Sterling Notes are herein referred to as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Notes are to be issued pursuant to the provisions of the Indenture dated as of September 18, 2013 (the “</w:t>
      </w:r>
      <w:r>
        <w:rPr>
          <w:rFonts w:ascii="Times New Roman" w:cs="Times New Roman" w:eastAsia="Times New Roman" w:hAnsi="Times New Roman"/>
          <w:sz w:val="18"/>
          <w:szCs w:val="18"/>
          <w:b w:val="1"/>
          <w:b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as amended by the First Supplemental Indenture thereto dated as of November 17, 2015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Supplemental Indenture dated as of July 29, 2022 (the “</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and, together with the Base Indenture and the First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each by and among the Company, the guarantors named therein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The Notes are to be guaranteed on an unsecured and unsubordinated basis by the Guarantors.</w:t>
      </w:r>
    </w:p>
    <w:p>
      <w:pPr>
        <w:spacing w:after="0" w:line="19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the foregoing, I am of the opinion that:</w:t>
      </w:r>
    </w:p>
    <w:p>
      <w:pPr>
        <w:spacing w:after="0" w:line="117" w:lineRule="exact"/>
        <w:rPr>
          <w:sz w:val="20"/>
          <w:szCs w:val="20"/>
          <w:color w:val="auto"/>
        </w:rPr>
      </w:pPr>
    </w:p>
    <w:p>
      <w:pPr>
        <w:ind w:left="620" w:hanging="18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authorized by the Company.</w:t>
      </w:r>
    </w:p>
    <w:p>
      <w:pPr>
        <w:sectPr>
          <w:pgSz w:w="11900" w:h="16838" w:orient="portrait"/>
          <w:cols w:equalWidth="0" w:num="1">
            <w:col w:w="11020"/>
          </w:cols>
          <w:pgMar w:left="440" w:top="117" w:right="439" w:bottom="1440" w:gutter="0" w:footer="0" w:header="0"/>
        </w:sectPr>
      </w:pPr>
    </w:p>
    <w:bookmarkStart w:id="56" w:name="page57"/>
    <w:bookmarkEnd w:id="56"/>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am a member of the Bar of the Commonwealth of Pennsylvania and the foregoing opinion is limited to the laws of the Commonwealth of Pennsylvania and the federal laws of the United States of America.</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 hereby consent to the filing of this opinion as an exhibit to a report on Form 8-K filed by the Company on the date hereof and its incorporation by reference into the Company’s registration statement on Form S-3 filed on July 29, 2022, as amended as of the date of the Underwriting Agreement (File No. 333-266390). In addition, I consent to the reference to my name under the caption “Legal Matters” in the prospectus supplement, which is a part of the registration statement. In giving this consent, I do not admit that I am in the category of persons whose consent is required under Section 7 of the Securities Act of 1933, as amended.</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Senior Vice President, Senior Deputy General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Counsel and Assistant Secretary</w:t>
      </w:r>
    </w:p>
    <w:p>
      <w:pPr>
        <w:sectPr>
          <w:pgSz w:w="11900" w:h="16838" w:orient="portrait"/>
          <w:cols w:equalWidth="0" w:num="1">
            <w:col w:w="10940"/>
          </w:cols>
          <w:pgMar w:left="440" w:top="270" w:right="5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5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Davis Polk &amp; Wardwell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91694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16940" cy="171450"/>
                    </a:xfrm>
                    <a:prstGeom prst="rect">
                      <a:avLst/>
                    </a:prstGeom>
                    <a:noFill/>
                  </pic:spPr>
                </pic:pic>
              </a:graphicData>
            </a:graphic>
          </wp:anchor>
        </w:drawing>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davispolk.com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Comcast Cable Communications, LLC, a Delaware limited liability company, and NBCUniversal Media, LLC, a Delaware limited liability company (together with Comcast Cable Communications, LLC,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have filed with the Securities and Exchange Commission a Registration Statement on Form S-3 (File</w:t>
      </w:r>
    </w:p>
    <w:p>
      <w:pPr>
        <w:ind w:right="140"/>
        <w:spacing w:after="0" w:line="251" w:lineRule="auto"/>
        <w:rPr>
          <w:sz w:val="20"/>
          <w:szCs w:val="20"/>
          <w:color w:val="auto"/>
        </w:rPr>
      </w:pPr>
      <w:r>
        <w:rPr>
          <w:rFonts w:ascii="Times New Roman" w:cs="Times New Roman" w:eastAsia="Times New Roman" w:hAnsi="Times New Roman"/>
          <w:sz w:val="18"/>
          <w:szCs w:val="18"/>
          <w:color w:val="auto"/>
        </w:rPr>
        <w:t>No. 333-266390)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 of registering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certain securities, including €900,000,000 aggregate principal amount of 3.250% Euro Notes due 2032 (the “</w:t>
      </w:r>
      <w:r>
        <w:rPr>
          <w:rFonts w:ascii="Times New Roman" w:cs="Times New Roman" w:eastAsia="Times New Roman" w:hAnsi="Times New Roman"/>
          <w:sz w:val="18"/>
          <w:szCs w:val="18"/>
          <w:b w:val="1"/>
          <w:bCs w:val="1"/>
          <w:color w:val="auto"/>
        </w:rPr>
        <w:t>2032 Euro Notes</w:t>
      </w:r>
      <w:r>
        <w:rPr>
          <w:rFonts w:ascii="Times New Roman" w:cs="Times New Roman" w:eastAsia="Times New Roman" w:hAnsi="Times New Roman"/>
          <w:sz w:val="18"/>
          <w:szCs w:val="18"/>
          <w:color w:val="auto"/>
        </w:rPr>
        <w:t>”), €900,000,000 aggregate principal amount of 3.550% Euro Notes due 2036 (the “</w:t>
      </w:r>
      <w:r>
        <w:rPr>
          <w:rFonts w:ascii="Times New Roman" w:cs="Times New Roman" w:eastAsia="Times New Roman" w:hAnsi="Times New Roman"/>
          <w:sz w:val="18"/>
          <w:szCs w:val="18"/>
          <w:b w:val="1"/>
          <w:bCs w:val="1"/>
          <w:color w:val="auto"/>
        </w:rPr>
        <w:t>2036 Euro Notes</w:t>
      </w:r>
      <w:r>
        <w:rPr>
          <w:rFonts w:ascii="Times New Roman" w:cs="Times New Roman" w:eastAsia="Times New Roman" w:hAnsi="Times New Roman"/>
          <w:sz w:val="18"/>
          <w:szCs w:val="18"/>
          <w:color w:val="auto"/>
        </w:rPr>
        <w:t>” and, together with the 2032 Euro Notes, the “</w:t>
      </w:r>
      <w:r>
        <w:rPr>
          <w:rFonts w:ascii="Times New Roman" w:cs="Times New Roman" w:eastAsia="Times New Roman" w:hAnsi="Times New Roman"/>
          <w:sz w:val="18"/>
          <w:szCs w:val="18"/>
          <w:b w:val="1"/>
          <w:bCs w:val="1"/>
          <w:color w:val="auto"/>
        </w:rPr>
        <w:t>Euro Notes</w:t>
      </w:r>
      <w:r>
        <w:rPr>
          <w:rFonts w:ascii="Times New Roman" w:cs="Times New Roman" w:eastAsia="Times New Roman" w:hAnsi="Times New Roman"/>
          <w:sz w:val="18"/>
          <w:szCs w:val="18"/>
          <w:color w:val="auto"/>
        </w:rPr>
        <w:t>”) and £750,000,000 aggregate principal amount of 5.250% Sterling Notes due 2040 (the “</w:t>
      </w:r>
      <w:r>
        <w:rPr>
          <w:rFonts w:ascii="Times New Roman" w:cs="Times New Roman" w:eastAsia="Times New Roman" w:hAnsi="Times New Roman"/>
          <w:sz w:val="18"/>
          <w:szCs w:val="18"/>
          <w:b w:val="1"/>
          <w:bCs w:val="1"/>
          <w:color w:val="auto"/>
        </w:rPr>
        <w:t>Sterling Notes</w:t>
      </w:r>
      <w:r>
        <w:rPr>
          <w:rFonts w:ascii="Times New Roman" w:cs="Times New Roman" w:eastAsia="Times New Roman" w:hAnsi="Times New Roman"/>
          <w:sz w:val="18"/>
          <w:szCs w:val="18"/>
          <w:color w:val="auto"/>
        </w:rPr>
        <w:t>”). The Euro Notes and Sterling Notes are herein referred to as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Notes are to be issued pursuant to the provisions of the Indenture dated as of September 18, 2013 (the “</w:t>
      </w:r>
      <w:r>
        <w:rPr>
          <w:rFonts w:ascii="Times New Roman" w:cs="Times New Roman" w:eastAsia="Times New Roman" w:hAnsi="Times New Roman"/>
          <w:sz w:val="18"/>
          <w:szCs w:val="18"/>
          <w:b w:val="1"/>
          <w:b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as amended by the First Supplemental Indenture thereto dated as of November 17, 2015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Supplemental Indenture dated as of July 29, 2022 (the “</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and, together with the Base Indenture and the First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the Company, the guarantors party thereto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Pursuant to the terms of the Indenture, the Notes will be guaranteed by each of the Guarantors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are to be sold pursuant to the Underwriting Agreement dated September 23, 2024 (the “</w:t>
      </w:r>
      <w:r>
        <w:rPr>
          <w:rFonts w:ascii="Times New Roman" w:cs="Times New Roman" w:eastAsia="Times New Roman" w:hAnsi="Times New Roman"/>
          <w:sz w:val="18"/>
          <w:szCs w:val="18"/>
          <w:b w:val="1"/>
          <w:b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the Company, the Guarantors and the several underwriters named therein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ectPr>
          <w:pgSz w:w="11900" w:h="16838" w:orient="portrait"/>
          <w:cols w:equalWidth="0" w:num="1">
            <w:col w:w="11020"/>
          </w:cols>
          <w:pgMar w:left="440" w:top="117" w:right="439" w:bottom="1440" w:gutter="0" w:footer="0" w:header="0"/>
        </w:sectPr>
      </w:pPr>
    </w:p>
    <w:bookmarkStart w:id="58" w:name="page59"/>
    <w:bookmarkEnd w:id="58"/>
    <w:p>
      <w:pPr>
        <w:ind w:left="95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September 26,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assumptions and qualifications set forth below, we advise you that, in our opinion:</w:t>
      </w:r>
    </w:p>
    <w:p>
      <w:pPr>
        <w:spacing w:after="0" w:line="131" w:lineRule="exact"/>
        <w:rPr>
          <w:sz w:val="20"/>
          <w:szCs w:val="20"/>
          <w:color w:val="auto"/>
        </w:rPr>
      </w:pPr>
    </w:p>
    <w:p>
      <w:pPr>
        <w:ind w:left="960" w:right="300" w:hanging="532"/>
        <w:spacing w:after="0" w:line="270" w:lineRule="auto"/>
        <w:tabs>
          <w:tab w:leader="none" w:pos="9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the Notes have been duly executed and authenticated in accordance with the provisions of the Indenture and delivered to and paid for by the Underwriters pursuant to the Underwriting Agreement, the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w:t>
      </w:r>
    </w:p>
    <w:p>
      <w:pPr>
        <w:spacing w:after="0" w:line="2" w:lineRule="exact"/>
        <w:rPr>
          <w:rFonts w:ascii="Times New Roman" w:cs="Times New Roman" w:eastAsia="Times New Roman" w:hAnsi="Times New Roman"/>
          <w:sz w:val="17"/>
          <w:szCs w:val="17"/>
          <w:color w:val="auto"/>
        </w:rPr>
      </w:pPr>
    </w:p>
    <w:p>
      <w:pPr>
        <w:ind w:left="1220" w:hanging="252"/>
        <w:spacing w:after="0"/>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effect of fraudulent conveyance, fraudulent transfer or similar provision of applicable law on the conclusions expressed above or</w:t>
      </w:r>
    </w:p>
    <w:p>
      <w:pPr>
        <w:spacing w:after="0" w:line="9" w:lineRule="exact"/>
        <w:rPr>
          <w:rFonts w:ascii="Times New Roman" w:cs="Times New Roman" w:eastAsia="Times New Roman" w:hAnsi="Times New Roman"/>
          <w:sz w:val="18"/>
          <w:szCs w:val="18"/>
          <w:color w:val="auto"/>
        </w:rPr>
      </w:pPr>
    </w:p>
    <w:p>
      <w:pPr>
        <w:ind w:left="960" w:right="180" w:firstLine="8"/>
        <w:spacing w:after="0" w:line="253" w:lineRule="auto"/>
        <w:tabs>
          <w:tab w:leader="none" w:pos="122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 Indenture that purports to avoid the effect of fraudulent conveyance, fraudulent transfer or similar provision of applicable law by limiting the amount of any Guarantor’s obligation or (y) the validity, legally binding effect or enforceability of any provision that permits holders to collect any portion of stated principal amount upon acceleration of the Notes to the extent determined to constitute unearned interest.</w:t>
      </w:r>
    </w:p>
    <w:p>
      <w:pPr>
        <w:spacing w:after="0" w:line="94" w:lineRule="exact"/>
        <w:rPr>
          <w:rFonts w:ascii="Times New Roman" w:cs="Times New Roman" w:eastAsia="Times New Roman" w:hAnsi="Times New Roman"/>
          <w:sz w:val="18"/>
          <w:szCs w:val="18"/>
          <w:color w:val="auto"/>
        </w:rPr>
      </w:pPr>
    </w:p>
    <w:p>
      <w:pPr>
        <w:ind w:left="960" w:right="260" w:hanging="532"/>
        <w:spacing w:after="0" w:line="270" w:lineRule="auto"/>
        <w:tabs>
          <w:tab w:leader="none" w:pos="9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Guarantees, assuming the Notes have been duly executed and authenticated in accordance with the provisions of the Indenture and delivered to and paid for by the Underwriters pursuant to the Underwriting Agreement, will be valid and binding obligations of each Guarantor, enforceable in accordance with their terms, subject to applicable bankruptcy, insolvency and similar laws affecting creditors’ rights generally, concepts of reasonableness and equitable principles of general applicability;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we express no opinion as to</w:t>
      </w:r>
    </w:p>
    <w:p>
      <w:pPr>
        <w:spacing w:after="0" w:line="2" w:lineRule="exact"/>
        <w:rPr>
          <w:rFonts w:ascii="Times New Roman" w:cs="Times New Roman" w:eastAsia="Times New Roman" w:hAnsi="Times New Roman"/>
          <w:sz w:val="17"/>
          <w:szCs w:val="17"/>
          <w:color w:val="auto"/>
        </w:rPr>
      </w:pPr>
    </w:p>
    <w:p>
      <w:pPr>
        <w:ind w:left="1220" w:hanging="252"/>
        <w:spacing w:after="0"/>
        <w:tabs>
          <w:tab w:leader="none" w:pos="12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effect of fraudulent conveyance, fraudulent transfer or similar provision of applicable law on the conclusions expressed above or</w:t>
      </w:r>
    </w:p>
    <w:p>
      <w:pPr>
        <w:spacing w:after="0" w:line="9" w:lineRule="exact"/>
        <w:rPr>
          <w:rFonts w:ascii="Times New Roman" w:cs="Times New Roman" w:eastAsia="Times New Roman" w:hAnsi="Times New Roman"/>
          <w:sz w:val="18"/>
          <w:szCs w:val="18"/>
          <w:color w:val="auto"/>
        </w:rPr>
      </w:pPr>
    </w:p>
    <w:p>
      <w:pPr>
        <w:ind w:left="960" w:right="180" w:firstLine="8"/>
        <w:spacing w:after="0" w:line="253" w:lineRule="auto"/>
        <w:tabs>
          <w:tab w:leader="none" w:pos="122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 Guarantee that purports to avoid the effect of fraudulent conveyance, fraudulent transfer or similar provision of applicable law by limiting the amount of any Guarantor’s obligation or (y) the validity, legally binding effect or enforceability of any provision that permits holders to collect any portion of stated principal amount upon acceleration of the Notes to the extent determined to constitute unearned interest.</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opinions expressed above, we have assumed that the Company and each Guarantor is validly existing and in good standing under the laws of the Commonwealth of Pennsylvania or the State of Delaware, as applicable. In addition, we have assumed that the Indenture and the Securities (collectively,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 provided that we make no such assumption to the extent that we have specifically opined as to such matters with respect to the Company and each Guarantor.</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opinions are limited to the laws of the State of New York and the Limited Liability Company Act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 Insofar as the foregoing opinions involve matters governed by the laws of the Commonwealth of Pennsylvania, we have relied, without independent inquiry or investigation, on the opinions of the Senior Deputy General Counsel of the Company to be filed as an exhibit to a report on Form 8-K to be filed by the Company on the date hereof.</w:t>
      </w:r>
    </w:p>
    <w:p>
      <w:pPr>
        <w:sectPr>
          <w:pgSz w:w="11900" w:h="16838" w:orient="portrait"/>
          <w:cols w:equalWidth="0" w:num="1">
            <w:col w:w="11020"/>
          </w:cols>
          <w:pgMar w:left="440" w:top="270" w:right="439" w:bottom="1440" w:gutter="0" w:footer="0" w:header="0"/>
        </w:sectPr>
      </w:pPr>
    </w:p>
    <w:bookmarkStart w:id="59" w:name="page60"/>
    <w:bookmarkEnd w:id="59"/>
    <w:p>
      <w:pPr>
        <w:ind w:left="95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September 26, 2024</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lowerLetter"/>
      <w:start w:val="1"/>
    </w:lvl>
    <w:lvl w:ilvl="1">
      <w:lvlJc w:val="left"/>
      <w:lvlText w:val="(%2)"/>
      <w:numFmt w:val="lowerRoman"/>
      <w:start w:val="1"/>
    </w:lvl>
  </w:abstractNum>
  <w:abstractNum w:abstractNumId="3">
    <w:nsid w:val="12200854"/>
    <w:multiLevelType w:val="hybridMultilevel"/>
    <w:lvl w:ilvl="0">
      <w:lvlJc w:val="left"/>
      <w:lvlText w:val="(%1)"/>
      <w:numFmt w:val="lowerLetter"/>
      <w:start w:val="4"/>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lowerLetter"/>
      <w:start w:val="1"/>
    </w:lvl>
    <w:lvl w:ilvl="1">
      <w:lvlJc w:val="left"/>
      <w:lvlText w:val="(%2)"/>
      <w:numFmt w:val="lowerRoman"/>
      <w:start w:val="1"/>
    </w:lvl>
  </w:abstractNum>
  <w:abstractNum w:abstractNumId="6">
    <w:nsid w:val="1F16E9E8"/>
    <w:multiLevelType w:val="hybridMultilevel"/>
    <w:lvl w:ilvl="0">
      <w:lvlJc w:val="left"/>
      <w:lvlText w:val="(%1)"/>
      <w:numFmt w:val="lowerLetter"/>
      <w:start w:val="4"/>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Letter"/>
      <w:start w:val="1"/>
    </w:lvl>
    <w:lvl w:ilvl="1">
      <w:lvlJc w:val="left"/>
      <w:lvlText w:val="(%2)"/>
      <w:numFmt w:val="lowerRoman"/>
      <w:start w:val="1"/>
    </w:lvl>
  </w:abstractNum>
  <w:abstractNum w:abstractNumId="9">
    <w:nsid w:val="140E0F76"/>
    <w:multiLevelType w:val="hybridMultilevel"/>
    <w:lvl w:ilvl="0">
      <w:lvlJc w:val="left"/>
      <w:lvlText w:val="(%1)"/>
      <w:numFmt w:val="lowerLetter"/>
      <w:start w:val="4"/>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Roman"/>
      <w:start w:val="10"/>
    </w:lvl>
  </w:abstractNum>
  <w:abstractNum w:abstractNumId="12">
    <w:nsid w:val="DED7263"/>
    <w:multiLevelType w:val="hybridMultilevel"/>
    <w:lvl w:ilvl="0">
      <w:lvlJc w:val="left"/>
      <w:lvlText w:val="%1"/>
      <w:numFmt w:val="decimal"/>
      <w:start w:val="1"/>
    </w:lvl>
    <w:lvl w:ilvl="1">
      <w:lvlJc w:val="left"/>
      <w:lvlText w:val="(%2)"/>
      <w:numFmt w:val="lowerRoman"/>
      <w:start w:val="2"/>
    </w:lvl>
  </w:abstractNum>
  <w:abstractNum w:abstractNumId="13">
    <w:nsid w:val="7FDCC233"/>
    <w:multiLevelType w:val="hybridMultilevel"/>
    <w:lvl w:ilvl="0">
      <w:lvlJc w:val="left"/>
      <w:lvlText w:val="%1."/>
      <w:numFmt w:val="decimal"/>
      <w:start w:val="2"/>
    </w:lvl>
    <w:lvl w:ilvl="1">
      <w:lvlJc w:val="left"/>
      <w:lvlText w:val="(%2)"/>
      <w:numFmt w:val="lowerRoman"/>
      <w:start w:val="10"/>
    </w:lvl>
  </w:abstractNum>
  <w:abstractNum w:abstractNumId="14">
    <w:nsid w:val="1BEFD79F"/>
    <w:multiLevelType w:val="hybridMultilevel"/>
    <w:lvl w:ilvl="0">
      <w:lvlJc w:val="left"/>
      <w:lvlText w:val="%1"/>
      <w:numFmt w:val="decimal"/>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2024-09-26T16:00:59Z</dcterms:created>
  <dcterms:modified xsi:type="dcterms:W3CDTF">2024-09-26T16:00:59Z</dcterms:modified>
</cp:coreProperties>
</file>