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SCHEDULE 14A INFORMATION</w:t>
      </w:r>
    </w:p>
    <w:p>
      <w:pPr>
        <w:spacing w:after="0" w:line="173" w:lineRule="exact"/>
        <w:rPr>
          <w:sz w:val="24"/>
          <w:szCs w:val="24"/>
          <w:color w:val="auto"/>
        </w:rPr>
      </w:pPr>
    </w:p>
    <w:p>
      <w:pPr>
        <w:ind w:left="15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3"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6"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Filed by the Registrant |_|</w:t>
      </w:r>
    </w:p>
    <w:p>
      <w:pPr>
        <w:ind w:left="440"/>
        <w:spacing w:after="0" w:line="237" w:lineRule="auto"/>
        <w:rPr>
          <w:sz w:val="20"/>
          <w:szCs w:val="20"/>
          <w:color w:val="auto"/>
        </w:rPr>
      </w:pPr>
      <w:r>
        <w:rPr>
          <w:rFonts w:ascii="Courier New" w:cs="Courier New" w:eastAsia="Courier New" w:hAnsi="Courier New"/>
          <w:sz w:val="15"/>
          <w:szCs w:val="15"/>
          <w:color w:val="auto"/>
        </w:rPr>
        <w:t>Filed by a Party other than the Registrant |X|</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Check the appropriate box:</w:t>
      </w:r>
    </w:p>
    <w:p>
      <w:pPr>
        <w:sectPr>
          <w:pgSz w:w="11900" w:h="16888" w:orient="portrait"/>
          <w:cols w:equalWidth="0" w:num="1">
            <w:col w:w="10239"/>
          </w:cols>
          <w:pgMar w:left="220" w:top="225" w:right="1440" w:bottom="0" w:gutter="0" w:footer="0" w:header="0"/>
        </w:sectPr>
      </w:pPr>
    </w:p>
    <w:p>
      <w:pPr>
        <w:ind w:left="440"/>
        <w:spacing w:after="0"/>
        <w:tabs>
          <w:tab w:leader="none" w:pos="3920" w:val="left"/>
        </w:tabs>
        <w:rPr>
          <w:sz w:val="20"/>
          <w:szCs w:val="20"/>
          <w:color w:val="auto"/>
        </w:rPr>
      </w:pPr>
      <w:r>
        <w:rPr>
          <w:rFonts w:ascii="Courier New" w:cs="Courier New" w:eastAsia="Courier New" w:hAnsi="Courier New"/>
          <w:sz w:val="15"/>
          <w:szCs w:val="15"/>
          <w:color w:val="auto"/>
        </w:rPr>
        <w:t>|_| Preliminary Proxy Statement</w:t>
      </w:r>
      <w:r>
        <w:rPr>
          <w:sz w:val="20"/>
          <w:szCs w:val="20"/>
          <w:color w:val="auto"/>
        </w:rPr>
        <w:tab/>
      </w:r>
      <w:r>
        <w:rPr>
          <w:rFonts w:ascii="Courier New" w:cs="Courier New" w:eastAsia="Courier New" w:hAnsi="Courier New"/>
          <w:sz w:val="14"/>
          <w:szCs w:val="14"/>
          <w:color w:val="auto"/>
        </w:rPr>
        <w:t>|_|</w:t>
      </w:r>
    </w:p>
    <w:p>
      <w:pPr>
        <w:spacing w:after="0" w:line="16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|_| Definitive Proxy Statement</w:t>
      </w:r>
    </w:p>
    <w:p>
      <w:pPr>
        <w:ind w:left="440"/>
        <w:spacing w:after="0" w:line="237" w:lineRule="auto"/>
        <w:rPr>
          <w:sz w:val="20"/>
          <w:szCs w:val="20"/>
          <w:color w:val="auto"/>
        </w:rPr>
      </w:pPr>
      <w:r>
        <w:rPr>
          <w:rFonts w:ascii="Courier New" w:cs="Courier New" w:eastAsia="Courier New" w:hAnsi="Courier New"/>
          <w:sz w:val="15"/>
          <w:szCs w:val="15"/>
          <w:color w:val="auto"/>
        </w:rPr>
        <w:t>|_| Definitive Additional Materials</w:t>
      </w:r>
    </w:p>
    <w:p>
      <w:pPr>
        <w:ind w:left="440"/>
        <w:spacing w:after="0" w:line="238" w:lineRule="auto"/>
        <w:rPr>
          <w:sz w:val="20"/>
          <w:szCs w:val="20"/>
          <w:color w:val="auto"/>
        </w:rPr>
      </w:pPr>
      <w:r>
        <w:rPr>
          <w:rFonts w:ascii="Courier New" w:cs="Courier New" w:eastAsia="Courier New" w:hAnsi="Courier New"/>
          <w:sz w:val="15"/>
          <w:szCs w:val="15"/>
          <w:color w:val="auto"/>
        </w:rPr>
        <w:t>|X| Soliciting Material Under Rule 14a-12</w:t>
      </w:r>
    </w:p>
    <w:p>
      <w:pPr>
        <w:spacing w:after="0" w:line="20" w:lineRule="exact"/>
        <w:rPr>
          <w:sz w:val="24"/>
          <w:szCs w:val="24"/>
          <w:color w:val="auto"/>
        </w:rPr>
      </w:pPr>
      <w:r>
        <w:rPr>
          <w:sz w:val="24"/>
          <w:szCs w:val="24"/>
          <w:color w:val="auto"/>
        </w:rPr>
        <w:br w:type="column"/>
      </w:r>
    </w:p>
    <w:p>
      <w:pPr>
        <w:spacing w:after="0" w:line="237" w:lineRule="auto"/>
        <w:rPr>
          <w:sz w:val="20"/>
          <w:szCs w:val="20"/>
          <w:color w:val="auto"/>
        </w:rPr>
      </w:pPr>
      <w:r>
        <w:rPr>
          <w:rFonts w:ascii="Courier New" w:cs="Courier New" w:eastAsia="Courier New" w:hAnsi="Courier New"/>
          <w:sz w:val="15"/>
          <w:szCs w:val="15"/>
          <w:color w:val="auto"/>
        </w:rPr>
        <w:t>Confidential, For Use of the</w:t>
      </w:r>
    </w:p>
    <w:p>
      <w:pPr>
        <w:spacing w:after="0" w:line="238" w:lineRule="auto"/>
        <w:rPr>
          <w:sz w:val="20"/>
          <w:szCs w:val="20"/>
          <w:color w:val="auto"/>
        </w:rPr>
      </w:pPr>
      <w:r>
        <w:rPr>
          <w:rFonts w:ascii="Courier New" w:cs="Courier New" w:eastAsia="Courier New" w:hAnsi="Courier New"/>
          <w:sz w:val="15"/>
          <w:szCs w:val="15"/>
          <w:color w:val="auto"/>
        </w:rPr>
        <w:t>Commission Only (as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permitted by Rule 14a-6(e)(2))</w:t>
      </w:r>
    </w:p>
    <w:p>
      <w:pPr>
        <w:spacing w:after="0" w:line="508" w:lineRule="exact"/>
        <w:rPr>
          <w:sz w:val="24"/>
          <w:szCs w:val="24"/>
          <w:color w:val="auto"/>
        </w:rPr>
      </w:pPr>
    </w:p>
    <w:p>
      <w:pPr>
        <w:sectPr>
          <w:pgSz w:w="11900" w:h="16888" w:orient="portrait"/>
          <w:cols w:equalWidth="0" w:num="2">
            <w:col w:w="4200" w:space="180"/>
            <w:col w:w="5859"/>
          </w:cols>
          <w:pgMar w:left="220" w:top="225" w:right="1440" w:bottom="0" w:gutter="0" w:footer="0" w:header="0"/>
          <w:type w:val="continuous"/>
        </w:sectPr>
      </w:pPr>
    </w:p>
    <w:p>
      <w:pPr>
        <w:ind w:left="3080"/>
        <w:spacing w:after="0"/>
        <w:rPr>
          <w:sz w:val="20"/>
          <w:szCs w:val="20"/>
          <w:color w:val="auto"/>
        </w:rPr>
      </w:pPr>
      <w:r>
        <w:rPr>
          <w:rFonts w:ascii="Courier New" w:cs="Courier New" w:eastAsia="Courier New" w:hAnsi="Courier New"/>
          <w:sz w:val="15"/>
          <w:szCs w:val="15"/>
          <w:color w:val="auto"/>
        </w:rPr>
        <w:t>AT&amp;T Corp.</w:t>
      </w:r>
    </w:p>
    <w:p>
      <w:pPr>
        <w:spacing w:after="0" w:line="5"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140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Registrant as Specified In Its Charter)</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5"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3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(Name of Person(s) Filing Proxy Statement, if other than the Registrant)</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6" w:lineRule="exact"/>
        <w:rPr>
          <w:sz w:val="24"/>
          <w:szCs w:val="24"/>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|X|</w:t>
        <w:tab/>
        <w:t>No fee required.</w:t>
      </w:r>
    </w:p>
    <w:p>
      <w:pPr>
        <w:spacing w:after="0" w:line="173" w:lineRule="exact"/>
        <w:rPr>
          <w:sz w:val="24"/>
          <w:szCs w:val="24"/>
          <w:color w:val="auto"/>
        </w:rPr>
      </w:pPr>
    </w:p>
    <w:p>
      <w:pPr>
        <w:ind w:left="880" w:right="3579" w:hanging="436"/>
        <w:spacing w:after="0" w:line="234" w:lineRule="auto"/>
        <w:tabs>
          <w:tab w:leader="none" w:pos="860" w:val="left"/>
        </w:tabs>
        <w:rPr>
          <w:sz w:val="20"/>
          <w:szCs w:val="20"/>
          <w:color w:val="auto"/>
        </w:rPr>
      </w:pPr>
      <w:r>
        <w:rPr>
          <w:rFonts w:ascii="Courier New" w:cs="Courier New" w:eastAsia="Courier New" w:hAnsi="Courier New"/>
          <w:sz w:val="15"/>
          <w:szCs w:val="15"/>
          <w:color w:val="auto"/>
        </w:rPr>
        <w:t>|_|</w:t>
        <w:tab/>
        <w:t>Fee computed on table below per Exchange Act Rules 14a-6(i)(1) and 0-11.</w:t>
      </w:r>
    </w:p>
    <w:p>
      <w:pPr>
        <w:spacing w:after="0" w:line="167" w:lineRule="exact"/>
        <w:rPr>
          <w:sz w:val="24"/>
          <w:szCs w:val="24"/>
          <w:color w:val="auto"/>
        </w:rPr>
      </w:pPr>
    </w:p>
    <w:p>
      <w:pPr>
        <w:ind w:left="880" w:hanging="433"/>
        <w:spacing w:after="0"/>
        <w:tabs>
          <w:tab w:leader="none" w:pos="88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w:t>
      </w:r>
    </w:p>
    <w:p>
      <w:pPr>
        <w:spacing w:after="0" w:line="5"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pursuant to Exchange Act Rule 0-11 (set forth the amount on which the filing fee is calculated and state how it was determined):</w:t>
      </w:r>
    </w:p>
    <w:p>
      <w:pPr>
        <w:spacing w:after="0" w:line="173" w:lineRule="exact"/>
        <w:rPr>
          <w:sz w:val="24"/>
          <w:szCs w:val="24"/>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|_| Fee paid previously with preliminary materials.</w:t>
      </w:r>
    </w:p>
    <w:p>
      <w:pPr>
        <w:spacing w:after="0" w:line="172"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800" w:hanging="353"/>
        <w:spacing w:after="0"/>
        <w:tabs>
          <w:tab w:leader="none" w:pos="80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800" w:hanging="353"/>
        <w:spacing w:after="0"/>
        <w:tabs>
          <w:tab w:leader="none" w:pos="80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72" w:lineRule="exact"/>
        <w:rPr>
          <w:rFonts w:ascii="Courier New" w:cs="Courier New" w:eastAsia="Courier New" w:hAnsi="Courier New"/>
          <w:sz w:val="15"/>
          <w:szCs w:val="15"/>
          <w:color w:val="auto"/>
        </w:rPr>
      </w:pPr>
    </w:p>
    <w:p>
      <w:pPr>
        <w:ind w:left="180" w:hanging="170"/>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The following press release was issued by Comcast Corporation:</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[COMCAST LOGO]</w:t>
            </w: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PRESS RELEASE</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Contact:</w:t>
            </w:r>
          </w:p>
        </w:tc>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Kelley L. Claypool, Manager, Investor Relations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981-7729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Marlene S. Dooner, Vice President, Investor Relations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981-7392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E. Dordelman, Vice President, Finance</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981-7550</w:t>
            </w:r>
          </w:p>
        </w:tc>
      </w:tr>
    </w:tbl>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FOR IMMEDIATE RELEASE</w:t>
      </w:r>
    </w:p>
    <w:p>
      <w:pPr>
        <w:spacing w:after="0" w:line="3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COMCAST REPORTS STRONG SECOND QUARTER RESULTS</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w:t>
      </w:r>
    </w:p>
    <w:p>
      <w:pPr>
        <w:sectPr>
          <w:pgSz w:w="11900" w:h="16888" w:orient="portrait"/>
          <w:cols w:equalWidth="0" w:num="1">
            <w:col w:w="10239"/>
          </w:cols>
          <w:pgMar w:left="220" w:top="225" w:right="1440" w:bottom="0" w:gutter="0" w:footer="0" w:header="0"/>
          <w:type w:val="continuous"/>
        </w:sectPr>
      </w:pPr>
    </w:p>
    <w:bookmarkStart w:id="1" w:name="page2"/>
    <w:bookmarkEnd w:id="1"/>
    <w:p>
      <w:pPr>
        <w:jc w:val="center"/>
        <w:ind w:right="4019"/>
        <w:spacing w:after="0"/>
        <w:rPr>
          <w:sz w:val="20"/>
          <w:szCs w:val="20"/>
          <w:color w:val="auto"/>
        </w:rPr>
      </w:pPr>
      <w:r>
        <w:rPr>
          <w:rFonts w:ascii="Courier New" w:cs="Courier New" w:eastAsia="Courier New" w:hAnsi="Courier New"/>
          <w:sz w:val="15"/>
          <w:szCs w:val="15"/>
          <w:color w:val="auto"/>
        </w:rPr>
        <w:t>COMCAST CABLE REPORTS 13% PRO FORMA OPERATING</w:t>
      </w:r>
    </w:p>
    <w:p>
      <w:pPr>
        <w:jc w:val="center"/>
        <w:ind w:right="4099"/>
        <w:spacing w:after="0" w:line="237" w:lineRule="auto"/>
        <w:rPr>
          <w:sz w:val="20"/>
          <w:szCs w:val="20"/>
          <w:color w:val="auto"/>
        </w:rPr>
      </w:pPr>
      <w:r>
        <w:rPr>
          <w:rFonts w:ascii="Courier New" w:cs="Courier New" w:eastAsia="Courier New" w:hAnsi="Courier New"/>
          <w:sz w:val="15"/>
          <w:szCs w:val="15"/>
          <w:color w:val="auto"/>
        </w:rPr>
        <w:t>CASH FLOW GROWTH</w:t>
      </w:r>
    </w:p>
    <w:p>
      <w:pPr>
        <w:spacing w:after="0" w:line="167" w:lineRule="exact"/>
        <w:rPr>
          <w:sz w:val="20"/>
          <w:szCs w:val="20"/>
          <w:color w:val="auto"/>
        </w:rPr>
      </w:pPr>
    </w:p>
    <w:p>
      <w:pPr>
        <w:jc w:val="center"/>
        <w:ind w:right="4099"/>
        <w:spacing w:after="0"/>
        <w:rPr>
          <w:sz w:val="20"/>
          <w:szCs w:val="20"/>
          <w:color w:val="auto"/>
        </w:rPr>
      </w:pPr>
      <w:r>
        <w:rPr>
          <w:rFonts w:ascii="Courier New" w:cs="Courier New" w:eastAsia="Courier New" w:hAnsi="Courier New"/>
          <w:sz w:val="15"/>
          <w:szCs w:val="15"/>
          <w:color w:val="auto"/>
        </w:rPr>
        <w:t>Year-End Guidance For New Services Increased Substantially</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Comcast Digital Cable Guidance Increased</w:t>
      </w:r>
    </w:p>
    <w:p>
      <w:pPr>
        <w:ind w:left="700"/>
        <w:spacing w:after="0" w:line="237" w:lineRule="auto"/>
        <w:rPr>
          <w:sz w:val="20"/>
          <w:szCs w:val="20"/>
          <w:color w:val="auto"/>
        </w:rPr>
      </w:pPr>
      <w:r>
        <w:rPr>
          <w:rFonts w:ascii="Courier New" w:cs="Courier New" w:eastAsia="Courier New" w:hAnsi="Courier New"/>
          <w:sz w:val="15"/>
          <w:szCs w:val="15"/>
          <w:color w:val="auto"/>
        </w:rPr>
        <w:t>from 2 Million to 2.2 Million Subscriptions</w:t>
      </w:r>
    </w:p>
    <w:p>
      <w:pPr>
        <w:spacing w:after="0" w:line="173"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4"/>
          <w:szCs w:val="14"/>
          <w:color w:val="auto"/>
        </w:rPr>
        <w:t>High-Speed Data Guidance Increased 27% to 950,000 Subscribers</w:t>
      </w:r>
    </w:p>
    <w:p>
      <w:pPr>
        <w:spacing w:after="0" w:line="171" w:lineRule="exact"/>
        <w:rPr>
          <w:sz w:val="20"/>
          <w:szCs w:val="20"/>
          <w:color w:val="auto"/>
        </w:rPr>
      </w:pPr>
    </w:p>
    <w:p>
      <w:pPr>
        <w:jc w:val="center"/>
        <w:ind w:right="4019"/>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QVC ACHIEVES OPERATING CASH FLOW GROWTH OF 19%</w:t>
      </w:r>
    </w:p>
    <w:p>
      <w:pPr>
        <w:sectPr>
          <w:pgSz w:w="11900" w:h="16838" w:orient="portrait"/>
          <w:cols w:equalWidth="0" w:num="1">
            <w:col w:w="9359"/>
          </w:cols>
          <w:pgMar w:left="1100" w:top="303" w:right="1440" w:bottom="1440" w:gutter="0" w:footer="0" w:header="0"/>
        </w:sectPr>
      </w:pPr>
    </w:p>
    <w:bookmarkStart w:id="2" w:name="page3"/>
    <w:bookmarkEnd w:id="2"/>
    <w:p>
      <w:pPr>
        <w:ind w:right="3399"/>
        <w:spacing w:after="0" w:line="234" w:lineRule="auto"/>
        <w:rPr>
          <w:sz w:val="20"/>
          <w:szCs w:val="20"/>
          <w:color w:val="auto"/>
        </w:rPr>
      </w:pPr>
      <w:r>
        <w:rPr>
          <w:rFonts w:ascii="Courier New" w:cs="Courier New" w:eastAsia="Courier New" w:hAnsi="Courier New"/>
          <w:sz w:val="15"/>
          <w:szCs w:val="15"/>
          <w:color w:val="auto"/>
        </w:rPr>
        <w:t>Philadelphia, PA - August 1, 2001...Comcast Corporation today reported results for the three and six months ended June 30, 2001.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Brian L. Roberts, president of Comcast Corporation said, "We are pleased to report strong growth in all of Comcast's core businesses during the second quarter. Comcast Cable's marketing and sales efforts, aggressive plant upgrades and broadband service rollouts continue to yield industry-leading penetration results and double-digit cash flow growth while maintaining strong margins. Cable's impressive growth attests to the Company's ability to rapidly integrate and upgrade acquired systems and deliver new products, while driving cash flow margins on-par with or above the industry standard."</w:t>
      </w:r>
    </w:p>
    <w:p>
      <w:pPr>
        <w:spacing w:after="0" w:line="177"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a result of strong market demand and our successful deployment strategies, we are also pleased to increase guidance on our digital cable and high speed data products. By year-end, we now anticipate having at least 2.2 million Digital Cable subscriptions and 950,000 high-speed data subscribers."</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Mr. Roberts added, "Our Commerce and Content results are equally exciting. QVC again delivered outstanding results, with consolidated revenue growth of nearly 14% and consolidated operating cash flow growth of over 24% before start-up costs for QVC-Japan, our most recent new market entry. Our content businesses also generated double-digit revenue and cash flow growth, continuing to attract larger audiences."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Division Results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 forma cable division revenues for the quarter ended June 30, 2001 were $1.285 billion, representing a 9.7% increase from the $1.171 billion in the second quarter of 2000. Pro forma operating cash flow for the quarter was $561.7 million, an increase of 13.0% over the $497.1 million for the same period of 2000. Pro forma cable results for the second quarter assume that the Prime acquisition, completed on August 1, 2000, the cable systems exchanges with AT&amp;T Corp. and Adelphia Communications Corp. completed on December 31, 2000 and on January 1, 2001, respectively, and the acquisition of 585,000 cable subscribers from AT&amp;T completed on April 30, 2001 were effective on January 1, 2000. Pro forma results exclude the acquisition of approximately 112,000 cable subscribers from AT&amp;T completed on June 30, 2001.</w:t>
      </w:r>
    </w:p>
    <w:p>
      <w:pPr>
        <w:spacing w:after="0" w:line="18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Cable subscribers grew to 8.307 million, a twelve-month trailing growth rate of 1%. Continuing strong demand for Comcast Digital Cable contributed to a 6.7% increase in pro forma video revenues in the second quarter. High-speed data service revenue more than doubled over the second quarter of 2000. Pro forma advertising revenues grew 9.9% as the ongoing success of Comcast MarketLink, our regional fiber interconnects, in attracting new advertising business helped offset a generally weak advertising environment. Operating cash flow margins improved to 43.7% from 42.5% reflecting the successful integration and improved operating performance of recently acquired cable properties.</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792" w:right="1440" w:bottom="1440" w:gutter="0" w:footer="0" w:header="0"/>
        </w:sectPr>
      </w:pPr>
    </w:p>
    <w:bookmarkStart w:id="3" w:name="page4"/>
    <w:bookmarkEnd w:id="3"/>
    <w:p>
      <w:pPr>
        <w:ind w:right="3399"/>
        <w:spacing w:after="0" w:line="256" w:lineRule="auto"/>
        <w:rPr>
          <w:sz w:val="20"/>
          <w:szCs w:val="20"/>
          <w:color w:val="auto"/>
        </w:rPr>
      </w:pPr>
      <w:r>
        <w:rPr>
          <w:rFonts w:ascii="Courier New" w:cs="Courier New" w:eastAsia="Courier New" w:hAnsi="Courier New"/>
          <w:sz w:val="14"/>
          <w:szCs w:val="14"/>
          <w:color w:val="auto"/>
        </w:rPr>
        <w:t>Mr. Roberts said, "The cable division continues to deliver terrific operating performance and growth, even as we integrate new cable systems and continue to make significant investments in our cable infrastructure. During the second quarter, we maintained our aggressive rebuild plan that will result in 95% of all our systems being upgraded by the end of this year."</w:t>
      </w:r>
    </w:p>
    <w:p>
      <w:pPr>
        <w:spacing w:after="0" w:line="163"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The cable division added 200,900 Digital Cable subscriptions in the second quarter, a weekly average of approximately 15,500 to finish the quarter with</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1.84 million Digital Cable units and a subscription penetration rate of nearly 23%. During the quarter, the cable division added more than 390,800 digital-ready subscribers to the Comcast Digital Cable footprint; this service is now available to nearly 97% of Comcast's cable subscribers.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During the quarter, the cable division added 101,300 Comcast@Home customers, a weekly average of approximately 7,800 net additions. At quarter end, 8.0 million homes, or nearly 60% of the homes in Comcast's footprint were marketed the Comcast@Home high-speed Internet service.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Commerce: QVC</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QVC's consolidated revenues for the quarter ended June 30, 2001 were $876.0 million, representing a 13.7% increase from the $770.6 million reported in the second quarter of 2000. Consolidated operating cash flow for the quarter was $159.8 million, an increase of 19.3% over the $134.0 million reported in the prior year quarter. Excluding the results of QVC-Japan, consolidated operating cash flow increased 24.1% to $166.4 million.</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Mr. Roberts said, "QVC's domestic business increased revenue by 15% and continued to drive sustainable improvements in productivity that resulted in operating cash flow growth of nearly 23% and cash flow margin expansion from 20.6% to 22.0%."</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Comcast's content businesses include E! Networks, Comcast-Spectacor, Home Team Sports, acquired on February 14, 2001, and The Golf Channel, consolidated effective June 2001, when Comcast increased its equity ownership to 91%. Pro forma results assume that the Home Team Sports acquisition and the consolidation of The Golf Channel occurred on January 1, 2000.</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Solid growth in carriage continued to drive the results of E! Networks and The Golf Channel, contributing to double-digit increases in revenue and operating cash flow for both cable networks. As a whole, Comcast's content business segment reported pro forma revenue and operating cash flow growth of 15.0% and 21.1%, respectively, in the second quarter.</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Business Communications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Company's business communications results include the operating results of new initiatives in both the U.S. and Europe.</w:t>
      </w:r>
    </w:p>
    <w:p>
      <w:pPr>
        <w:spacing w:after="0" w:line="173"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Comcast Business Communications (CBC) reported revenues of $9.6 million and an operating cash flow loss of $15.9 million in the second quarter as it continued to build out its network in central and northern New Jersey and Philadelphia.</w:t>
      </w:r>
    </w:p>
    <w:p>
      <w:pPr>
        <w:spacing w:after="0" w:line="1"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CBC has been established to further leverage Comcast's domestic cable infrastructure by providing a complete voice, data and Internet service bundle to small and medium-sized businesses in eight key markets served by Comcast Cable.</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Financials</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For the three months ended June 30, 2001, the Company reported consolidated revenues of $2.299 billion, a 20.2% increase from the $1.912 billion reported in the second quarter of 2000. Consolidated operating cash flow increased 16.2% to $700.4 million from the $602.8 million reported in the second quarter of 2000. The Company's consolidated results include the Prime acquisition, completed on August 1, 2000, the cable systems exchanges with AT&amp;T Corp. and Adelphia Communications Corp. completed on December 31, 2000 and on January 1, 2001, respectively, the acquisition of 585,000 cable subscribers from AT&amp;T completed on April 30, 2001, the acquisition of Home Team Sports on February 14, 2001, and the consolidation of The Golf Channel as of June, 2001. Pro forma results assume that all acquisitions and exchanges were effective on January 1, 2000. Pro forma results exclude the acquisition of approximately 112,000 cable subscribers from AT&amp;T completed on June 30, 2001 although these assets are included in the Company's balance sheet. On a pro forma basis, and excluding the effects of the Company's new business communications initiatives, the Company's consolidated revenues and operating cash flow for the quarter ended June 30, 2001 increased 11.4% and 16.0%, respectively, over the second quarter of 2000.</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six months ended June 30, 2001, the Company reported consolidated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revenues of $4.495 billion, a 16.7% increase from the $3.851 billion reported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first half of 2000. Consolidated operating cash flow increased 12.7% to</w:t>
      </w:r>
    </w:p>
    <w:p>
      <w:pPr>
        <w:spacing w:after="0" w:line="237" w:lineRule="auto"/>
        <w:rPr>
          <w:sz w:val="20"/>
          <w:szCs w:val="20"/>
          <w:color w:val="auto"/>
        </w:rPr>
      </w:pPr>
      <w:r>
        <w:rPr>
          <w:rFonts w:ascii="Courier New" w:cs="Courier New" w:eastAsia="Courier New" w:hAnsi="Courier New"/>
          <w:sz w:val="15"/>
          <w:szCs w:val="15"/>
          <w:color w:val="auto"/>
        </w:rPr>
        <w:t>$1.341 billion from the $1.190 billion reported for the six months ended June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2000. On a pro forma basis, and excluding the effects of the Company's new</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communications initiatives, the Company's consolidated revenues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operating cash flow for the six months ended June 30, 2001 increased 10.0%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14.7%, respectively, over the same 2000 period.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Financial Guidance: 2001</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Comcast is reiterating 2001 revenue and cash flow growth guidance for its cable, commerce and content operations and its new business communications initiatives. Comcast is increasing its guidance for cable new service units and cable capital expenditures as follows:</w:t>
      </w:r>
    </w:p>
    <w:p>
      <w:pPr>
        <w:spacing w:after="0" w:line="175" w:lineRule="exact"/>
        <w:rPr>
          <w:sz w:val="20"/>
          <w:szCs w:val="20"/>
          <w:color w:val="auto"/>
        </w:rPr>
      </w:pPr>
    </w:p>
    <w:p>
      <w:pPr>
        <w:ind w:left="800" w:right="3399" w:hanging="790"/>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expects to have 2.2 million Digital Cable subscriptions at year-end 2001, up from previous guidance of 2.0 million Digital Cable subscriptions.</w:t>
      </w:r>
    </w:p>
    <w:p>
      <w:pPr>
        <w:spacing w:after="0" w:line="5" w:lineRule="exact"/>
        <w:rPr>
          <w:rFonts w:ascii="Courier New" w:cs="Courier New" w:eastAsia="Courier New" w:hAnsi="Courier New"/>
          <w:sz w:val="15"/>
          <w:szCs w:val="15"/>
          <w:color w:val="auto"/>
        </w:rPr>
      </w:pPr>
    </w:p>
    <w:p>
      <w:pPr>
        <w:ind w:left="800" w:right="3679" w:hanging="790"/>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Cable expects to have 950,000 Comcast@Home high-speed data customers at year-end 2001, up from previous guidance of 750,000 customers.</w:t>
      </w:r>
    </w:p>
    <w:p>
      <w:pPr>
        <w:spacing w:after="0" w:line="173" w:lineRule="exact"/>
        <w:rPr>
          <w:rFonts w:ascii="Courier New" w:cs="Courier New" w:eastAsia="Courier New" w:hAnsi="Courier New"/>
          <w:sz w:val="15"/>
          <w:szCs w:val="15"/>
          <w:color w:val="auto"/>
        </w:rPr>
      </w:pPr>
    </w:p>
    <w:p>
      <w:pPr>
        <w:ind w:left="800" w:right="3239" w:hanging="790"/>
        <w:spacing w:after="0" w:line="235" w:lineRule="auto"/>
        <w:tabs>
          <w:tab w:leader="none" w:pos="80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its accelerated rebuild program and higher Digital Cable and Comcast@Home year-end customer targets, Comcast Cable expects to invest $1.75 billion in capital expenditures in 2001, up from previous guidance of $1.45 billion.</w:t>
      </w:r>
    </w:p>
    <w:p>
      <w:pPr>
        <w:spacing w:after="0" w:line="17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This press release contains forward-looking statements. Readers are cautioned that such forward-looking statements involve risks and uncertainties that could significantly affect actual results from those expressed in any such forward-looking statements. Readers are directed to Comcast's Quarterly Report on Form 10-Q for a description of such risks and uncertainties.</w:t>
      </w:r>
    </w:p>
    <w:p>
      <w:pPr>
        <w:spacing w:after="0" w:line="16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Comcast Corporation will hold its quarterly conference call with investors today, August 1, 2001, at 4:30 p.m. Eastern Time (ET). The call will be broadcast live via the Internet at www.cmcsk.com. The slide presentation referenced during the conference call will be available at www.cmcsk.com shortly before 4:30 p.m. A recording of the call will be available on the Company's website from 8 p.m. ET on August 1, 2001 through midnight ET on August 8, 2001.</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addition, the conference call is available by dialing (847) 413-3149. A telephone replay will begin immediately following the call until August 2, 2001 at midnight ET. To access the rebroadcast, please dial (630) 652-3000 and enter code 4403651.</w:t>
      </w:r>
    </w:p>
    <w:p>
      <w:pPr>
        <w:spacing w:after="0" w:line="17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To automatically receive Comcast financial news by email, please visit www.cmcsk.com and subscribe to e-mail Alerts.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Comcast Corporation (www.comcast.com) is principally involved in the development, management and operation of broadband cable networks, and in the provision of electronic commerce and programming content. Comcast Cable is the third largest cable company in the United States serving more than 8.4 million cable subscribers. Comcast's commerce and content businesses include majority ownership of QVC, Comcast-Spectacor, Comcast SportsNet and The Golf Channel, a controlling interest in E! Networks, and other programming investments. Comcast's Class A Special and Class A Common Stock are traded on The Nasdaq Stock Market under the symbols CMCSK and CMCSA, respectively.</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53"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5860" w:type="dxa"/>
            <w:vAlign w:val="bottom"/>
          </w:tcPr>
          <w:p>
            <w:pPr>
              <w:jc w:val="center"/>
              <w:ind w:left="4927"/>
              <w:spacing w:after="0"/>
              <w:rPr>
                <w:sz w:val="20"/>
                <w:szCs w:val="20"/>
                <w:color w:val="auto"/>
              </w:rPr>
            </w:pPr>
            <w:r>
              <w:rPr>
                <w:rFonts w:ascii="Courier New" w:cs="Courier New" w:eastAsia="Courier New" w:hAnsi="Courier New"/>
                <w:sz w:val="15"/>
                <w:szCs w:val="15"/>
                <w:color w:val="auto"/>
                <w:w w:val="97"/>
              </w:rPr>
              <w:t>COMCAST.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8320" w:type="dxa"/>
            <w:vAlign w:val="bottom"/>
            <w:gridSpan w:val="3"/>
          </w:tcPr>
          <w:p>
            <w:pPr>
              <w:jc w:val="center"/>
              <w:ind w:left="2467"/>
              <w:spacing w:after="0"/>
              <w:rPr>
                <w:sz w:val="20"/>
                <w:szCs w:val="20"/>
                <w:color w:val="auto"/>
              </w:rPr>
            </w:pPr>
            <w:r>
              <w:rPr>
                <w:rFonts w:ascii="Courier New" w:cs="Courier New" w:eastAsia="Courier New" w:hAnsi="Courier New"/>
                <w:sz w:val="15"/>
                <w:szCs w:val="15"/>
                <w:color w:val="auto"/>
                <w:w w:val="96"/>
              </w:rPr>
              <w:t>Condensed Consolidated Statement of Operations (Unaudited)</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7100" w:type="dxa"/>
            <w:vAlign w:val="bottom"/>
            <w:gridSpan w:val="2"/>
          </w:tcPr>
          <w:p>
            <w:pPr>
              <w:jc w:val="center"/>
              <w:ind w:left="3687"/>
              <w:spacing w:after="0" w:line="168" w:lineRule="exact"/>
              <w:rPr>
                <w:sz w:val="20"/>
                <w:szCs w:val="20"/>
                <w:color w:val="auto"/>
              </w:rPr>
            </w:pPr>
            <w:r>
              <w:rPr>
                <w:rFonts w:ascii="Courier New" w:cs="Courier New" w:eastAsia="Courier New" w:hAnsi="Courier New"/>
                <w:sz w:val="15"/>
                <w:szCs w:val="15"/>
                <w:color w:val="auto"/>
                <w:w w:val="96"/>
              </w:rPr>
              <w:t>(in millions, except per share data)</w:t>
            </w: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336"/>
        </w:trPr>
        <w:tc>
          <w:tcPr>
            <w:tcW w:w="5860" w:type="dxa"/>
            <w:vAlign w:val="bottom"/>
          </w:tcPr>
          <w:p>
            <w:pPr>
              <w:spacing w:after="0"/>
              <w:rPr>
                <w:sz w:val="24"/>
                <w:szCs w:val="24"/>
                <w:color w:val="auto"/>
              </w:rPr>
            </w:pPr>
          </w:p>
        </w:tc>
        <w:tc>
          <w:tcPr>
            <w:tcW w:w="24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Three Months Ended</w:t>
            </w:r>
          </w:p>
        </w:tc>
        <w:tc>
          <w:tcPr>
            <w:tcW w:w="23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12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2001</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2000</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Service revenues</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$1,422.5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$1,141.5</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$2,734.6</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$2,259.4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876.0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1,760.0</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1,591.6</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2,298.5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1,912.1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4,494.6</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3,851.0</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Cost of goods sold from electronic retailing</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555.2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488.2</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1,111.8</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1,015.2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 expenses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1,042.9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2,041.5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1,646.1</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602.8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1,341.3</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1,189.7</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Depreciation expense</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250.9</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204.8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472.2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376.7</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1,102.9</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803.4</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(loss)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(133.3)</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(233.8)</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(176.2)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(163.2)</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(358.5)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(331.8)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314.8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(expense) related to indexed debt</w:t>
            </w:r>
          </w:p>
        </w:tc>
        <w:tc>
          <w:tcPr>
            <w:tcW w:w="124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289.5</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1,187.9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1,540.2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217.0</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Income before income taxes, minority interest,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 and cumulative effect of accounting change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1,306.4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226.6</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(103.8)</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(589.4)</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(153.3)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(36.9)</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198.8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653.4</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Extraordinary items</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384.5</w:t>
            </w:r>
          </w:p>
        </w:tc>
        <w:tc>
          <w:tcPr>
            <w:tcW w:w="1140" w:type="dxa"/>
            <w:vAlign w:val="bottom"/>
          </w:tcPr>
          <w:p>
            <w:pPr>
              <w:spacing w:after="0"/>
              <w:rPr>
                <w:sz w:val="24"/>
                <w:szCs w:val="24"/>
                <w:color w:val="auto"/>
              </w:rPr>
            </w:pP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187.7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Preferred dividends</w:t>
            </w:r>
          </w:p>
        </w:tc>
        <w:tc>
          <w:tcPr>
            <w:tcW w:w="1240" w:type="dxa"/>
            <w:vAlign w:val="bottom"/>
          </w:tcPr>
          <w:p>
            <w:pPr>
              <w:spacing w:after="0"/>
              <w:rPr>
                <w:sz w:val="24"/>
                <w:szCs w:val="24"/>
                <w:color w:val="auto"/>
              </w:rPr>
            </w:pP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c>
          <w:tcPr>
            <w:tcW w:w="1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for common stockholders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$1,036.4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Basic earnings (loss) for common stockholders per common share</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 effect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$0.21</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$0.69</w:t>
            </w:r>
          </w:p>
        </w:tc>
        <w:tc>
          <w:tcPr>
            <w:tcW w:w="11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2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1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Basic weighted average number of common shares outstanding</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951.1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909.8</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948.2</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Diluted earnings (loss) for common stockholders per common share</w:t>
            </w: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before extraordinary items and cumulative effect</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8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of accounting change</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$0.67</w:t>
            </w:r>
          </w:p>
        </w:tc>
        <w:tc>
          <w:tcPr>
            <w:tcW w:w="1140" w:type="dxa"/>
            <w:vAlign w:val="bottom"/>
          </w:tcPr>
          <w:p>
            <w:pPr>
              <w:spacing w:after="0"/>
              <w:rPr>
                <w:sz w:val="14"/>
                <w:szCs w:val="14"/>
                <w:color w:val="auto"/>
              </w:rPr>
            </w:pP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24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c>
          <w:tcPr>
            <w:tcW w:w="12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w:t>
            </w:r>
          </w:p>
        </w:tc>
        <w:tc>
          <w:tcPr>
            <w:tcW w:w="1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0.40</w:t>
            </w:r>
          </w:p>
        </w:tc>
        <w:tc>
          <w:tcPr>
            <w:tcW w:w="11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Diluted weighted average number of common shares outstanding</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965.6</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974.7</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965.3</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586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680"/>
          </w:cols>
          <w:pgMar w:left="220" w:top="1122" w:right="999" w:bottom="1440" w:gutter="0" w:footer="0" w:header="0"/>
        </w:sectPr>
      </w:pPr>
    </w:p>
    <w:bookmarkStart w:id="7" w:name="page8"/>
    <w:bookmarkEnd w:id="7"/>
    <w:p>
      <w:pPr>
        <w:jc w:val="center"/>
        <w:ind w:right="239"/>
        <w:spacing w:after="0"/>
        <w:rPr>
          <w:sz w:val="20"/>
          <w:szCs w:val="20"/>
          <w:color w:val="auto"/>
        </w:rPr>
      </w:pPr>
      <w:r>
        <w:rPr>
          <w:rFonts w:ascii="Courier New" w:cs="Courier New" w:eastAsia="Courier New" w:hAnsi="Courier New"/>
          <w:sz w:val="15"/>
          <w:szCs w:val="15"/>
          <w:color w:val="auto"/>
        </w:rPr>
        <w:t>Comcast.</w:t>
      </w:r>
    </w:p>
    <w:p>
      <w:pPr>
        <w:jc w:val="center"/>
        <w:ind w:right="239"/>
        <w:spacing w:after="0" w:line="237" w:lineRule="auto"/>
        <w:rPr>
          <w:sz w:val="20"/>
          <w:szCs w:val="20"/>
          <w:color w:val="auto"/>
        </w:rPr>
      </w:pPr>
      <w:r>
        <w:rPr>
          <w:rFonts w:ascii="Courier New" w:cs="Courier New" w:eastAsia="Courier New" w:hAnsi="Courier New"/>
          <w:sz w:val="15"/>
          <w:szCs w:val="15"/>
          <w:color w:val="auto"/>
        </w:rPr>
        <w:t>Condensed Consolidated Balance Sheet (Unaudited)</w:t>
      </w:r>
    </w:p>
    <w:tbl>
      <w:tblPr>
        <w:tblLayout w:type="fixed"/>
        <w:tblInd w:w="0" w:type="dxa"/>
        <w:tblCellMar>
          <w:top w:w="0" w:type="dxa"/>
          <w:left w:w="0" w:type="dxa"/>
          <w:bottom w:w="0" w:type="dxa"/>
          <w:right w:w="0" w:type="dxa"/>
        </w:tblCellMar>
      </w:tblPr>
      <w:tr>
        <w:trPr>
          <w:trHeight w:val="169"/>
        </w:trPr>
        <w:tc>
          <w:tcPr>
            <w:tcW w:w="4340" w:type="dxa"/>
            <w:vAlign w:val="bottom"/>
          </w:tcPr>
          <w:p>
            <w:pPr>
              <w:spacing w:after="0"/>
              <w:rPr>
                <w:sz w:val="14"/>
                <w:szCs w:val="14"/>
                <w:color w:val="auto"/>
              </w:rPr>
            </w:pPr>
          </w:p>
        </w:tc>
        <w:tc>
          <w:tcPr>
            <w:tcW w:w="4060" w:type="dxa"/>
            <w:vAlign w:val="bottom"/>
          </w:tcPr>
          <w:p>
            <w:pPr>
              <w:jc w:val="right"/>
              <w:ind w:right="2807"/>
              <w:spacing w:after="0" w:line="169" w:lineRule="exact"/>
              <w:rPr>
                <w:sz w:val="20"/>
                <w:szCs w:val="20"/>
                <w:color w:val="auto"/>
              </w:rPr>
            </w:pPr>
            <w:r>
              <w:rPr>
                <w:rFonts w:ascii="Courier New" w:cs="Courier New" w:eastAsia="Courier New" w:hAnsi="Courier New"/>
                <w:sz w:val="15"/>
                <w:szCs w:val="15"/>
                <w:color w:val="auto"/>
                <w:w w:val="99"/>
              </w:rPr>
              <w:t>(in millions)</w:t>
            </w:r>
          </w:p>
        </w:tc>
        <w:tc>
          <w:tcPr>
            <w:tcW w:w="1500" w:type="dxa"/>
            <w:vAlign w:val="bottom"/>
          </w:tcPr>
          <w:p>
            <w:pPr>
              <w:spacing w:after="0"/>
              <w:rPr>
                <w:sz w:val="14"/>
                <w:szCs w:val="14"/>
                <w:color w:val="auto"/>
              </w:rPr>
            </w:pPr>
          </w:p>
        </w:tc>
      </w:tr>
      <w:tr>
        <w:trPr>
          <w:trHeight w:val="336"/>
        </w:trPr>
        <w:tc>
          <w:tcPr>
            <w:tcW w:w="4340" w:type="dxa"/>
            <w:vAlign w:val="bottom"/>
          </w:tcPr>
          <w:p>
            <w:pPr>
              <w:spacing w:after="0"/>
              <w:rPr>
                <w:sz w:val="24"/>
                <w:szCs w:val="24"/>
                <w:color w:val="auto"/>
              </w:rPr>
            </w:pPr>
          </w:p>
        </w:tc>
        <w:tc>
          <w:tcPr>
            <w:tcW w:w="40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June 30,</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2001</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36"/>
        </w:trPr>
        <w:tc>
          <w:tcPr>
            <w:tcW w:w="4340" w:type="dxa"/>
            <w:vAlign w:val="bottom"/>
          </w:tcPr>
          <w:p>
            <w:pPr>
              <w:ind w:left="620"/>
              <w:spacing w:after="0"/>
              <w:rPr>
                <w:sz w:val="20"/>
                <w:szCs w:val="20"/>
                <w:color w:val="auto"/>
              </w:rPr>
            </w:pPr>
            <w:r>
              <w:rPr>
                <w:rFonts w:ascii="Courier New" w:cs="Courier New" w:eastAsia="Courier New" w:hAnsi="Courier New"/>
                <w:sz w:val="15"/>
                <w:szCs w:val="15"/>
                <w:color w:val="auto"/>
              </w:rPr>
              <w:t>Cash and cash equivalents</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$745.9</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$651.5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Investments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1,928.7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3,059.7</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receivable,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828.8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891.9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438.5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186.3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4,161.5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5,144.4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INVESTMENTS</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2,844.6</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2,661.9</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PROPERTY AND EQUIPMENT</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8,290.6</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6,799.2</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4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(1,818.3)</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6,472.3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5,202.7</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DEFERRED CHARGES</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30,434.5</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26,865.9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40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(5,272.2)</w:t>
            </w:r>
          </w:p>
        </w:tc>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(4,130.4)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25,162.3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22,735.5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4"/>
                <w:szCs w:val="24"/>
                <w:color w:val="auto"/>
              </w:rPr>
            </w:pP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$38,640.7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$35,744.5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40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$3,116.0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$2,852.9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Accrued interest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143.3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789.9</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548.0</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293.9</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4,033.1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4,042.2</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LONG-TERM DEBT, less current portion</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11,450.7</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10,517.4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6,426.2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5,786.7</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MINORITY INTEREST &amp; OTHER</w:t>
            </w:r>
          </w:p>
        </w:tc>
        <w:tc>
          <w:tcPr>
            <w:tcW w:w="4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1,670.2</w:t>
            </w: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1,257.2</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ind w:left="360"/>
              <w:spacing w:after="0"/>
              <w:rPr>
                <w:sz w:val="20"/>
                <w:szCs w:val="20"/>
                <w:color w:val="auto"/>
              </w:rPr>
            </w:pPr>
            <w:r>
              <w:rPr>
                <w:rFonts w:ascii="Courier New" w:cs="Courier New" w:eastAsia="Courier New" w:hAnsi="Courier New"/>
                <w:sz w:val="15"/>
                <w:szCs w:val="15"/>
                <w:color w:val="auto"/>
              </w:rPr>
              <w:t>COMMON EQUITY PUT OPTIONS</w:t>
            </w:r>
          </w:p>
        </w:tc>
        <w:tc>
          <w:tcPr>
            <w:tcW w:w="4060" w:type="dxa"/>
            <w:vAlign w:val="bottom"/>
          </w:tcPr>
          <w:p>
            <w:pPr>
              <w:spacing w:after="0"/>
              <w:rPr>
                <w:sz w:val="24"/>
                <w:szCs w:val="24"/>
                <w:color w:val="auto"/>
              </w:rPr>
            </w:pPr>
          </w:p>
        </w:tc>
        <w:tc>
          <w:tcPr>
            <w:tcW w:w="15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54.6</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40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7"/>
              </w:rPr>
              <w:t>5.25% series B convertible preferred stock</w:t>
            </w:r>
          </w:p>
        </w:tc>
        <w:tc>
          <w:tcPr>
            <w:tcW w:w="4060" w:type="dxa"/>
            <w:vAlign w:val="bottom"/>
          </w:tcPr>
          <w:p>
            <w:pPr>
              <w:spacing w:after="0"/>
              <w:rPr>
                <w:sz w:val="14"/>
                <w:szCs w:val="14"/>
                <w:color w:val="auto"/>
              </w:rPr>
            </w:pP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A special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914.2</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908.0</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A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Class B common stock</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9.4</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11,747.5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11,598.8</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2,075.8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1,056.5</w:t>
            </w:r>
          </w:p>
        </w:tc>
      </w:tr>
      <w:tr>
        <w:trPr>
          <w:trHeight w:val="168"/>
        </w:trPr>
        <w:tc>
          <w:tcPr>
            <w:tcW w:w="4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other comprehensive income</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432.4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15,060.5</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14,086.4</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$38,640.7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$35,744.5</w:t>
            </w:r>
          </w:p>
        </w:tc>
      </w:tr>
      <w:tr>
        <w:trPr>
          <w:trHeight w:val="168"/>
        </w:trPr>
        <w:tc>
          <w:tcPr>
            <w:tcW w:w="4340" w:type="dxa"/>
            <w:vAlign w:val="bottom"/>
          </w:tcPr>
          <w:p>
            <w:pPr>
              <w:spacing w:after="0"/>
              <w:rPr>
                <w:sz w:val="14"/>
                <w:szCs w:val="14"/>
                <w:color w:val="auto"/>
              </w:rPr>
            </w:pPr>
          </w:p>
        </w:tc>
        <w:tc>
          <w:tcPr>
            <w:tcW w:w="4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785" w:right="1440" w:bottom="1440" w:gutter="0" w:footer="0" w:header="0"/>
        </w:sectPr>
      </w:pPr>
    </w:p>
    <w:bookmarkStart w:id="8" w:name="page9"/>
    <w:bookmarkEnd w:id="8"/>
    <w:p>
      <w:pPr>
        <w:jc w:val="center"/>
        <w:ind w:right="680"/>
        <w:spacing w:after="0"/>
        <w:rPr>
          <w:sz w:val="20"/>
          <w:szCs w:val="20"/>
          <w:color w:val="auto"/>
        </w:rPr>
      </w:pPr>
      <w:r>
        <w:rPr>
          <w:rFonts w:ascii="Courier New" w:cs="Courier New" w:eastAsia="Courier New" w:hAnsi="Courier New"/>
          <w:sz w:val="15"/>
          <w:szCs w:val="15"/>
          <w:color w:val="auto"/>
        </w:rPr>
        <w:t>Comcast.</w:t>
      </w:r>
    </w:p>
    <w:p>
      <w:pPr>
        <w:jc w:val="center"/>
        <w:ind w:right="680"/>
        <w:spacing w:after="0" w:line="237" w:lineRule="auto"/>
        <w:rPr>
          <w:sz w:val="20"/>
          <w:szCs w:val="20"/>
          <w:color w:val="auto"/>
        </w:rPr>
      </w:pPr>
      <w:r>
        <w:rPr>
          <w:rFonts w:ascii="Courier New" w:cs="Courier New" w:eastAsia="Courier New" w:hAnsi="Courier New"/>
          <w:sz w:val="15"/>
          <w:szCs w:val="15"/>
          <w:color w:val="auto"/>
        </w:rPr>
        <w:t>Pro Forma Financial Data by Business Segment (Unaudited) (1)</w:t>
      </w:r>
    </w:p>
    <w:tbl>
      <w:tblPr>
        <w:tblLayout w:type="fixed"/>
        <w:tblInd w:w="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3580" w:type="dxa"/>
            <w:vAlign w:val="bottom"/>
            <w:gridSpan w:val="3"/>
          </w:tcPr>
          <w:p>
            <w:pPr>
              <w:jc w:val="right"/>
              <w:ind w:right="267"/>
              <w:spacing w:after="0" w:line="169" w:lineRule="exact"/>
              <w:rPr>
                <w:sz w:val="20"/>
                <w:szCs w:val="20"/>
                <w:color w:val="auto"/>
              </w:rPr>
            </w:pPr>
            <w:r>
              <w:rPr>
                <w:rFonts w:ascii="Courier New" w:cs="Courier New" w:eastAsia="Courier New" w:hAnsi="Courier New"/>
                <w:sz w:val="15"/>
                <w:szCs w:val="15"/>
                <w:color w:val="auto"/>
              </w:rPr>
              <w:t>(in millions, except margin data)</w:t>
            </w:r>
          </w:p>
        </w:tc>
        <w:tc>
          <w:tcPr>
            <w:tcW w:w="1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6"/>
        </w:trPr>
        <w:tc>
          <w:tcPr>
            <w:tcW w:w="3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(4)</w:t>
            </w: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rPr>
                <w:sz w:val="14"/>
                <w:szCs w:val="14"/>
                <w:color w:val="auto"/>
              </w:rPr>
            </w:pPr>
          </w:p>
        </w:tc>
        <w:tc>
          <w:tcPr>
            <w:tcW w:w="1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w:t>
            </w:r>
          </w:p>
        </w:tc>
        <w:tc>
          <w:tcPr>
            <w:tcW w:w="110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w:t>
            </w:r>
          </w:p>
        </w:tc>
        <w:tc>
          <w:tcPr>
            <w:tcW w:w="15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Business</w:t>
            </w:r>
          </w:p>
        </w:tc>
        <w:tc>
          <w:tcPr>
            <w:tcW w:w="11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w:t>
            </w:r>
          </w:p>
        </w:tc>
        <w:tc>
          <w:tcPr>
            <w:tcW w:w="1060" w:type="dxa"/>
            <w:vAlign w:val="bottom"/>
          </w:tcPr>
          <w:p>
            <w:pPr>
              <w:spacing w:after="0"/>
              <w:rPr>
                <w:sz w:val="14"/>
                <w:szCs w:val="14"/>
                <w:color w:val="auto"/>
              </w:rPr>
            </w:pPr>
          </w:p>
        </w:tc>
      </w:tr>
      <w:tr>
        <w:trPr>
          <w:trHeight w:val="168"/>
        </w:trPr>
        <w:tc>
          <w:tcPr>
            <w:tcW w:w="316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Commerce</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Content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Communications</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160" w:type="dxa"/>
            <w:vAlign w:val="bottom"/>
          </w:tcPr>
          <w:p>
            <w:pPr>
              <w:spacing w:after="0"/>
              <w:rPr>
                <w:sz w:val="14"/>
                <w:szCs w:val="14"/>
                <w:color w:val="auto"/>
              </w:rPr>
            </w:pPr>
          </w:p>
        </w:tc>
        <w:tc>
          <w:tcPr>
            <w:tcW w:w="15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$1,284.8</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$876.0</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$201.0</w:t>
            </w:r>
          </w:p>
        </w:tc>
        <w:tc>
          <w:tcPr>
            <w:tcW w:w="15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$9.6</w:t>
            </w:r>
          </w:p>
        </w:tc>
        <w:tc>
          <w:tcPr>
            <w:tcW w:w="11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($20.6)</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$2,350.8</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$561.7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$720.1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27.7%</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(404.2)%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$511.6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$77.0</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(7)</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$8,043.4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$440.8</w:t>
            </w:r>
          </w:p>
        </w:tc>
        <w:tc>
          <w:tcPr>
            <w:tcW w:w="150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$3,100.8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$11,998.7</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$174.8</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$2,112.7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$46.0</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$645.1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$318.9</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Debt (7)</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$6,063.6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$402.2</w:t>
            </w:r>
          </w:p>
        </w:tc>
        <w:tc>
          <w:tcPr>
            <w:tcW w:w="1500" w:type="dxa"/>
            <w:vAlign w:val="bottom"/>
          </w:tcPr>
          <w:p>
            <w:pPr>
              <w:spacing w:after="0"/>
              <w:rPr>
                <w:sz w:val="14"/>
                <w:szCs w:val="14"/>
                <w:color w:val="auto"/>
              </w:rPr>
            </w:pP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$3,372.9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$10,365.5</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$2,507.1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$19.1</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$4,665.7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$1,082.2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$332.5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$103.7</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$1,402.3</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(386.4)%</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$949.3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$115.5</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$1,158.9</w:t>
            </w:r>
          </w:p>
        </w:tc>
      </w:tr>
      <w:tr>
        <w:trPr>
          <w:trHeight w:val="336"/>
        </w:trPr>
        <w:tc>
          <w:tcPr>
            <w:tcW w:w="3160" w:type="dxa"/>
            <w:vAlign w:val="bottom"/>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Revenues</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$2,297.4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$362.6</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$19.7</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$4,243.4</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(Deficit)</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$966.6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$87.3</w:t>
            </w:r>
          </w:p>
        </w:tc>
        <w:tc>
          <w:tcPr>
            <w:tcW w:w="15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w:t>
            </w:r>
          </w:p>
        </w:tc>
        <w:tc>
          <w:tcPr>
            <w:tcW w:w="11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$1,272.7</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Margin</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w:t>
            </w:r>
          </w:p>
        </w:tc>
        <w:tc>
          <w:tcPr>
            <w:tcW w:w="15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(71.6)%</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NM</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16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(6)</w:t>
            </w:r>
          </w:p>
        </w:tc>
        <w:tc>
          <w:tcPr>
            <w:tcW w:w="1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$491.3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w:t>
            </w:r>
          </w:p>
        </w:tc>
        <w:tc>
          <w:tcPr>
            <w:tcW w:w="15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$8.3</w:t>
            </w:r>
          </w:p>
        </w:tc>
        <w:tc>
          <w:tcPr>
            <w:tcW w:w="11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$9.4</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$608.0</w:t>
            </w:r>
          </w:p>
        </w:tc>
      </w:tr>
    </w:tbl>
    <w:p>
      <w:pPr>
        <w:spacing w:after="0" w:line="173" w:lineRule="exact"/>
        <w:rPr>
          <w:sz w:val="20"/>
          <w:szCs w:val="20"/>
          <w:color w:val="auto"/>
        </w:rPr>
      </w:pPr>
    </w:p>
    <w:p>
      <w:pPr>
        <w:ind w:left="440" w:right="160" w:hanging="430"/>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presented above is not necessarily indicative of what the results would have been had the Company operated the acquired businesses and exchanged systems since the beginning of 2000. Historical financial data by business segment, as required under generally accepted accounting principles, is available in the Company's Quarterly Report on Form 10-Q.</w:t>
      </w:r>
    </w:p>
    <w:p>
      <w:pPr>
        <w:spacing w:after="0" w:line="175" w:lineRule="exact"/>
        <w:rPr>
          <w:rFonts w:ascii="Courier New" w:cs="Courier New" w:eastAsia="Courier New" w:hAnsi="Courier New"/>
          <w:sz w:val="15"/>
          <w:szCs w:val="15"/>
          <w:color w:val="auto"/>
        </w:rPr>
      </w:pPr>
    </w:p>
    <w:p>
      <w:pPr>
        <w:ind w:left="440" w:hanging="430"/>
        <w:spacing w:after="0" w:line="255"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Prime Communications LLC in August 2000. The Company completed its systems exchanges with AT&amp;T Corp. and Adelphia Communications Corp. in December 2000 and January 2001, respectively. In April 2001, the Company acquired cable systems serving 585,000 subscribers from AT&amp;T Corp. Pro forma financial data for our Cable segment is presented as if these acquisitions and systems exchanges occurred at the beginning of 2000. On June 30, 2001, the Company acquired a cable system serving approximately 112,000 subscribers in Baltimore, Maryland from AT&amp;T. Pro forma financial data by business segment excludes the effects of this acquisition for all periods presented.</w:t>
      </w:r>
    </w:p>
    <w:p>
      <w:pPr>
        <w:spacing w:after="0" w:line="166" w:lineRule="exact"/>
        <w:rPr>
          <w:rFonts w:ascii="Courier New" w:cs="Courier New" w:eastAsia="Courier New" w:hAnsi="Courier New"/>
          <w:sz w:val="14"/>
          <w:szCs w:val="14"/>
          <w:color w:val="auto"/>
        </w:rPr>
      </w:pPr>
    </w:p>
    <w:p>
      <w:pPr>
        <w:ind w:left="440" w:right="80" w:hanging="430"/>
        <w:spacing w:after="0" w:line="258" w:lineRule="auto"/>
        <w:tabs>
          <w:tab w:leader="none" w:pos="4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Content includes E! Entertainment Television, Inc. , Comcast-Spectacor, Home Team Sports and The Golf Channel. The Company acquired Home Team Sports and consolidated The Golf Channel in February 2001 and June 2001, respectively. Pro forma data for our Content segment is presented as if these events occurred at the beginning of 2000.</w:t>
      </w:r>
    </w:p>
    <w:p>
      <w:pPr>
        <w:spacing w:after="0" w:line="161" w:lineRule="exact"/>
        <w:rPr>
          <w:rFonts w:ascii="Courier New" w:cs="Courier New" w:eastAsia="Courier New" w:hAnsi="Courier New"/>
          <w:sz w:val="14"/>
          <w:szCs w:val="14"/>
          <w:color w:val="auto"/>
        </w:rPr>
      </w:pPr>
    </w:p>
    <w:p>
      <w:pPr>
        <w:ind w:left="440" w:right="440"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Communications includes the Company's domestic wireline telecommunications business and international wireless operations.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Corporate and elimination entries related to the segments presented.</w:t>
      </w:r>
    </w:p>
    <w:p>
      <w:pPr>
        <w:spacing w:after="0" w:line="172"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acquired businesses, includes capital expenditures made by the Company subsequent to the date of acquisition by the Company.</w:t>
      </w:r>
    </w:p>
    <w:p>
      <w:pPr>
        <w:spacing w:after="0" w:line="173"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debt includes both current and long-term portions as reported in the Company's condensed consolidated balance sheet.</w:t>
      </w:r>
    </w:p>
    <w:p>
      <w:pPr>
        <w:sectPr>
          <w:pgSz w:w="11900" w:h="16838" w:orient="portrait"/>
          <w:cols w:equalWidth="0" w:num="1">
            <w:col w:w="10500"/>
          </w:cols>
          <w:pgMar w:left="220" w:top="785" w:right="1179" w:bottom="1440" w:gutter="0" w:footer="0" w:header="0"/>
        </w:sectPr>
      </w:pPr>
    </w:p>
    <w:bookmarkStart w:id="9" w:name="page10"/>
    <w:bookmarkEnd w:id="9"/>
    <w:p>
      <w:pPr>
        <w:jc w:val="center"/>
        <w:ind w:right="1639"/>
        <w:spacing w:after="0"/>
        <w:rPr>
          <w:sz w:val="20"/>
          <w:szCs w:val="20"/>
          <w:color w:val="auto"/>
        </w:rPr>
      </w:pPr>
      <w:r>
        <w:rPr>
          <w:rFonts w:ascii="Courier New" w:cs="Courier New" w:eastAsia="Courier New" w:hAnsi="Courier New"/>
          <w:sz w:val="15"/>
          <w:szCs w:val="15"/>
          <w:color w:val="auto"/>
        </w:rPr>
        <w:t>Comcast.</w:t>
      </w:r>
    </w:p>
    <w:p>
      <w:pPr>
        <w:jc w:val="center"/>
        <w:ind w:right="1639"/>
        <w:spacing w:after="0" w:line="237" w:lineRule="auto"/>
        <w:rPr>
          <w:sz w:val="20"/>
          <w:szCs w:val="20"/>
          <w:color w:val="auto"/>
        </w:rPr>
      </w:pPr>
      <w:r>
        <w:rPr>
          <w:rFonts w:ascii="Courier New" w:cs="Courier New" w:eastAsia="Courier New" w:hAnsi="Courier New"/>
          <w:sz w:val="15"/>
          <w:szCs w:val="15"/>
          <w:color w:val="auto"/>
        </w:rPr>
        <w:t>Pro Forma Other Data - Cable Segment (Unaudited)(1)(2)</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9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w:t>
            </w:r>
          </w:p>
        </w:tc>
        <w:tc>
          <w:tcPr>
            <w:tcW w:w="1220" w:type="dxa"/>
            <w:vAlign w:val="bottom"/>
          </w:tcPr>
          <w:p>
            <w:pPr>
              <w:spacing w:after="0"/>
              <w:rPr>
                <w:sz w:val="14"/>
                <w:szCs w:val="14"/>
                <w:color w:val="auto"/>
              </w:rPr>
            </w:pP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Comcast</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7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Video</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Advertising</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@Home</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94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$1,089.0</w:t>
            </w:r>
          </w:p>
        </w:tc>
        <w:tc>
          <w:tcPr>
            <w:tcW w:w="12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$87.9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$64.7</w:t>
            </w: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$43.2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$1,284.8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$43.69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$3.53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$1.73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$51.55</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$1,020.8</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$39.4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$1,170.9</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$41.38</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$2,145.3</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$158.7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$119.2</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$83.9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$2,507.1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$1.69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$50.36</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$2,018.2</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$57.3</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$77.0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$2,297.4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Monthly average revenue per cable subscriber</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$40.99</w:t>
            </w:r>
          </w:p>
        </w:tc>
        <w:tc>
          <w:tcPr>
            <w:tcW w:w="12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w:t>
            </w:r>
          </w:p>
        </w:tc>
        <w:tc>
          <w:tcPr>
            <w:tcW w:w="8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$1.57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$46.66</w:t>
            </w:r>
          </w:p>
        </w:tc>
      </w:tr>
    </w:tbl>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Courier New" w:cs="Courier New" w:eastAsia="Courier New" w:hAnsi="Courier New"/>
                <w:sz w:val="15"/>
                <w:szCs w:val="15"/>
                <w:color w:val="auto"/>
                <w:w w:val="96"/>
              </w:rPr>
              <w:t>Growth</w:t>
            </w:r>
          </w:p>
        </w:tc>
        <w:tc>
          <w:tcPr>
            <w:tcW w:w="9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Growth</w:t>
            </w:r>
          </w:p>
        </w:tc>
      </w:tr>
      <w:tr>
        <w:trPr>
          <w:trHeight w:val="168"/>
        </w:trPr>
        <w:tc>
          <w:tcPr>
            <w:tcW w:w="39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2Q01</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1Q01</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2Q00</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vs. 1Q01</w:t>
            </w:r>
          </w:p>
        </w:tc>
        <w:tc>
          <w:tcPr>
            <w:tcW w:w="9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vs. 2Q00</w:t>
            </w:r>
          </w:p>
        </w:tc>
      </w:tr>
      <w:tr>
        <w:trPr>
          <w:trHeight w:val="168"/>
        </w:trPr>
        <w:tc>
          <w:tcPr>
            <w:tcW w:w="39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Cable</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Homes Passed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13,472.5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13,401.8</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13,130.8</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8,306.5</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8,314.7</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8,221.5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 including Baltimore</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acqurie 6/30/01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8,418.3</w:t>
            </w: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(0.3) pts</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NM</w:t>
            </w:r>
          </w:p>
        </w:tc>
        <w:tc>
          <w:tcPr>
            <w:tcW w:w="70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9"/>
              </w:rPr>
              <w:t>NM</w:t>
            </w:r>
          </w:p>
        </w:tc>
        <w:tc>
          <w:tcPr>
            <w:tcW w:w="2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Digital Cable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"Digital Ready" 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8,042.4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7,651.6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7,085.2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5.1%</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Subscriptions (000's) (5)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1,840.1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1,639.2</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1,038.6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77.2%</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Penetration (6)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 pts</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8.2 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Quarterly Net Subscription Additions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192.6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Subscription</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$10.79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$10.61</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$10.01</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14"/>
                <w:szCs w:val="14"/>
                <w:color w:val="auto"/>
              </w:rPr>
            </w:pP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Comcast @Home</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"Modem Ready" Homes Passed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7,955.8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7,913.0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4,969.3</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675.6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574.3</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296.9</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127.6%</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"Modem Ready" Penetration</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 pts</w:t>
            </w:r>
          </w:p>
        </w:tc>
        <w:tc>
          <w:tcPr>
            <w:tcW w:w="9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2.5 pts</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Quarterly Net Subscriber Additions (000's)</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95.0</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51.2</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97.9%</w:t>
            </w:r>
          </w:p>
        </w:tc>
        <w:tc>
          <w:tcPr>
            <w:tcW w:w="260" w:type="dxa"/>
            <w:vAlign w:val="bottom"/>
          </w:tcPr>
          <w:p>
            <w:pPr>
              <w:spacing w:after="0"/>
              <w:rPr>
                <w:sz w:val="14"/>
                <w:szCs w:val="14"/>
                <w:color w:val="auto"/>
              </w:rPr>
            </w:pP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Monthly Average Revenue per Subscriber</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$36.76</w:t>
            </w:r>
          </w:p>
        </w:tc>
        <w:tc>
          <w:tcPr>
            <w:tcW w:w="1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$41.06</w:t>
            </w:r>
          </w:p>
        </w:tc>
        <w:tc>
          <w:tcPr>
            <w:tcW w:w="11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1739" w:hanging="430"/>
        <w:spacing w:after="0" w:line="235"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presented above is not necessarily indicative of what the results would have been had the Company operated the acquired businesses and exchanged systems since the beginning of 2000.</w:t>
      </w:r>
    </w:p>
    <w:p>
      <w:pPr>
        <w:spacing w:after="0" w:line="173" w:lineRule="exact"/>
        <w:rPr>
          <w:rFonts w:ascii="Courier New" w:cs="Courier New" w:eastAsia="Courier New" w:hAnsi="Courier New"/>
          <w:sz w:val="15"/>
          <w:szCs w:val="15"/>
          <w:color w:val="auto"/>
        </w:rPr>
      </w:pPr>
    </w:p>
    <w:p>
      <w:pPr>
        <w:ind w:left="440" w:right="1739" w:hanging="430"/>
        <w:spacing w:after="0" w:line="255" w:lineRule="auto"/>
        <w:tabs>
          <w:tab w:leader="none" w:pos="4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acquired Prime Communications LLC in August 2000. The Company completed its systems exchanges with AT&amp;T Corp. and Adelphia Communications Corp. in December 2000 and January 2001, respectively. In April 2001, the Company acquired cable systems serving 585,000 subscribers from AT&amp;T Corp. Pro forma other data for our Cable segment is presented as if these acquisitions and systems exchanges occurred at the beginning of 2000. On June 30, 2001, the Company acquired a cable system serving approximately 112,000 subscribers in Baltimore, Maryland from AT&amp;T. Pro forma other data by business segment excludes the effects of this acquisition for all periods presented unless otherwise noted.</w:t>
      </w:r>
    </w:p>
    <w:p>
      <w:pPr>
        <w:spacing w:after="0" w:line="165" w:lineRule="exact"/>
        <w:rPr>
          <w:rFonts w:ascii="Courier New" w:cs="Courier New" w:eastAsia="Courier New" w:hAnsi="Courier New"/>
          <w:sz w:val="14"/>
          <w:szCs w:val="14"/>
          <w:color w:val="auto"/>
        </w:rPr>
      </w:pPr>
    </w:p>
    <w:p>
      <w:pPr>
        <w:ind w:left="440" w:right="227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Video revenues consist of our basic, expanded basic, premium, pay-per-view and digital services.</w:t>
      </w:r>
    </w:p>
    <w:p>
      <w:pPr>
        <w:spacing w:after="0" w:line="173" w:lineRule="exact"/>
        <w:rPr>
          <w:rFonts w:ascii="Courier New" w:cs="Courier New" w:eastAsia="Courier New" w:hAnsi="Courier New"/>
          <w:sz w:val="15"/>
          <w:szCs w:val="15"/>
          <w:color w:val="auto"/>
        </w:rPr>
      </w:pPr>
    </w:p>
    <w:p>
      <w:pPr>
        <w:ind w:left="440" w:right="191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Cable subscriber revenues include installation revenues, guide revenues, commissions from electronic retailing, and other product offerings.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digital converter box counts as one digital cable subscription.</w:t>
      </w:r>
    </w:p>
    <w:p>
      <w:pPr>
        <w:spacing w:after="0" w:line="172" w:lineRule="exact"/>
        <w:rPr>
          <w:rFonts w:ascii="Courier New" w:cs="Courier New" w:eastAsia="Courier New" w:hAnsi="Courier New"/>
          <w:sz w:val="15"/>
          <w:szCs w:val="15"/>
          <w:color w:val="auto"/>
        </w:rPr>
      </w:pPr>
    </w:p>
    <w:p>
      <w:pPr>
        <w:ind w:left="440" w:right="2539" w:hanging="430"/>
        <w:spacing w:after="0" w:line="234" w:lineRule="auto"/>
        <w:tabs>
          <w:tab w:leader="none" w:pos="4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Digital cable subscriptions as a percentage of "digital ready" subscribers. Certain subscribers may have multiple digital cable subscriptions.</w:t>
      </w:r>
    </w:p>
    <w:p>
      <w:pPr>
        <w:sectPr>
          <w:pgSz w:w="11900" w:h="16838" w:orient="portrait"/>
          <w:cols w:equalWidth="0" w:num="1">
            <w:col w:w="10239"/>
          </w:cols>
          <w:pgMar w:left="220" w:top="1122" w:right="1440" w:bottom="1440" w:gutter="0" w:footer="0" w:header="0"/>
        </w:sectPr>
      </w:pPr>
    </w:p>
    <w:bookmarkStart w:id="10" w:name="page11"/>
    <w:bookmarkEnd w:id="10"/>
    <w:p>
      <w:pPr>
        <w:jc w:val="center"/>
        <w:ind w:right="-259"/>
        <w:spacing w:after="0"/>
        <w:rPr>
          <w:sz w:val="20"/>
          <w:szCs w:val="20"/>
          <w:color w:val="auto"/>
        </w:rPr>
      </w:pPr>
      <w:r>
        <w:rPr>
          <w:rFonts w:ascii="Courier New" w:cs="Courier New" w:eastAsia="Courier New" w:hAnsi="Courier New"/>
          <w:sz w:val="15"/>
          <w:szCs w:val="15"/>
          <w:color w:val="auto"/>
        </w:rPr>
        <w:t>Comcast.</w:t>
      </w: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rPr>
                <w:sz w:val="14"/>
                <w:szCs w:val="14"/>
                <w:color w:val="auto"/>
              </w:rPr>
            </w:pPr>
          </w:p>
        </w:tc>
        <w:tc>
          <w:tcPr>
            <w:tcW w:w="642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Pro Forma Other Data - Commerce Segment (QVC) (Unaudited)</w:t>
            </w: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17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Base (1)</w:t>
            </w:r>
          </w:p>
        </w:tc>
        <w:tc>
          <w:tcPr>
            <w:tcW w:w="14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UK</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Germany</w:t>
            </w:r>
          </w:p>
        </w:tc>
        <w:tc>
          <w:tcPr>
            <w:tcW w:w="300" w:type="dxa"/>
            <w:vAlign w:val="bottom"/>
          </w:tcPr>
          <w:p>
            <w:pPr>
              <w:spacing w:after="0"/>
              <w:rPr>
                <w:sz w:val="24"/>
                <w:szCs w:val="24"/>
                <w:color w:val="auto"/>
              </w:rPr>
            </w:pPr>
          </w:p>
        </w:tc>
        <w:tc>
          <w:tcPr>
            <w:tcW w:w="12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Other (2)</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17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2001</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6"/>
        </w:trPr>
        <w:tc>
          <w:tcPr>
            <w:tcW w:w="1720" w:type="dxa"/>
            <w:vAlign w:val="bottom"/>
          </w:tcPr>
          <w:p>
            <w:pPr>
              <w:spacing w:after="0"/>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24"/>
                <w:szCs w:val="24"/>
                <w:color w:val="auto"/>
              </w:rPr>
            </w:pP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$756.8</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$64.0</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$41.8</w:t>
            </w:r>
          </w:p>
        </w:tc>
        <w:tc>
          <w:tcPr>
            <w:tcW w:w="300" w:type="dxa"/>
            <w:vAlign w:val="bottom"/>
          </w:tcPr>
          <w:p>
            <w:pPr>
              <w:spacing w:after="0"/>
              <w:rPr>
                <w:sz w:val="24"/>
                <w:szCs w:val="2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$876.0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(6.4)%</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pounds4.78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Three Months Ended June 30, 2000</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$657.9</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$71.5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37.0%</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$134.0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(15.8)%</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pounds5.62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2001</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$1,511.9</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$1,760.0</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28.7%</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($9.8)</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$332.5</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(3.9)%</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$21.22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pounds10.09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336"/>
        </w:trPr>
        <w:tc>
          <w:tcPr>
            <w:tcW w:w="4380" w:type="dxa"/>
            <w:vAlign w:val="bottom"/>
            <w:gridSpan w:val="2"/>
          </w:tcPr>
          <w:p>
            <w:pPr>
              <w:spacing w:after="0"/>
              <w:rPr>
                <w:sz w:val="20"/>
                <w:szCs w:val="20"/>
                <w:color w:val="auto"/>
              </w:rPr>
            </w:pPr>
            <w:r>
              <w:rPr>
                <w:rFonts w:ascii="Courier New" w:cs="Courier New" w:eastAsia="Courier New" w:hAnsi="Courier New"/>
                <w:sz w:val="15"/>
                <w:szCs w:val="15"/>
                <w:color w:val="auto"/>
              </w:rPr>
              <w:t>Six Months Ended June 30, 2000</w:t>
            </w:r>
          </w:p>
        </w:tc>
        <w:tc>
          <w:tcPr>
            <w:tcW w:w="1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Revenue (millions)</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$1,354.6</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$1,591.6</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Margin</w:t>
            </w:r>
          </w:p>
        </w:tc>
        <w:tc>
          <w:tcPr>
            <w:tcW w:w="266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c>
          <w:tcPr>
            <w:tcW w:w="30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52.8%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(Deficit) (millions)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$0.7</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$278.7</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Cash Flow</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Margin</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14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(11.5)%</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Average Homes (millions) (3)</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68.5</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300" w:type="dxa"/>
            <w:vAlign w:val="bottom"/>
          </w:tcPr>
          <w:p>
            <w:pPr>
              <w:spacing w:after="0"/>
              <w:rPr>
                <w:sz w:val="14"/>
                <w:szCs w:val="14"/>
                <w:color w:val="auto"/>
              </w:rPr>
            </w:pP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 per Average</w:t>
            </w:r>
          </w:p>
        </w:tc>
        <w:tc>
          <w:tcPr>
            <w:tcW w:w="2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Home (in local currency)</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pounds11.49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c>
          <w:tcPr>
            <w:tcW w:w="3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DM</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N/A</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N/A</w:t>
            </w:r>
          </w:p>
        </w:tc>
      </w:tr>
      <w:tr>
        <w:trPr>
          <w:trHeight w:val="168"/>
        </w:trPr>
        <w:tc>
          <w:tcPr>
            <w:tcW w:w="4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w:t>
            </w:r>
          </w:p>
        </w:tc>
        <w:tc>
          <w:tcPr>
            <w:tcW w:w="14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ind w:left="440" w:hanging="430"/>
        <w:spacing w:after="0" w:line="237"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Business includes domestic channel and iQVC.</w:t>
      </w:r>
    </w:p>
    <w:p>
      <w:pPr>
        <w:spacing w:after="0" w:line="173" w:lineRule="exact"/>
        <w:rPr>
          <w:rFonts w:ascii="Courier New" w:cs="Courier New" w:eastAsia="Courier New" w:hAnsi="Courier New"/>
          <w:sz w:val="15"/>
          <w:szCs w:val="15"/>
          <w:color w:val="auto"/>
        </w:rPr>
      </w:pPr>
    </w:p>
    <w:p>
      <w:pPr>
        <w:ind w:left="440"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domestic and international infomercial businesses, and start-up costs for QVC Japan which launched in April 2001.</w:t>
      </w:r>
    </w:p>
    <w:p>
      <w:pPr>
        <w:spacing w:after="0" w:line="173" w:lineRule="exact"/>
        <w:rPr>
          <w:rFonts w:ascii="Courier New" w:cs="Courier New" w:eastAsia="Courier New" w:hAnsi="Courier New"/>
          <w:sz w:val="15"/>
          <w:szCs w:val="15"/>
          <w:color w:val="auto"/>
        </w:rPr>
      </w:pPr>
    </w:p>
    <w:p>
      <w:pPr>
        <w:ind w:left="440" w:right="180" w:hanging="430"/>
        <w:spacing w:after="0" w:line="234" w:lineRule="auto"/>
        <w:tabs>
          <w:tab w:leader="none" w:pos="4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Note that while QVC has the potential to serve this many homes in Germany, it is estimated that only approximately 40% of the homes in Germany are programmed to receive the QVC channel.</w:t>
      </w:r>
    </w:p>
    <w:p>
      <w:pPr>
        <w:sectPr>
          <w:pgSz w:w="11900" w:h="16838" w:orient="portrait"/>
          <w:cols w:equalWidth="0" w:num="1">
            <w:col w:w="10600"/>
          </w:cols>
          <w:pgMar w:left="220" w:top="1122" w:right="107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11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Comcast.</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20" w:type="dxa"/>
            <w:vAlign w:val="bottom"/>
            <w:gridSpan w:val="3"/>
          </w:tcPr>
          <w:p>
            <w:pPr>
              <w:jc w:val="center"/>
              <w:ind w:left="2767"/>
              <w:spacing w:after="0" w:line="168" w:lineRule="exact"/>
              <w:rPr>
                <w:sz w:val="20"/>
                <w:szCs w:val="20"/>
                <w:color w:val="auto"/>
              </w:rPr>
            </w:pPr>
            <w:r>
              <w:rPr>
                <w:rFonts w:ascii="Courier New" w:cs="Courier New" w:eastAsia="Courier New" w:hAnsi="Courier New"/>
                <w:sz w:val="15"/>
                <w:szCs w:val="15"/>
                <w:color w:val="auto"/>
                <w:w w:val="96"/>
              </w:rPr>
              <w:t>Summary of Investments (Unaudited)</w:t>
            </w:r>
          </w:p>
        </w:tc>
        <w:tc>
          <w:tcPr>
            <w:tcW w:w="1080" w:type="dxa"/>
            <w:vAlign w:val="bottom"/>
          </w:tcPr>
          <w:p>
            <w:pPr>
              <w:spacing w:after="0"/>
              <w:rPr>
                <w:sz w:val="14"/>
                <w:szCs w:val="14"/>
                <w:color w:val="auto"/>
              </w:rPr>
            </w:pPr>
          </w:p>
        </w:tc>
      </w:tr>
      <w:tr>
        <w:trPr>
          <w:trHeight w:val="505"/>
        </w:trPr>
        <w:tc>
          <w:tcPr>
            <w:tcW w:w="3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June 30,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Company</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Ticker</w:t>
            </w:r>
          </w:p>
        </w:tc>
        <w:tc>
          <w:tcPr>
            <w:tcW w:w="2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millions)</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AT&amp;T Corp. (1) (2)</w:t>
            </w:r>
          </w:p>
        </w:tc>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$1,837.3</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$1,174.3</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Sprint Corp PCS Group</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PCS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2,156.9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2,149.8</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316.6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1,873.0</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Fair Value Investments</w:t>
            </w: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$4,310.8</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$5,197.1</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Method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Method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162.1</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396.1</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$5,721.6</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Investments</w:t>
            </w:r>
          </w:p>
        </w:tc>
        <w:tc>
          <w:tcPr>
            <w:tcW w:w="114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$1,928.7</w:t>
            </w:r>
          </w:p>
        </w:tc>
        <w:tc>
          <w:tcPr>
            <w:tcW w:w="10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$3,059.7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Non-Current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2,844.6</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2,661.9</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80" w:type="dxa"/>
            <w:vAlign w:val="bottom"/>
          </w:tcPr>
          <w:p>
            <w:pPr>
              <w:ind w:left="1940"/>
              <w:spacing w:after="0" w:line="168" w:lineRule="exact"/>
              <w:rPr>
                <w:sz w:val="20"/>
                <w:szCs w:val="20"/>
                <w:color w:val="auto"/>
              </w:rPr>
            </w:pPr>
            <w:r>
              <w:rPr>
                <w:rFonts w:ascii="Courier New" w:cs="Courier New" w:eastAsia="Courier New" w:hAnsi="Courier New"/>
                <w:sz w:val="15"/>
                <w:szCs w:val="15"/>
                <w:color w:val="auto"/>
              </w:rPr>
              <w:t>Total Investments</w:t>
            </w: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$4,773.3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$5,721.6</w:t>
            </w:r>
          </w:p>
        </w:tc>
      </w:tr>
      <w:tr>
        <w:trPr>
          <w:trHeight w:val="168"/>
        </w:trPr>
        <w:tc>
          <w:tcPr>
            <w:tcW w:w="3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499" w:hanging="430"/>
        <w:spacing w:after="0" w:line="235"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approximately 68 million shares of AT&amp;T Corp. held by the Company at December 31,2000, 63.9 million shares were exchanged with AT&amp;T Corp. for cable communications systems in April 2001.</w:t>
      </w:r>
    </w:p>
    <w:p>
      <w:pPr>
        <w:spacing w:after="0" w:line="173" w:lineRule="exact"/>
        <w:rPr>
          <w:rFonts w:ascii="Courier New" w:cs="Courier New" w:eastAsia="Courier New" w:hAnsi="Courier New"/>
          <w:sz w:val="15"/>
          <w:szCs w:val="15"/>
          <w:color w:val="auto"/>
        </w:rPr>
      </w:pPr>
    </w:p>
    <w:p>
      <w:pPr>
        <w:ind w:left="440" w:right="3399" w:hanging="430"/>
        <w:spacing w:after="0" w:line="236" w:lineRule="auto"/>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Company and AT&amp;T entered into an agreement whereby AT&amp;T issued to the Company approximately 80.3 million unregistered shares of AT&amp;T common stock and the Company agreed to settle its right under a previous agreement to exchange an aggregate 31.2 million Excite@Home Corporation shares and warrants held by the Company for shares of AT&amp;T common stock. Under the terms of the June 2001 agreement, the Company retained the Excite@Home shares and warrants.</w:t>
      </w:r>
    </w:p>
    <w:p>
      <w:pPr>
        <w:sectPr>
          <w:pgSz w:w="11900" w:h="16838" w:orient="portrait"/>
          <w:cols w:equalWidth="0" w:num="1">
            <w:col w:w="10239"/>
          </w:cols>
          <w:pgMar w:left="220" w:top="785" w:right="1440" w:bottom="1440" w:gutter="0" w:footer="0" w:header="0"/>
        </w:sectPr>
      </w:pPr>
    </w:p>
    <w:bookmarkStart w:id="12" w:name="page13"/>
    <w:bookmarkEnd w:id="12"/>
    <w:p>
      <w:pPr>
        <w:jc w:val="center"/>
        <w:ind w:right="-19"/>
        <w:spacing w:after="0"/>
        <w:rPr>
          <w:sz w:val="20"/>
          <w:szCs w:val="20"/>
          <w:color w:val="auto"/>
        </w:rPr>
      </w:pPr>
      <w:r>
        <w:rPr>
          <w:rFonts w:ascii="Courier New" w:cs="Courier New" w:eastAsia="Courier New" w:hAnsi="Courier New"/>
          <w:sz w:val="15"/>
          <w:szCs w:val="15"/>
          <w:color w:val="auto"/>
        </w:rPr>
        <w:t>Comcast.</w:t>
      </w:r>
    </w:p>
    <w:p>
      <w:pPr>
        <w:jc w:val="center"/>
        <w:ind w:right="-19"/>
        <w:spacing w:after="0" w:line="237" w:lineRule="auto"/>
        <w:rPr>
          <w:sz w:val="20"/>
          <w:szCs w:val="20"/>
          <w:color w:val="auto"/>
        </w:rPr>
      </w:pPr>
      <w:r>
        <w:rPr>
          <w:rFonts w:ascii="Courier New" w:cs="Courier New" w:eastAsia="Courier New" w:hAnsi="Courier New"/>
          <w:sz w:val="15"/>
          <w:szCs w:val="15"/>
          <w:color w:val="auto"/>
        </w:rPr>
        <w:t>Reconciliation of Diluted EPS to OCF per share (Unaudited)</w:t>
      </w:r>
    </w:p>
    <w:p>
      <w:pPr>
        <w:jc w:val="center"/>
        <w:ind w:right="-19"/>
        <w:spacing w:after="0" w:line="238" w:lineRule="auto"/>
        <w:rPr>
          <w:sz w:val="20"/>
          <w:szCs w:val="20"/>
          <w:color w:val="auto"/>
        </w:rPr>
      </w:pPr>
      <w:r>
        <w:rPr>
          <w:rFonts w:ascii="Courier New" w:cs="Courier New" w:eastAsia="Courier New" w:hAnsi="Courier New"/>
          <w:sz w:val="15"/>
          <w:szCs w:val="15"/>
          <w:color w:val="auto"/>
        </w:rPr>
        <w:t>(dollars in millions,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00" w:type="dxa"/>
            <w:vAlign w:val="bottom"/>
          </w:tcPr>
          <w:p>
            <w:pPr>
              <w:spacing w:after="0"/>
              <w:rPr>
                <w:sz w:val="14"/>
                <w:szCs w:val="14"/>
                <w:color w:val="auto"/>
              </w:rPr>
            </w:pPr>
          </w:p>
        </w:tc>
        <w:tc>
          <w:tcPr>
            <w:tcW w:w="2400" w:type="dxa"/>
            <w:vAlign w:val="bottom"/>
            <w:gridSpan w:val="3"/>
          </w:tcPr>
          <w:p>
            <w:pPr>
              <w:ind w:left="400"/>
              <w:spacing w:after="0"/>
              <w:rPr>
                <w:sz w:val="20"/>
                <w:szCs w:val="20"/>
                <w:color w:val="auto"/>
              </w:rPr>
            </w:pPr>
            <w:r>
              <w:rPr>
                <w:rFonts w:ascii="Courier New" w:cs="Courier New" w:eastAsia="Courier New" w:hAnsi="Courier New"/>
                <w:sz w:val="15"/>
                <w:szCs w:val="15"/>
                <w:color w:val="auto"/>
              </w:rPr>
              <w:t>Three Months Ended</w:t>
            </w:r>
          </w:p>
        </w:tc>
        <w:tc>
          <w:tcPr>
            <w:tcW w:w="360" w:type="dxa"/>
            <w:vAlign w:val="bottom"/>
          </w:tcPr>
          <w:p>
            <w:pPr>
              <w:spacing w:after="0"/>
              <w:rPr>
                <w:sz w:val="14"/>
                <w:szCs w:val="14"/>
                <w:color w:val="auto"/>
              </w:rPr>
            </w:pPr>
          </w:p>
        </w:tc>
        <w:tc>
          <w:tcPr>
            <w:tcW w:w="19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4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June 30,</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2001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360" w:type="dxa"/>
            <w:vAlign w:val="bottom"/>
          </w:tcPr>
          <w:p>
            <w:pPr>
              <w:spacing w:after="0"/>
              <w:rPr>
                <w:sz w:val="14"/>
                <w:szCs w:val="14"/>
                <w:color w:val="auto"/>
              </w:rPr>
            </w:pPr>
          </w:p>
        </w:tc>
        <w:tc>
          <w:tcPr>
            <w:tcW w:w="1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Net income (loss) as reported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35.2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187.7</w:t>
            </w:r>
          </w:p>
        </w:tc>
        <w:tc>
          <w:tcPr>
            <w:tcW w:w="150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$1,036.4</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Items to reconcile net income (loss) to operating cash flow:</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&amp; amortization</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833.7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634.4</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91"/>
              </w:rPr>
              <w:t>1,575.1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1,180.1</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176.2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163.2</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358.5</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331.8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unrealized gain on trading securities (1)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(392.4)</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(265.6)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mark to market adjustments on derivatives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hedged items</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310.1</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196.1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settlement of Share Exchange Agreement (2)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(296.3)</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(296.3)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sales and exchanges of investments</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(151.7)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(272.1)</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(163.3)</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(861.5)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reclassification of unrealized gains (3)</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(1,092.4)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investment impairment losses (4)</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45.0</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939.1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expense related to indexed debt (5)</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(289.5)</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398.0</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 gain on Adelphia systems exchange (6)</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(1,198.6)</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tax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103.8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185.1</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589.4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 net of tax (7)</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(384.5)</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net (8)</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47.4</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as reported</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700.4</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$602.8</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$1,341.3</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$1,189.7</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 as reported</w:t>
            </w:r>
          </w:p>
        </w:tc>
        <w:tc>
          <w:tcPr>
            <w:tcW w:w="5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0.04</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$ 0.19</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1.07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Items to reconcile diluted earnings (loss) per share to operating</w:t>
            </w: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flow per share, net of estimated income tax expense,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assuming a 35% rate:</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&amp; amortization</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0.56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0.42</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1.06</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0.88</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0.12</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0.11</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0.24</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unrealized gain on trading securities (1)</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(0.26)</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(0.18)</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mark to market adjustments on derivatives</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hedged items</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0.21</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0.13</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settlement of Share Exchange Agreement (2)</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(0.20)</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gain on sales and exchanges of investments</w:t>
            </w:r>
          </w:p>
        </w:tc>
        <w:tc>
          <w:tcPr>
            <w:tcW w:w="5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(0.18)</w:t>
            </w: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(0.64)</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income - reclassification of unrealized gains (3)</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(0.74)</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expense - investment impairment losses (4)</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0.03</w:t>
            </w: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0.63</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0.01</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 expense related to indexed debt (5)</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(0.19)</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0.30</w:t>
            </w: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income - gain on Adelphia systems exchange (6)</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(0.81)</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Cumulative effect of accounting change (7)</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(0.40)</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All other, net (8)</w:t>
            </w:r>
          </w:p>
        </w:tc>
        <w:tc>
          <w:tcPr>
            <w:tcW w:w="5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0.07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0.05</w:t>
            </w:r>
          </w:p>
        </w:tc>
        <w:tc>
          <w:tcPr>
            <w:tcW w:w="360" w:type="dxa"/>
            <w:vAlign w:val="bottom"/>
          </w:tcPr>
          <w:p>
            <w:pPr>
              <w:spacing w:after="0"/>
              <w:rPr>
                <w:sz w:val="14"/>
                <w:szCs w:val="14"/>
                <w:color w:val="auto"/>
              </w:rPr>
            </w:pP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0.21</w:t>
            </w:r>
          </w:p>
        </w:tc>
        <w:tc>
          <w:tcPr>
            <w:tcW w:w="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670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Cash Flow per share, net of</w:t>
            </w: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estimated income tax expense</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0.47</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$ 0.40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0.90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0.89</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670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56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965.6</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974.7</w:t>
            </w:r>
          </w:p>
        </w:tc>
        <w:tc>
          <w:tcPr>
            <w:tcW w:w="360" w:type="dxa"/>
            <w:vAlign w:val="bottom"/>
          </w:tcPr>
          <w:p>
            <w:pPr>
              <w:spacing w:after="0"/>
              <w:rPr>
                <w:sz w:val="24"/>
                <w:szCs w:val="24"/>
                <w:color w:val="auto"/>
              </w:rPr>
            </w:pPr>
          </w:p>
        </w:tc>
        <w:tc>
          <w:tcPr>
            <w:tcW w:w="114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965.3</w:t>
            </w:r>
          </w:p>
        </w:tc>
        <w:tc>
          <w:tcPr>
            <w:tcW w:w="8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873.2</w:t>
            </w:r>
          </w:p>
        </w:tc>
      </w:tr>
      <w:tr>
        <w:trPr>
          <w:trHeight w:val="168"/>
        </w:trPr>
        <w:tc>
          <w:tcPr>
            <w:tcW w:w="670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73" w:lineRule="exact"/>
        <w:rPr>
          <w:sz w:val="20"/>
          <w:szCs w:val="20"/>
          <w:color w:val="auto"/>
        </w:rPr>
      </w:pPr>
    </w:p>
    <w:p>
      <w:pPr>
        <w:ind w:left="440" w:right="78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SFAS No. 133 (Derivatives) in the first quarter of 2001, the Company classified its investment in Sprint PCS from an available for sale security to a trading security.</w:t>
      </w:r>
    </w:p>
    <w:p>
      <w:pPr>
        <w:spacing w:after="0" w:line="173" w:lineRule="exact"/>
        <w:rPr>
          <w:rFonts w:ascii="Courier New" w:cs="Courier New" w:eastAsia="Courier New" w:hAnsi="Courier New"/>
          <w:sz w:val="15"/>
          <w:szCs w:val="15"/>
          <w:color w:val="auto"/>
        </w:rPr>
      </w:pPr>
    </w:p>
    <w:p>
      <w:pPr>
        <w:ind w:left="440" w:right="42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gain recognized by the Company in connection with the settlement of its right under the June 2001 agreement described previously in note 2 to its Summary of Investments.</w:t>
      </w:r>
    </w:p>
    <w:p>
      <w:pPr>
        <w:spacing w:after="0" w:line="173" w:lineRule="exact"/>
        <w:rPr>
          <w:rFonts w:ascii="Courier New" w:cs="Courier New" w:eastAsia="Courier New" w:hAnsi="Courier New"/>
          <w:sz w:val="15"/>
          <w:szCs w:val="15"/>
          <w:color w:val="auto"/>
        </w:rPr>
      </w:pPr>
    </w:p>
    <w:p>
      <w:pPr>
        <w:ind w:left="440" w:right="80"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adoption of SFAS No. 133, the Company reclassified its investment in Sprint PCS from an available for sale security to a trading security. The gain represents the accumulated unrealized gain on the Company's investment in Sprint PCS previously recorded as a component of accumulated other comprehensive income.</w:t>
      </w:r>
    </w:p>
    <w:p>
      <w:pPr>
        <w:spacing w:after="0" w:line="173" w:lineRule="exact"/>
        <w:rPr>
          <w:rFonts w:ascii="Courier New" w:cs="Courier New" w:eastAsia="Courier New" w:hAnsi="Courier New"/>
          <w:sz w:val="15"/>
          <w:szCs w:val="15"/>
          <w:color w:val="auto"/>
        </w:rPr>
      </w:pPr>
    </w:p>
    <w:p>
      <w:pPr>
        <w:ind w:left="440" w:right="240"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losses on its investments for which the Company has determined that a decline in value of the investment was considered other than temporary. The loss for the six months ended June 30, 2001 relates principally to the Company's investment in AT&amp;T, a portion of which was exchanged on April 30, 2001.</w:t>
      </w:r>
    </w:p>
    <w:p>
      <w:pPr>
        <w:spacing w:after="0" w:line="173" w:lineRule="exact"/>
        <w:rPr>
          <w:rFonts w:ascii="Courier New" w:cs="Courier New" w:eastAsia="Courier New" w:hAnsi="Courier New"/>
          <w:sz w:val="15"/>
          <w:szCs w:val="15"/>
          <w:color w:val="auto"/>
        </w:rPr>
      </w:pPr>
    </w:p>
    <w:p>
      <w:pPr>
        <w:ind w:left="440" w:hanging="430"/>
        <w:spacing w:after="0" w:line="235"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non-cash expense associated with the mark-to-market adjustment related to the Company's ZONES debt. Through December 31, 2000, the ZONES were accounted for as an indexed debt instrument since the maturity value is dependent upon the fair value of Sprint PCS stock.</w:t>
      </w:r>
    </w:p>
    <w:p>
      <w:pPr>
        <w:spacing w:after="0" w:line="173" w:lineRule="exact"/>
        <w:rPr>
          <w:rFonts w:ascii="Courier New" w:cs="Courier New" w:eastAsia="Courier New" w:hAnsi="Courier New"/>
          <w:sz w:val="15"/>
          <w:szCs w:val="15"/>
          <w:color w:val="auto"/>
        </w:rPr>
      </w:pPr>
    </w:p>
    <w:p>
      <w:pPr>
        <w:ind w:left="440" w:right="68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gain recognized upon the completion of the Company's cable systems exchange with Adelphia Communications Corporation in January 2001.</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effects of adopting SFAS No. 133 in the first quarter of 2001.</w:t>
      </w:r>
    </w:p>
    <w:p>
      <w:pPr>
        <w:spacing w:after="0" w:line="172" w:lineRule="exact"/>
        <w:rPr>
          <w:rFonts w:ascii="Courier New" w:cs="Courier New" w:eastAsia="Courier New" w:hAnsi="Courier New"/>
          <w:sz w:val="15"/>
          <w:szCs w:val="15"/>
          <w:color w:val="auto"/>
        </w:rPr>
      </w:pPr>
    </w:p>
    <w:p>
      <w:pPr>
        <w:ind w:left="440" w:right="600" w:hanging="430"/>
        <w:spacing w:after="0" w:line="234" w:lineRule="auto"/>
        <w:tabs>
          <w:tab w:leader="none" w:pos="4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interest and dividend income, equity in net losses of affiliates, other income (expense), minority interest and extraordinary items.</w:t>
      </w:r>
    </w:p>
    <w:p>
      <w:pPr>
        <w:sectPr>
          <w:pgSz w:w="11900" w:h="16838" w:orient="portrait"/>
          <w:cols w:equalWidth="0" w:num="1">
            <w:col w:w="11540"/>
          </w:cols>
          <w:pgMar w:left="220" w:top="1122" w:right="139"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Note: The following notice is included to meet certain legal requirements:</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ADDITIONAL INFORMATION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Subject to future developments, Comcast may file with the Commission</w:t>
      </w:r>
    </w:p>
    <w:p>
      <w:pPr>
        <w:spacing w:after="0" w:line="5" w:lineRule="exact"/>
        <w:rPr>
          <w:sz w:val="20"/>
          <w:szCs w:val="20"/>
          <w:color w:val="auto"/>
        </w:rPr>
      </w:pPr>
    </w:p>
    <w:p>
      <w:pPr>
        <w:ind w:right="3239" w:firstLine="10"/>
        <w:spacing w:after="0" w:line="255"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preliminary proxy statement for solicitation of proxies from the shareholders of AT&amp;T Corp. ("AT&amp;T")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16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sectPr>
      <w:pgSz w:w="11900" w:h="16838" w:orient="portrait"/>
      <w:cols w:equalWidth="0" w:num="1">
        <w:col w:w="10239"/>
      </w:cols>
      <w:pgMar w:left="220" w:top="7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lvl w:ilvl="1">
      <w:lvlJc w:val="left"/>
      <w:lvlText w:val="(%2)"/>
      <w:numFmt w:val="decimal"/>
      <w:start w:val="1"/>
    </w:lvl>
  </w:abstractNum>
  <w:abstractNum w:abstractNumId="3">
    <w:nsid w:val="1F16E9E8"/>
    <w:multiLevelType w:val="hybridMultilevel"/>
    <w:lvl w:ilvl="0">
      <w:lvlJc w:val="left"/>
      <w:lvlText w:val="-"/>
      <w:numFmt w:val="bullet"/>
      <w:start w:val="1"/>
    </w:lvl>
    <w:lvl w:ilvl="1">
      <w:lvlJc w:val="left"/>
      <w:lvlText w:val="(%2)"/>
      <w:numFmt w:val="decimal"/>
      <w:start w:val="2"/>
    </w:lvl>
  </w:abstractNum>
  <w:abstractNum w:abstractNumId="4">
    <w:nsid w:val="1190CDE7"/>
    <w:multiLevelType w:val="hybridMultilevel"/>
    <w:lvl w:ilvl="0">
      <w:lvlJc w:val="left"/>
      <w:lvlText w:val="-"/>
      <w:numFmt w:val="bullet"/>
      <w:start w:val="1"/>
    </w:lvl>
    <w:lvl w:ilvl="1">
      <w:lvlJc w:val="left"/>
      <w:lvlText w:val="(%2)"/>
      <w:numFmt w:val="decimal"/>
      <w:start w:val="3"/>
    </w:lvl>
  </w:abstractNum>
  <w:abstractNum w:abstractNumId="5">
    <w:nsid w:val="66EF438D"/>
    <w:multiLevelType w:val="hybridMultilevel"/>
    <w:lvl w:ilvl="0">
      <w:lvlJc w:val="left"/>
      <w:lvlText w:val="-"/>
      <w:numFmt w:val="bullet"/>
      <w:start w:val="1"/>
    </w:lvl>
    <w:lvl w:ilvl="1">
      <w:lvlJc w:val="left"/>
      <w:lvlText w:val="(%2)"/>
      <w:numFmt w:val="decimal"/>
      <w:start w:val="4"/>
    </w:lvl>
  </w:abstractNum>
  <w:abstractNum w:abstractNumId="6">
    <w:nsid w:val="140E0F76"/>
    <w:multiLevelType w:val="hybridMultilevel"/>
    <w:lvl w:ilvl="0">
      <w:lvlJc w:val="left"/>
      <w:lvlText w:val="-"/>
      <w:numFmt w:val="bullet"/>
      <w:start w:val="1"/>
    </w:lvl>
    <w:lvl w:ilvl="1">
      <w:lvlJc w:val="left"/>
      <w:lvlText w:val="(%2)"/>
      <w:numFmt w:val="decimal"/>
      <w:start w:val="5"/>
    </w:lvl>
  </w:abstractNum>
  <w:abstractNum w:abstractNumId="7">
    <w:nsid w:val="3352255A"/>
    <w:multiLevelType w:val="hybridMultilevel"/>
    <w:lvl w:ilvl="0">
      <w:lvlJc w:val="left"/>
      <w:lvlText w:val="-"/>
      <w:numFmt w:val="bullet"/>
      <w:start w:val="1"/>
    </w:lvl>
    <w:lvl w:ilvl="1">
      <w:lvlJc w:val="left"/>
      <w:lvlText w:val="(%2)"/>
      <w:numFmt w:val="decimal"/>
      <w:start w:val="1"/>
    </w:lvl>
  </w:abstractNum>
  <w:abstractNum w:abstractNumId="8">
    <w:nsid w:val="109CF92E"/>
    <w:multiLevelType w:val="hybridMultilevel"/>
    <w:lvl w:ilvl="0">
      <w:lvlJc w:val="left"/>
      <w:lvlText w:val="-"/>
      <w:numFmt w:val="bullet"/>
      <w:start w:val="1"/>
    </w:lvl>
    <w:lvl w:ilvl="1">
      <w:lvlJc w:val="left"/>
      <w:lvlText w:val="(%2)"/>
      <w:numFmt w:val="decimal"/>
      <w:start w:val="2"/>
    </w:lvl>
  </w:abstractNum>
  <w:abstractNum w:abstractNumId="9">
    <w:nsid w:val="DED7263"/>
    <w:multiLevelType w:val="hybridMultilevel"/>
    <w:lvl w:ilvl="0">
      <w:lvlJc w:val="left"/>
      <w:lvlText w:val="-"/>
      <w:numFmt w:val="bullet"/>
      <w:start w:val="1"/>
    </w:lvl>
    <w:lvl w:ilvl="1">
      <w:lvlJc w:val="left"/>
      <w:lvlText w:val="(%2)"/>
      <w:numFmt w:val="decimal"/>
      <w:start w:val="3"/>
    </w:lvl>
  </w:abstractNum>
  <w:abstractNum w:abstractNumId="10">
    <w:nsid w:val="7FDCC233"/>
    <w:multiLevelType w:val="hybridMultilevel"/>
    <w:lvl w:ilvl="0">
      <w:lvlJc w:val="left"/>
      <w:lvlText w:val="-"/>
      <w:numFmt w:val="bullet"/>
      <w:start w:val="1"/>
    </w:lvl>
    <w:lvl w:ilvl="1">
      <w:lvlJc w:val="left"/>
      <w:lvlText w:val="(%2)"/>
      <w:numFmt w:val="decimal"/>
      <w:start w:val="4"/>
    </w:lvl>
  </w:abstractNum>
  <w:abstractNum w:abstractNumId="11">
    <w:nsid w:val="1BEFD79F"/>
    <w:multiLevelType w:val="hybridMultilevel"/>
    <w:lvl w:ilvl="0">
      <w:lvlJc w:val="left"/>
      <w:lvlText w:val="o"/>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2019-12-16T11:21:56Z</dcterms:created>
  <dcterms:modified xsi:type="dcterms:W3CDTF">2019-12-16T11:21:56Z</dcterms:modified>
</cp:coreProperties>
</file>