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doc4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Honickman Jeffrey 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PHILADELPHIA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CMCSA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72"/>
        <w:gridCol w:w="908"/>
        <w:gridCol w:w="775"/>
        <w:gridCol w:w="604"/>
        <w:gridCol w:w="362"/>
        <w:gridCol w:w="855"/>
        <w:gridCol w:w="492"/>
        <w:gridCol w:w="654"/>
        <w:gridCol w:w="1227"/>
        <w:gridCol w:w="1045"/>
        <w:gridCol w:w="945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04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45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4,185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4,185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128,976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161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161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44.215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128,815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securities convert on a one-to-one basis.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elected to defer receipt of shares of Class A Common Stock issuable as a grant for director fees, resulting in an accrual to his account of additional phantom shares. Phantom stock may be re-deferred at future dates.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Although the reporting person elected to defer receipt of the shares of Class A common stock underlying the phantom shares, these shares were withheld for payment of tax liability.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Elizabeth Wideman, Attorney-in-fact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347196" TargetMode="External"/><Relationship Id="rId4" Type="http://schemas.openxmlformats.org/officeDocument/2006/relationships/hyperlink" Target="../../../../cgi-bin/browse-edgar%3F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614</Words>
  <CharactersWithSpaces>3847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