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Securities Exchange Act of 1934</w:t>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23, 2014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001-32871</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4"/>
              </w:rPr>
              <w:t>(Commission File Number)</w:t>
            </w:r>
          </w:p>
        </w:tc>
        <w:tc>
          <w:tcPr>
            <w:tcW w:w="4320" w:type="dxa"/>
            <w:vAlign w:val="bottom"/>
          </w:tcPr>
          <w:p>
            <w:pPr>
              <w:jc w:val="center"/>
              <w:ind w:left="2259"/>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One Comcast Center</w:t>
            </w:r>
          </w:p>
        </w:tc>
        <w:tc>
          <w:tcPr>
            <w:tcW w:w="4320" w:type="dxa"/>
            <w:vAlign w:val="bottom"/>
          </w:tcPr>
          <w:p>
            <w:pPr>
              <w:spacing w:after="0"/>
              <w:rPr>
                <w:sz w:val="24"/>
                <w:szCs w:val="24"/>
                <w:color w:val="auto"/>
              </w:rPr>
            </w:pPr>
          </w:p>
        </w:tc>
      </w:t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2"/>
              </w:rPr>
              <w:t>Philadelphia, PA</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279"/>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October 23, 2014, Comcast Corporation (“Comcast”) issued a press release reporting the results of its operations for the three and nine months ended September 30, 2014.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3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October 23, 2014.</w:t>
      </w:r>
    </w:p>
    <w:p>
      <w:pPr>
        <w:spacing w:after="0" w:line="23"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ectPr>
          <w:pgSz w:w="11900" w:h="16838" w:orient="portrait"/>
          <w:cols w:equalWidth="0" w:num="1">
            <w:col w:w="11420"/>
          </w:cols>
          <w:pgMar w:left="240" w:top="55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October 23, 2014</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42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29" w:right="199" w:bottom="1440" w:gutter="0" w:footer="0" w:header="0"/>
        </w:sectPr>
      </w:pPr>
    </w:p>
    <w:bookmarkStart w:id="2" w:name="page3"/>
    <w:bookmarkEnd w:id="2"/>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3119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910" cy="55753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4" w:lineRule="exact"/>
        <w:rPr>
          <w:sz w:val="20"/>
          <w:szCs w:val="20"/>
          <w:color w:val="auto"/>
        </w:rPr>
      </w:pPr>
    </w:p>
    <w:p>
      <w:pPr>
        <w:ind w:right="3500" w:firstLine="3492"/>
        <w:spacing w:after="0" w:line="474" w:lineRule="auto"/>
        <w:rPr>
          <w:sz w:val="20"/>
          <w:szCs w:val="20"/>
          <w:color w:val="auto"/>
        </w:rPr>
      </w:pPr>
      <w:r>
        <w:rPr>
          <w:rFonts w:ascii="Arial" w:cs="Arial" w:eastAsia="Arial" w:hAnsi="Arial"/>
          <w:sz w:val="18"/>
          <w:szCs w:val="18"/>
          <w:b w:val="1"/>
          <w:bCs w:val="1"/>
          <w:color w:val="auto"/>
        </w:rPr>
        <w:t>COMCAST REPORTS 3rd QUARTER 2014 RESULTS Consolidated 3rd Quarter 2014 Highlights:</w:t>
      </w:r>
    </w:p>
    <w:p>
      <w:pPr>
        <w:spacing w:after="0" w:line="1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4.0%, Operating Cash Flow Increased 7.0% and Operating Income Increased 9.7%</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Increased 26.7% to $2.5 Billion</w:t>
      </w:r>
    </w:p>
    <w:p>
      <w:pPr>
        <w:spacing w:after="0" w:line="171" w:lineRule="exact"/>
        <w:rPr>
          <w:rFonts w:ascii="Arial" w:cs="Arial" w:eastAsia="Arial" w:hAnsi="Arial"/>
          <w:sz w:val="18"/>
          <w:szCs w:val="18"/>
          <w:color w:val="auto"/>
        </w:rPr>
      </w:pPr>
    </w:p>
    <w:p>
      <w:pPr>
        <w:ind w:left="660" w:right="440" w:hanging="328"/>
        <w:spacing w:after="0" w:line="262"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52.3% to $0.99; Excluding Income Tax Adjustments and Transaction-Related Costs, EPS Increased 12.3% to $0.73</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Dividends and Quarterly Share Repurchases Increased 31.6% to $1.3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3rd Quarter 2014 Highlights:</w:t>
      </w:r>
    </w:p>
    <w:p>
      <w:pPr>
        <w:spacing w:after="0" w:line="22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5.2% and Operating Cash Flow Increased 5.1%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Customer Relationships Increased by 82,000 to 26.9 Million</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Customer Net Losses Declined to 81,000, The Best Third Quarter Result in 7 Years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Customers Increased by 315,000 and Revenue Grew 9.6%</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Services Revenue Increased 21.0%, Achieving a $4 Billion Annualized Run-Rate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3rd Quarter 2014 Highlights:</w:t>
      </w:r>
    </w:p>
    <w:p>
      <w:pPr>
        <w:spacing w:after="0" w:line="220" w:lineRule="exact"/>
        <w:rPr>
          <w:sz w:val="20"/>
          <w:szCs w:val="20"/>
          <w:color w:val="auto"/>
        </w:rPr>
      </w:pPr>
    </w:p>
    <w:p>
      <w:pPr>
        <w:ind w:left="660" w:right="52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Increased 1.2% and Operating Cash Flow Increased 13.3%; Operating Cash Flow Margins Expanded to 23.9% from 21.4% in the Prior Year Period</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Broadcast Revenue Increased 7.7% and Operating Cash Flow Increased Over $100 Million</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Ended the Full 2013-2014 Season Ranked #1 Among Adults 18-49</w:t>
      </w:r>
    </w:p>
    <w:p>
      <w:pPr>
        <w:spacing w:after="0" w:line="153" w:lineRule="exact"/>
        <w:rPr>
          <w:rFonts w:ascii="Arial" w:cs="Arial" w:eastAsia="Arial" w:hAnsi="Arial"/>
          <w:sz w:val="18"/>
          <w:szCs w:val="18"/>
          <w:color w:val="auto"/>
        </w:rPr>
      </w:pPr>
    </w:p>
    <w:p>
      <w:pPr>
        <w:ind w:left="660" w:right="700" w:hanging="328"/>
        <w:spacing w:after="0" w:line="28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Theme Parks Revenue Increased 18.7% and Operating Cash Flow Increased 16.9%, Driven by the Successful Opening of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Wizarding World of Harry Potter ™ – Diagon Alley ™ </w:t>
      </w:r>
      <w:r>
        <w:rPr>
          <w:rFonts w:ascii="Arial" w:cs="Arial" w:eastAsia="Arial" w:hAnsi="Arial"/>
          <w:sz w:val="18"/>
          <w:szCs w:val="18"/>
          <w:color w:val="auto"/>
        </w:rPr>
        <w:t>in Orlando</w:t>
      </w:r>
    </w:p>
    <w:p>
      <w:pPr>
        <w:spacing w:after="0" w:line="39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PHILADELPHIA – October 23, 2014… Comcast Corporation (NASDAQ: CMCSA, CMCSK) today reported results for the quarter ended September 30, 2014.</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Brian L. Roberts, Chairman and Chief Executive Officer of Comcast Corporation, said, “I am pleased to report strong revenue, operating cash flow and free cash flow growth for the third quarter of 2014. Cable results highlight the consistent strength of high-speed Internet and business services, and video customer results were the best for a third quarter in seven years. We continue to focus on innovation and providing the best experience for our customers, and we are thrilled with the response to our superior X1 platform, which recently reached five million boxes deployed. At NBCUniversal, we had another outstanding quarter with double-digit operating cash flow growth, driven by ratings momentum at NBC Broadcast and the successful opening of </w:t>
      </w:r>
      <w:r>
        <w:rPr>
          <w:rFonts w:ascii="Arial" w:cs="Arial" w:eastAsia="Arial" w:hAnsi="Arial"/>
          <w:sz w:val="18"/>
          <w:szCs w:val="18"/>
          <w:i w:val="1"/>
          <w:iCs w:val="1"/>
          <w:color w:val="auto"/>
        </w:rPr>
        <w:t>The Wizarding World of Harry Potter ™– Diagon Alley ™</w:t>
      </w:r>
      <w:r>
        <w:rPr>
          <w:rFonts w:ascii="Arial" w:cs="Arial" w:eastAsia="Arial" w:hAnsi="Arial"/>
          <w:sz w:val="18"/>
          <w:szCs w:val="18"/>
          <w:color w:val="auto"/>
        </w:rPr>
        <w:t xml:space="preserve"> in Orlando.”</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3rd Quarter</w:t>
            </w:r>
          </w:p>
        </w:tc>
        <w:tc>
          <w:tcPr>
            <w:tcW w:w="1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Year to Date</w:t>
            </w:r>
          </w:p>
        </w:tc>
        <w:tc>
          <w:tcPr>
            <w:tcW w:w="680" w:type="dxa"/>
            <w:vAlign w:val="bottom"/>
          </w:tcPr>
          <w:p>
            <w:pPr>
              <w:spacing w:after="0"/>
              <w:rPr>
                <w:sz w:val="14"/>
                <w:szCs w:val="14"/>
                <w:color w:val="auto"/>
              </w:rPr>
            </w:pPr>
          </w:p>
        </w:tc>
      </w:tr>
      <w:tr>
        <w:trPr>
          <w:trHeight w:val="195"/>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Growth</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18"/>
        </w:trPr>
        <w:tc>
          <w:tcPr>
            <w:tcW w:w="4260" w:type="dxa"/>
            <w:vAlign w:val="bottom"/>
          </w:tcPr>
          <w:p>
            <w:pPr>
              <w:ind w:left="40"/>
              <w:spacing w:after="0"/>
              <w:rPr>
                <w:sz w:val="20"/>
                <w:szCs w:val="20"/>
                <w:color w:val="auto"/>
              </w:rPr>
            </w:pPr>
            <w:r>
              <w:rPr>
                <w:rFonts w:ascii="Arial" w:cs="Arial" w:eastAsia="Arial" w:hAnsi="Arial"/>
                <w:sz w:val="14"/>
                <w:szCs w:val="14"/>
                <w:color w:val="auto"/>
              </w:rPr>
              <w:t>Revenue</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$16,151</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$16,791</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4.0%</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$47,731</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$51,043</w:t>
            </w:r>
          </w:p>
        </w:tc>
        <w:tc>
          <w:tcPr>
            <w:tcW w:w="6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88"/>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w:t>
            </w:r>
          </w:p>
        </w:tc>
        <w:tc>
          <w:tcPr>
            <w:tcW w:w="1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$47,731</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$49,940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4.6%</w:t>
            </w:r>
          </w:p>
        </w:tc>
      </w:tr>
      <w:tr>
        <w:trPr>
          <w:trHeight w:val="219"/>
        </w:trPr>
        <w:tc>
          <w:tcPr>
            <w:tcW w:w="426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$5,330</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$5,704</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7.0%</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$15,789</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$17,046</w:t>
            </w:r>
          </w:p>
        </w:tc>
        <w:tc>
          <w:tcPr>
            <w:tcW w:w="6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7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 &amp; Pension Costs</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$5,404</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$5,781</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i w:val="1"/>
                <w:iCs w:val="1"/>
                <w:color w:val="auto"/>
              </w:rPr>
              <w:t>7.0%</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$15,863</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$17,184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8.3%</w:t>
            </w:r>
          </w:p>
        </w:tc>
      </w:tr>
      <w:tr>
        <w:trPr>
          <w:trHeight w:val="196"/>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$3,414</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$3,745</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9.7%</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$9,916</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19"/>
        </w:trPr>
        <w:tc>
          <w:tcPr>
            <w:tcW w:w="426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$0.65</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$0.99</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52.3%</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$2.46</w:t>
            </w:r>
          </w:p>
        </w:tc>
        <w:tc>
          <w:tcPr>
            <w:tcW w:w="68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17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4)</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$0.65</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$0.73</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i w:val="1"/>
                <w:iCs w:val="1"/>
                <w:color w:val="auto"/>
              </w:rPr>
              <w:t>12.3%</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$1.81</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$2.17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19.9%</w:t>
            </w:r>
          </w:p>
        </w:tc>
      </w:tr>
      <w:tr>
        <w:trPr>
          <w:trHeight w:val="219"/>
        </w:trPr>
        <w:tc>
          <w:tcPr>
            <w:tcW w:w="426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$1,968</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$2,494</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26.7%</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$7,054</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$6,473</w:t>
            </w:r>
          </w:p>
        </w:tc>
        <w:tc>
          <w:tcPr>
            <w:tcW w:w="680" w:type="dxa"/>
            <w:vAlign w:val="bottom"/>
          </w:tcPr>
          <w:p>
            <w:pPr>
              <w:jc w:val="right"/>
              <w:spacing w:after="0"/>
              <w:rPr>
                <w:sz w:val="20"/>
                <w:szCs w:val="20"/>
                <w:color w:val="auto"/>
              </w:rPr>
            </w:pPr>
            <w:r>
              <w:rPr>
                <w:rFonts w:ascii="Arial" w:cs="Arial" w:eastAsia="Arial" w:hAnsi="Arial"/>
                <w:sz w:val="14"/>
                <w:szCs w:val="14"/>
                <w:color w:val="auto"/>
              </w:rPr>
              <w:t>(8.2%)</w:t>
            </w:r>
          </w:p>
        </w:tc>
      </w:tr>
    </w:tbl>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third quarter of 2014 increased 4.0% to $16.8 billion.</w:t>
      </w:r>
      <w:r>
        <w:rPr>
          <w:rFonts w:ascii="Arial" w:cs="Arial" w:eastAsia="Arial" w:hAnsi="Arial"/>
          <w:sz w:val="18"/>
          <w:szCs w:val="18"/>
          <w:b w:val="1"/>
          <w:bCs w:val="1"/>
          <w:i w:val="1"/>
          <w:iCs w:val="1"/>
          <w:color w:val="auto"/>
        </w:rPr>
        <w:t xml:space="preserve"> Consolidated Operating Cash Flow </w:t>
      </w:r>
      <w:r>
        <w:rPr>
          <w:rFonts w:ascii="Arial" w:cs="Arial" w:eastAsia="Arial" w:hAnsi="Arial"/>
          <w:sz w:val="18"/>
          <w:szCs w:val="18"/>
          <w:color w:val="auto"/>
        </w:rPr>
        <w:t>increased 7.0%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$5.7 billion. The Time Warner Cable and Charter transaction-related costs of $77 million in the third quarter of 2014 were a similar amount to the $74 million of costs associated with the termination of a pension plan in the third quarter of 2013 (See Table 5). </w:t>
      </w:r>
      <w:r>
        <w:rPr>
          <w:rFonts w:ascii="Arial" w:cs="Arial" w:eastAsia="Arial" w:hAnsi="Arial"/>
          <w:sz w:val="18"/>
          <w:szCs w:val="18"/>
          <w:b w:val="1"/>
          <w:bCs w:val="1"/>
          <w:i w:val="1"/>
          <w:iCs w:val="1"/>
          <w:color w:val="auto"/>
        </w:rPr>
        <w:t>Consolidated Operating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Income </w:t>
      </w:r>
      <w:r>
        <w:rPr>
          <w:rFonts w:ascii="Arial" w:cs="Arial" w:eastAsia="Arial" w:hAnsi="Arial"/>
          <w:sz w:val="18"/>
          <w:szCs w:val="18"/>
          <w:color w:val="auto"/>
        </w:rPr>
        <w:t>increased 9.7% to $3.7 billion.</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2014, consolidated revenue increased 6.9% to $51.0 billion. Excluding $1.1 billion of revenue generated by the Sochi Olympics in the first quarter of 2014, consolidated revenue increased 4.6%. Consolidated operating cash flow</w:t>
      </w:r>
    </w:p>
    <w:p>
      <w:pPr>
        <w:sectPr>
          <w:pgSz w:w="11900" w:h="16848" w:orient="portrait"/>
          <w:cols w:equalWidth="0" w:num="1">
            <w:col w:w="11420"/>
          </w:cols>
          <w:pgMar w:left="240" w:top="118" w:right="239" w:bottom="0" w:gutter="0" w:footer="0" w:header="0"/>
        </w:sectPr>
      </w:pPr>
    </w:p>
    <w:bookmarkStart w:id="3" w:name="page4"/>
    <w:bookmarkEnd w:id="3"/>
    <w:p>
      <w:pPr>
        <w:jc w:val="both"/>
        <w:ind w:right="40"/>
        <w:spacing w:after="0"/>
        <w:rPr>
          <w:sz w:val="20"/>
          <w:szCs w:val="20"/>
          <w:color w:val="auto"/>
        </w:rPr>
      </w:pPr>
      <w:r>
        <w:rPr>
          <w:rFonts w:ascii="Arial" w:cs="Arial" w:eastAsia="Arial" w:hAnsi="Arial"/>
          <w:sz w:val="18"/>
          <w:szCs w:val="18"/>
          <w:color w:val="auto"/>
        </w:rPr>
        <w:t>increased 8.0% to $17.0 billion. Excluding $138 million of transaction-related costs in the first nine months of 2014 and pension termination costs in the third quarter of 2013, consolidated operating cash flow increased 8.3% (See Table 5). Consolidated operating income increased 12.1% to $11.1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2014 was $0.99, a 52.3% increase from the $0.65 reported in the third quarter of 2013.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Excluding income tax adjustments and transaction-related costs in the third quarter of 2014, EPS increased 12.3% to $0.73 (see Table 4).</w:t>
      </w:r>
    </w:p>
    <w:p>
      <w:pPr>
        <w:spacing w:after="0" w:line="19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EPS for the nine months ended September 30, 2014 was $2.46, a 33.7% increase from the $1.84 reported in the prior year. Excluding income tax adjustments, gains on the sales of investments, a resolution of a prior acquisition contingency and transaction-related costs in the first nine months of 2014, as well as a gain on the sale of wireless spectrum licenses in the first quarter of 2013, EPS increased 19.9% to $2.17 (see Table 4).</w:t>
      </w:r>
    </w:p>
    <w:p>
      <w:pPr>
        <w:spacing w:after="0" w:line="166"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13.0% to $ 2.0 billion in the third quarter of 2014 compared to the third quarter of 2013.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$212 million, or 14.8%, to $1.6 billion in the third quarter of 2014, primarily reflecting increased investment in support capital as we launch our cloud based initiatives and spending on customer premise equipment related to the deployment of the X1 platform, as well as our ongoing investment in network infrastructure to increase network capacity. Cable capital expenditures represented 14.9% of Cable revenue in the third quarter of 2014 compared to 13.6% in last year’s third quarter. NBCUniversal’s capital expenditures increased $11 million, or 4.0%, to $295 million in the third quarter of 2014, primarily reflecting increased investments in Theme Parks.</w:t>
      </w:r>
    </w:p>
    <w:p>
      <w:pPr>
        <w:spacing w:after="0" w:line="188"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nine months ended September 30, 2014, capital expenditures increased 13.1% to $5.2 billion compared to the prior year. Cable Communications’ capital expenditures increased $516 million, or 13.7%, to $4.3 billion and represented 13.0% of Cable revenue compared to 12.1% in 2013. NBCUniversal’s capital expenditures increased $77 million, or 9.5%, to $884 million for the first nine months of 2014.</w:t>
      </w:r>
    </w:p>
    <w:p>
      <w:pPr>
        <w:spacing w:after="0" w:line="167"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increased 26.7% to $2.5 billion in the third quarter of 2014 compared to $2.0 billion in the third quarter of 2013,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consolidated operating cash flow, improvements in working capital and lower cash taxes on operating items, partially offset by higher capital expenditures. Free cash flow for the nine months ended September 30, 2014 decreased 8.2% to $6.5 billion compared to $7.1 billion in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3rd Quarter</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Year to Date</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2"/>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Growth</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40" w:type="dxa"/>
            <w:vAlign w:val="bottom"/>
          </w:tcPr>
          <w:p>
            <w:pPr>
              <w:spacing w:after="0"/>
              <w:rPr>
                <w:sz w:val="22"/>
                <w:szCs w:val="22"/>
                <w:color w:val="auto"/>
              </w:rPr>
            </w:pP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$5,704</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$15,789</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$17,046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7"/>
                <w:szCs w:val="17"/>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(1,950)</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13.0%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(4,593)</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(5,196)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40" w:type="dxa"/>
            <w:vAlign w:val="bottom"/>
          </w:tcPr>
          <w:p>
            <w:pPr>
              <w:spacing w:after="0"/>
              <w:rPr>
                <w:sz w:val="17"/>
                <w:szCs w:val="17"/>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(258)</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(735)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7"/>
                <w:szCs w:val="17"/>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(656)</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7"/>
                <w:szCs w:val="17"/>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 on Operating Items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(858)</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(17.8%)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7"/>
                <w:szCs w:val="17"/>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412</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149.7%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40" w:type="dxa"/>
            <w:vAlign w:val="bottom"/>
          </w:tcPr>
          <w:p>
            <w:pPr>
              <w:spacing w:after="0"/>
              <w:rPr>
                <w:sz w:val="17"/>
                <w:szCs w:val="17"/>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Noncash Share-Based Compensation</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386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40" w:type="dxa"/>
            <w:vAlign w:val="bottom"/>
          </w:tcPr>
          <w:p>
            <w:pPr>
              <w:spacing w:after="0"/>
              <w:rPr>
                <w:sz w:val="17"/>
                <w:szCs w:val="17"/>
                <w:color w:val="auto"/>
              </w:rPr>
            </w:pPr>
          </w:p>
        </w:tc>
      </w:tr>
      <w:tr>
        <w:trPr>
          <w:trHeight w:val="201"/>
        </w:trPr>
        <w:tc>
          <w:tcPr>
            <w:tcW w:w="48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1220" w:type="dxa"/>
            <w:vAlign w:val="bottom"/>
          </w:tcPr>
          <w:p>
            <w:pPr>
              <w:jc w:val="right"/>
              <w:spacing w:after="0"/>
              <w:rPr>
                <w:sz w:val="20"/>
                <w:szCs w:val="20"/>
                <w:color w:val="auto"/>
              </w:rPr>
            </w:pPr>
            <w:r>
              <w:rPr>
                <w:rFonts w:ascii="Arial" w:cs="Arial" w:eastAsia="Arial" w:hAnsi="Arial"/>
                <w:sz w:val="14"/>
                <w:szCs w:val="14"/>
                <w:color w:val="auto"/>
              </w:rPr>
              <w:t>(48)</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(53)</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10.4%</w:t>
            </w:r>
          </w:p>
        </w:tc>
        <w:tc>
          <w:tcPr>
            <w:tcW w:w="1040" w:type="dxa"/>
            <w:vAlign w:val="bottom"/>
          </w:tcPr>
          <w:p>
            <w:pPr>
              <w:jc w:val="right"/>
              <w:spacing w:after="0"/>
              <w:rPr>
                <w:sz w:val="20"/>
                <w:szCs w:val="20"/>
                <w:color w:val="auto"/>
              </w:rPr>
            </w:pPr>
            <w:r>
              <w:rPr>
                <w:rFonts w:ascii="Arial" w:cs="Arial" w:eastAsia="Arial" w:hAnsi="Arial"/>
                <w:sz w:val="14"/>
                <w:szCs w:val="14"/>
                <w:color w:val="auto"/>
              </w:rPr>
              <w:t>(164)</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(170)</w:t>
            </w:r>
          </w:p>
        </w:tc>
        <w:tc>
          <w:tcPr>
            <w:tcW w:w="84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7"/>
                <w:szCs w:val="17"/>
                <w:color w:val="auto"/>
              </w:rPr>
            </w:pPr>
          </w:p>
        </w:tc>
      </w:tr>
      <w:tr>
        <w:trPr>
          <w:trHeight w:val="157"/>
        </w:trPr>
        <w:tc>
          <w:tcPr>
            <w:tcW w:w="48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Redeemable Subsidiary Preferred Stock</w:t>
            </w:r>
          </w:p>
        </w:tc>
        <w:tc>
          <w:tcPr>
            <w:tcW w:w="1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(57.7%)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40" w:type="dxa"/>
            <w:vAlign w:val="bottom"/>
          </w:tcPr>
          <w:p>
            <w:pPr>
              <w:spacing w:after="0"/>
              <w:rPr>
                <w:sz w:val="17"/>
                <w:szCs w:val="17"/>
                <w:color w:val="auto"/>
              </w:rPr>
            </w:pP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color w:val="auto"/>
                <w:vertAlign w:val="superscript"/>
              </w:rPr>
              <w:t>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$2,494</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26.7%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$7,054</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$6,473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w:t>
            </w:r>
          </w:p>
        </w:tc>
        <w:tc>
          <w:tcPr>
            <w:tcW w:w="40" w:type="dxa"/>
            <w:vAlign w:val="bottom"/>
          </w:tcPr>
          <w:p>
            <w:pPr>
              <w:spacing w:after="0"/>
              <w:rPr>
                <w:sz w:val="17"/>
                <w:szCs w:val="17"/>
                <w:color w:val="auto"/>
              </w:rPr>
            </w:pPr>
          </w:p>
        </w:tc>
      </w:tr>
      <w:tr>
        <w:trPr>
          <w:trHeight w:val="211"/>
        </w:trPr>
        <w:tc>
          <w:tcPr>
            <w:tcW w:w="484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65"/>
        </w:trPr>
        <w:tc>
          <w:tcPr>
            <w:tcW w:w="4840" w:type="dxa"/>
            <w:vAlign w:val="bottom"/>
          </w:tcPr>
          <w:p>
            <w:pPr>
              <w:spacing w:after="0"/>
              <w:rPr>
                <w:sz w:val="24"/>
                <w:szCs w:val="24"/>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2</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84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tcPr>
          <w:p>
            <w:pPr>
              <w:spacing w:after="0"/>
              <w:rPr>
                <w:sz w:val="10"/>
                <w:szCs w:val="10"/>
                <w:color w:val="auto"/>
              </w:rPr>
            </w:pPr>
          </w:p>
        </w:tc>
        <w:tc>
          <w:tcPr>
            <w:tcW w:w="1080" w:type="dxa"/>
            <w:vAlign w:val="bottom"/>
            <w:tcBorders>
              <w:bottom w:val="single" w:sz="8" w:color="010101"/>
            </w:tcBorders>
          </w:tcPr>
          <w:p>
            <w:pPr>
              <w:spacing w:after="0"/>
              <w:rPr>
                <w:sz w:val="10"/>
                <w:szCs w:val="10"/>
                <w:color w:val="auto"/>
              </w:rPr>
            </w:pPr>
          </w:p>
        </w:tc>
        <w:tc>
          <w:tcPr>
            <w:tcW w:w="1200" w:type="dxa"/>
            <w:vAlign w:val="bottom"/>
            <w:tcBorders>
              <w:bottom w:val="single" w:sz="8" w:color="010101"/>
            </w:tcBorders>
          </w:tcPr>
          <w:p>
            <w:pPr>
              <w:spacing w:after="0"/>
              <w:rPr>
                <w:sz w:val="10"/>
                <w:szCs w:val="10"/>
                <w:color w:val="auto"/>
              </w:rPr>
            </w:pPr>
          </w:p>
        </w:tc>
        <w:tc>
          <w:tcPr>
            <w:tcW w:w="1040" w:type="dxa"/>
            <w:vAlign w:val="bottom"/>
            <w:tcBorders>
              <w:bottom w:val="single" w:sz="8" w:color="010101"/>
            </w:tcBorders>
          </w:tcPr>
          <w:p>
            <w:pPr>
              <w:spacing w:after="0"/>
              <w:rPr>
                <w:sz w:val="10"/>
                <w:szCs w:val="10"/>
                <w:color w:val="auto"/>
              </w:rPr>
            </w:pPr>
          </w:p>
        </w:tc>
        <w:tc>
          <w:tcPr>
            <w:tcW w:w="1200" w:type="dxa"/>
            <w:vAlign w:val="bottom"/>
            <w:tcBorders>
              <w:bottom w:val="single" w:sz="8" w:color="010101"/>
            </w:tcBorders>
          </w:tcPr>
          <w:p>
            <w:pPr>
              <w:spacing w:after="0"/>
              <w:rPr>
                <w:sz w:val="10"/>
                <w:szCs w:val="10"/>
                <w:color w:val="auto"/>
              </w:rPr>
            </w:pPr>
          </w:p>
        </w:tc>
        <w:tc>
          <w:tcPr>
            <w:tcW w:w="84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third quarter of 2014, Comcast paid dividends totaling $582 million and repurchased 13.9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$ 750 million. In the first nine months of 2014, Comcast has repurchased 43.8 million of its common shares for $2.3 billion. As of September 30, 2014, Comcast had approximately $5.25 billion available under its share repurchase authorization.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60" w:type="dxa"/>
            <w:vAlign w:val="bottom"/>
            <w:tcBorders>
              <w:top w:val="single" w:sz="8" w:color="C9C9C9"/>
            </w:tcBorders>
          </w:tcPr>
          <w:p>
            <w:pPr>
              <w:spacing w:after="0"/>
              <w:rPr>
                <w:sz w:val="13"/>
                <w:szCs w:val="13"/>
                <w:color w:val="auto"/>
              </w:rPr>
            </w:pPr>
          </w:p>
        </w:tc>
        <w:tc>
          <w:tcPr>
            <w:tcW w:w="1660" w:type="dxa"/>
            <w:vAlign w:val="bottom"/>
            <w:tcBorders>
              <w:top w:val="single" w:sz="8" w:color="C9C9C9"/>
            </w:tcBorders>
          </w:tcPr>
          <w:p>
            <w:pPr>
              <w:spacing w:after="0"/>
              <w:rPr>
                <w:sz w:val="13"/>
                <w:szCs w:val="13"/>
                <w:color w:val="auto"/>
              </w:rPr>
            </w:pPr>
          </w:p>
        </w:tc>
        <w:tc>
          <w:tcPr>
            <w:tcW w:w="1180" w:type="dxa"/>
            <w:vAlign w:val="bottom"/>
            <w:tcBorders>
              <w:top w:val="single" w:sz="8" w:color="C9C9C9"/>
            </w:tcBorders>
          </w:tcPr>
          <w:p>
            <w:pPr>
              <w:jc w:val="right"/>
              <w:ind w:right="268"/>
              <w:spacing w:after="0"/>
              <w:rPr>
                <w:sz w:val="20"/>
                <w:szCs w:val="20"/>
                <w:color w:val="auto"/>
              </w:rPr>
            </w:pPr>
            <w:r>
              <w:rPr>
                <w:rFonts w:ascii="Arial" w:cs="Arial" w:eastAsia="Arial" w:hAnsi="Arial"/>
                <w:sz w:val="14"/>
                <w:szCs w:val="14"/>
                <w:color w:val="auto"/>
              </w:rPr>
              <w:t>3rd Quarter</w:t>
            </w:r>
          </w:p>
        </w:tc>
        <w:tc>
          <w:tcPr>
            <w:tcW w:w="1300" w:type="dxa"/>
            <w:vAlign w:val="bottom"/>
            <w:tcBorders>
              <w:top w:val="single" w:sz="8" w:color="C9C9C9"/>
            </w:tcBorders>
          </w:tcPr>
          <w:p>
            <w:pPr>
              <w:spacing w:after="0"/>
              <w:rPr>
                <w:sz w:val="13"/>
                <w:szCs w:val="13"/>
                <w:color w:val="auto"/>
              </w:rPr>
            </w:pPr>
          </w:p>
        </w:tc>
        <w:tc>
          <w:tcPr>
            <w:tcW w:w="1100" w:type="dxa"/>
            <w:vAlign w:val="bottom"/>
            <w:tcBorders>
              <w:top w:val="single" w:sz="8" w:color="C9C9C9"/>
            </w:tcBorders>
          </w:tcPr>
          <w:p>
            <w:pPr>
              <w:spacing w:after="0"/>
              <w:rPr>
                <w:sz w:val="13"/>
                <w:szCs w:val="13"/>
                <w:color w:val="auto"/>
              </w:rPr>
            </w:pPr>
          </w:p>
        </w:tc>
        <w:tc>
          <w:tcPr>
            <w:tcW w:w="1200" w:type="dxa"/>
            <w:vAlign w:val="bottom"/>
            <w:tcBorders>
              <w:top w:val="single" w:sz="8" w:color="C9C9C9"/>
            </w:tcBorders>
          </w:tcPr>
          <w:p>
            <w:pPr>
              <w:jc w:val="right"/>
              <w:ind w:right="228"/>
              <w:spacing w:after="0"/>
              <w:rPr>
                <w:sz w:val="20"/>
                <w:szCs w:val="20"/>
                <w:color w:val="auto"/>
              </w:rPr>
            </w:pPr>
            <w:r>
              <w:rPr>
                <w:rFonts w:ascii="Arial" w:cs="Arial" w:eastAsia="Arial" w:hAnsi="Arial"/>
                <w:sz w:val="14"/>
                <w:szCs w:val="14"/>
                <w:color w:val="auto"/>
              </w:rPr>
              <w:t>Year to Date</w:t>
            </w:r>
          </w:p>
        </w:tc>
        <w:tc>
          <w:tcPr>
            <w:tcW w:w="820" w:type="dxa"/>
            <w:vAlign w:val="bottom"/>
            <w:tcBorders>
              <w:top w:val="single" w:sz="8" w:color="C9C9C9"/>
            </w:tcBorders>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416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2014</w:t>
            </w: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Growth</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2013</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2014</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Growth</w:t>
            </w:r>
          </w:p>
        </w:tc>
      </w:tr>
      <w:tr>
        <w:trPr>
          <w:trHeight w:val="210"/>
        </w:trPr>
        <w:tc>
          <w:tcPr>
            <w:tcW w:w="4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$5,127</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$5,179</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1.0%</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$15,415</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$15,596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2,592</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2,840</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9.6%</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7,684</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8,409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913</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(0.5%)</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2,729</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2,755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1,011</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21.0%</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2,365</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2,893</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22.3%</w:t>
            </w: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607</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12.3%</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1,587</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20" w:type="dxa"/>
            <w:vAlign w:val="bottom"/>
            <w:tcBorders>
              <w:bottom w:val="single" w:sz="8" w:color="auto"/>
            </w:tcBorders>
          </w:tcPr>
          <w:p>
            <w:pPr>
              <w:spacing w:after="0"/>
              <w:rPr>
                <w:sz w:val="18"/>
                <w:szCs w:val="18"/>
                <w:color w:val="auto"/>
              </w:rPr>
            </w:pPr>
          </w:p>
        </w:tc>
      </w:tr>
      <w:tr>
        <w:trPr>
          <w:trHeight w:val="223"/>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491</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2.4%</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1,395</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1,449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0" w:type="dxa"/>
            <w:vAlign w:val="bottom"/>
            <w:tcBorders>
              <w:bottom w:val="single" w:sz="8" w:color="auto"/>
            </w:tcBorders>
          </w:tcPr>
          <w:p>
            <w:pPr>
              <w:spacing w:after="0"/>
              <w:rPr>
                <w:sz w:val="19"/>
                <w:szCs w:val="19"/>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$10,491</w:t>
            </w: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$11,041</w:t>
            </w:r>
          </w:p>
        </w:tc>
        <w:tc>
          <w:tcPr>
            <w:tcW w:w="1300" w:type="dxa"/>
            <w:vAlign w:val="bottom"/>
          </w:tcPr>
          <w:p>
            <w:pPr>
              <w:jc w:val="right"/>
              <w:ind w:right="428"/>
              <w:spacing w:after="0"/>
              <w:rPr>
                <w:sz w:val="20"/>
                <w:szCs w:val="20"/>
                <w:color w:val="auto"/>
              </w:rPr>
            </w:pPr>
            <w:r>
              <w:rPr>
                <w:rFonts w:ascii="Arial" w:cs="Arial" w:eastAsia="Arial" w:hAnsi="Arial"/>
                <w:sz w:val="14"/>
                <w:szCs w:val="14"/>
                <w:b w:val="1"/>
                <w:bCs w:val="1"/>
                <w:color w:val="auto"/>
              </w:rPr>
              <w:t>5.2%</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$31,175</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$32,827</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20" w:type="dxa"/>
            <w:vAlign w:val="bottom"/>
          </w:tcPr>
          <w:p>
            <w:pPr>
              <w:spacing w:after="0"/>
              <w:rPr>
                <w:sz w:val="17"/>
                <w:szCs w:val="17"/>
                <w:color w:val="auto"/>
              </w:rPr>
            </w:pPr>
          </w:p>
        </w:tc>
      </w:tr>
      <w:tr>
        <w:trPr>
          <w:trHeight w:val="235"/>
        </w:trPr>
        <w:tc>
          <w:tcPr>
            <w:tcW w:w="4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$4,246</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$4,464</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5.1%</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$12,800</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$13,428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20" w:type="dxa"/>
            <w:vAlign w:val="bottom"/>
          </w:tcPr>
          <w:p>
            <w:pPr>
              <w:spacing w:after="0"/>
              <w:rPr>
                <w:sz w:val="18"/>
                <w:szCs w:val="18"/>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40.4%</w:t>
            </w:r>
          </w:p>
        </w:tc>
        <w:tc>
          <w:tcPr>
            <w:tcW w:w="1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40.9%</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5"/>
        </w:trPr>
        <w:tc>
          <w:tcPr>
            <w:tcW w:w="4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$1,432</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$1,644</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14.8%</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$3,766</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$4,282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20" w:type="dxa"/>
            <w:vAlign w:val="bottom"/>
          </w:tcPr>
          <w:p>
            <w:pPr>
              <w:spacing w:after="0"/>
              <w:rPr>
                <w:sz w:val="18"/>
                <w:szCs w:val="18"/>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14.9%</w:t>
            </w:r>
          </w:p>
        </w:tc>
        <w:tc>
          <w:tcPr>
            <w:tcW w:w="1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13.0%</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18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5.2% to $11.0 billion in the third quarter of 2014 compared to $ 10.5 billion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driven by increases of 9.6% in high-speed Internet and 21.0% in business services. The increase in Cable revenue reflects rate adjustments, customers receiving higher levels of services and customer growth (see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2014, Cable revenue increased 5.3% to $32.8 billion compared to $31.2 billion in 2013.</w:t>
      </w:r>
    </w:p>
    <w:p>
      <w:pPr>
        <w:spacing w:after="0" w:line="176"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82,000 to 26.9 million during the third quarter of 2014, more than three-times the customer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additions in the third quarter of 2013. At the end of the third quarter, penetration of our triple product customers increased to 36%</w:t>
      </w:r>
    </w:p>
    <w:p>
      <w:pPr>
        <w:sectPr>
          <w:pgSz w:w="11900" w:h="16838" w:orient="portrait"/>
          <w:cols w:equalWidth="0" w:num="1">
            <w:col w:w="11460"/>
          </w:cols>
          <w:pgMar w:left="240" w:top="140" w:right="199" w:bottom="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18"/>
          <w:szCs w:val="18"/>
          <w:color w:val="auto"/>
        </w:rPr>
        <w:t>compared to 34% in the third quarter of 2013. High-speed Internet customer net additions improved versus last year and were the strongest for a third quarter in five years. Video customer net losses improved 36% year-over-year and were the best result for a third quarter in seven years. Voice net additions slowed, reflecting a focus on double play during the back-to-school season, as well as X1 availability that was more focused on triple play customers last year, making for a difficult comparison.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360" w:type="dxa"/>
            <w:vAlign w:val="bottom"/>
          </w:tcPr>
          <w:p>
            <w:pPr>
              <w:spacing w:after="0"/>
              <w:rPr>
                <w:sz w:val="14"/>
                <w:szCs w:val="14"/>
                <w:color w:val="auto"/>
              </w:rPr>
            </w:pPr>
          </w:p>
        </w:tc>
        <w:tc>
          <w:tcPr>
            <w:tcW w:w="1860" w:type="dxa"/>
            <w:vAlign w:val="bottom"/>
          </w:tcPr>
          <w:p>
            <w:pPr>
              <w:jc w:val="right"/>
              <w:ind w:right="88"/>
              <w:spacing w:after="0"/>
              <w:rPr>
                <w:sz w:val="20"/>
                <w:szCs w:val="20"/>
                <w:color w:val="auto"/>
              </w:rPr>
            </w:pPr>
            <w:r>
              <w:rPr>
                <w:rFonts w:ascii="Arial" w:cs="Arial" w:eastAsia="Arial" w:hAnsi="Arial"/>
                <w:sz w:val="14"/>
                <w:szCs w:val="14"/>
                <w:color w:val="auto"/>
              </w:rPr>
              <w:t>Net Adds</w:t>
            </w:r>
          </w:p>
        </w:tc>
        <w:tc>
          <w:tcPr>
            <w:tcW w:w="540" w:type="dxa"/>
            <w:vAlign w:val="bottom"/>
          </w:tcPr>
          <w:p>
            <w:pPr>
              <w:spacing w:after="0"/>
              <w:rPr>
                <w:sz w:val="14"/>
                <w:szCs w:val="14"/>
                <w:color w:val="auto"/>
              </w:rPr>
            </w:pPr>
          </w:p>
        </w:tc>
      </w:tr>
      <w:tr>
        <w:trPr>
          <w:trHeight w:val="195"/>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Billable Customers Method</w:t>
            </w:r>
            <w:r>
              <w:rPr>
                <w:rFonts w:ascii="Arial" w:cs="Arial" w:eastAsia="Arial" w:hAnsi="Arial"/>
                <w:sz w:val="14"/>
                <w:szCs w:val="14"/>
                <w:i w:val="1"/>
                <w:iCs w:val="1"/>
                <w:color w:val="auto"/>
                <w:vertAlign w:val="superscript"/>
              </w:rPr>
              <w:t>4</w:t>
            </w:r>
            <w:r>
              <w:rPr>
                <w:rFonts w:ascii="Arial" w:cs="Arial" w:eastAsia="Arial" w:hAnsi="Arial"/>
                <w:sz w:val="14"/>
                <w:szCs w:val="14"/>
                <w:i w:val="1"/>
                <w:iCs w:val="1"/>
                <w:color w:val="auto"/>
              </w:rPr>
              <w:t xml:space="preserve"> </w:t>
            </w:r>
            <w:r>
              <w:rPr>
                <w:rFonts w:ascii="Arial" w:cs="Arial" w:eastAsia="Arial" w:hAnsi="Arial"/>
                <w:sz w:val="10"/>
                <w:szCs w:val="10"/>
                <w:i w:val="1"/>
                <w:iCs w:val="1"/>
                <w:color w:val="auto"/>
              </w:rPr>
              <w:t>(in thousands)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3Q13</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3Q14</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3Q13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3Q14</w:t>
            </w:r>
          </w:p>
        </w:tc>
      </w:t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22,531</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22,376</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(127)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20,283</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21,586</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297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10,496</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11,070</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169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r>
      <w:tr>
        <w:trPr>
          <w:trHeight w:val="210"/>
        </w:trPr>
        <w:tc>
          <w:tcPr>
            <w:tcW w:w="45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8,921</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8,444</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(124)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8,491</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8,650</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Triple Product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9,144</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9,763</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164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18"/>
        </w:trPr>
        <w:tc>
          <w:tcPr>
            <w:tcW w:w="456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3100" w:type="dxa"/>
            <w:vAlign w:val="bottom"/>
          </w:tcPr>
          <w:p>
            <w:pPr>
              <w:jc w:val="right"/>
              <w:ind w:right="548"/>
              <w:spacing w:after="0"/>
              <w:rPr>
                <w:sz w:val="20"/>
                <w:szCs w:val="20"/>
                <w:color w:val="auto"/>
              </w:rPr>
            </w:pPr>
            <w:r>
              <w:rPr>
                <w:rFonts w:ascii="Arial" w:cs="Arial" w:eastAsia="Arial" w:hAnsi="Arial"/>
                <w:sz w:val="14"/>
                <w:szCs w:val="14"/>
                <w:b w:val="1"/>
                <w:bCs w:val="1"/>
                <w:color w:val="auto"/>
              </w:rPr>
              <w:t>26,555</w:t>
            </w:r>
          </w:p>
        </w:tc>
        <w:tc>
          <w:tcPr>
            <w:tcW w:w="1360" w:type="dxa"/>
            <w:vAlign w:val="bottom"/>
          </w:tcPr>
          <w:p>
            <w:pPr>
              <w:jc w:val="right"/>
              <w:ind w:right="828"/>
              <w:spacing w:after="0"/>
              <w:rPr>
                <w:sz w:val="20"/>
                <w:szCs w:val="20"/>
                <w:color w:val="auto"/>
              </w:rPr>
            </w:pPr>
            <w:r>
              <w:rPr>
                <w:rFonts w:ascii="Arial" w:cs="Arial" w:eastAsia="Arial" w:hAnsi="Arial"/>
                <w:sz w:val="14"/>
                <w:szCs w:val="14"/>
                <w:b w:val="1"/>
                <w:bCs w:val="1"/>
                <w:color w:val="auto"/>
              </w:rPr>
              <w:t>26,857</w:t>
            </w:r>
          </w:p>
        </w:tc>
        <w:tc>
          <w:tcPr>
            <w:tcW w:w="1860" w:type="dxa"/>
            <w:vAlign w:val="bottom"/>
          </w:tcPr>
          <w:p>
            <w:pPr>
              <w:jc w:val="right"/>
              <w:ind w:right="528"/>
              <w:spacing w:after="0"/>
              <w:rPr>
                <w:sz w:val="20"/>
                <w:szCs w:val="20"/>
                <w:color w:val="auto"/>
              </w:rPr>
            </w:pPr>
            <w:r>
              <w:rPr>
                <w:rFonts w:ascii="Arial" w:cs="Arial" w:eastAsia="Arial" w:hAnsi="Arial"/>
                <w:sz w:val="14"/>
                <w:szCs w:val="14"/>
                <w:b w:val="1"/>
                <w:bCs w:val="1"/>
                <w:color w:val="auto"/>
              </w:rPr>
              <w:t>26</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5.1% to $4.5 billion in the third quarter of 2014 compared to $4.2 billion in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2013, reflecting higher revenue, partially offset by a 5.3% increase in operating expenses primarily related to higher video programming costs, as well as an increase in advertising, marketing and promotion expenses. This quarter’s operating cash flow margin was 40.4% compared to 40.5% in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2014, Cable operating cash flow increased 4.9% to $13.4 billion compared to $12.8 billion in 2013.</w:t>
      </w:r>
    </w:p>
    <w:p>
      <w:pPr>
        <w:spacing w:after="0"/>
        <w:rPr>
          <w:sz w:val="20"/>
          <w:szCs w:val="20"/>
          <w:color w:val="auto"/>
        </w:rPr>
      </w:pPr>
      <w:r>
        <w:rPr>
          <w:rFonts w:ascii="Arial" w:cs="Arial" w:eastAsia="Arial" w:hAnsi="Arial"/>
          <w:sz w:val="18"/>
          <w:szCs w:val="18"/>
          <w:color w:val="auto"/>
        </w:rPr>
        <w:t>Year-to-date operating cash flow margin was 40.9% compared to 41.1% in 2013.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3rd Quarter</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20" w:type="dxa"/>
            <w:vAlign w:val="bottom"/>
            <w:gridSpan w:val="2"/>
          </w:tcPr>
          <w:p>
            <w:pPr>
              <w:jc w:val="right"/>
              <w:ind w:right="688"/>
              <w:spacing w:after="0"/>
              <w:rPr>
                <w:sz w:val="20"/>
                <w:szCs w:val="20"/>
                <w:color w:val="auto"/>
              </w:rPr>
            </w:pPr>
            <w:r>
              <w:rPr>
                <w:rFonts w:ascii="Arial" w:cs="Arial" w:eastAsia="Arial" w:hAnsi="Arial"/>
                <w:sz w:val="14"/>
                <w:szCs w:val="14"/>
                <w:color w:val="auto"/>
              </w:rPr>
              <w:t>Year to Date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0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1180" w:type="dxa"/>
            <w:vAlign w:val="bottom"/>
            <w:vMerge w:val="restart"/>
          </w:tcPr>
          <w:p>
            <w:pPr>
              <w:jc w:val="right"/>
              <w:ind w:right="228"/>
              <w:spacing w:after="0"/>
              <w:rPr>
                <w:sz w:val="20"/>
                <w:szCs w:val="20"/>
                <w:color w:val="auto"/>
              </w:rPr>
            </w:pPr>
            <w:r>
              <w:rPr>
                <w:rFonts w:ascii="Arial" w:cs="Arial" w:eastAsia="Arial" w:hAnsi="Arial"/>
                <w:sz w:val="14"/>
                <w:szCs w:val="14"/>
                <w:color w:val="auto"/>
              </w:rPr>
              <w:t>2014</w:t>
            </w:r>
          </w:p>
        </w:tc>
        <w:tc>
          <w:tcPr>
            <w:tcW w:w="1280" w:type="dxa"/>
            <w:vAlign w:val="bottom"/>
            <w:vMerge w:val="restart"/>
          </w:tcPr>
          <w:p>
            <w:pPr>
              <w:jc w:val="right"/>
              <w:ind w:right="408"/>
              <w:spacing w:after="0"/>
              <w:rPr>
                <w:sz w:val="20"/>
                <w:szCs w:val="20"/>
                <w:color w:val="auto"/>
              </w:rPr>
            </w:pPr>
            <w:r>
              <w:rPr>
                <w:rFonts w:ascii="Arial" w:cs="Arial" w:eastAsia="Arial" w:hAnsi="Arial"/>
                <w:sz w:val="14"/>
                <w:szCs w:val="14"/>
                <w:color w:val="auto"/>
              </w:rPr>
              <w:t>Growth</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2013</w:t>
            </w: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color w:val="auto"/>
              </w:rPr>
              <w:t>2014</w:t>
            </w: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color w:val="auto"/>
              </w:rPr>
              <w:t>Growth</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Excluding</w:t>
            </w:r>
          </w:p>
        </w:tc>
        <w:tc>
          <w:tcPr>
            <w:tcW w:w="0" w:type="dxa"/>
            <w:vAlign w:val="bottom"/>
          </w:tcPr>
          <w:p>
            <w:pPr>
              <w:spacing w:after="0"/>
              <w:rPr>
                <w:sz w:val="1"/>
                <w:szCs w:val="1"/>
                <w:color w:val="auto"/>
              </w:rPr>
            </w:pPr>
          </w:p>
        </w:tc>
      </w:tr>
      <w:tr>
        <w:trPr>
          <w:trHeight w:val="105"/>
        </w:trPr>
        <w:tc>
          <w:tcPr>
            <w:tcW w:w="33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 in millions)</w:t>
            </w:r>
          </w:p>
        </w:tc>
        <w:tc>
          <w:tcPr>
            <w:tcW w:w="13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Olympics</w:t>
            </w:r>
          </w:p>
        </w:tc>
        <w:tc>
          <w:tcPr>
            <w:tcW w:w="0" w:type="dxa"/>
            <w:vAlign w:val="bottom"/>
          </w:tcPr>
          <w:p>
            <w:pPr>
              <w:spacing w:after="0"/>
              <w:rPr>
                <w:sz w:val="1"/>
                <w:szCs w:val="1"/>
                <w:color w:val="auto"/>
              </w:rPr>
            </w:pPr>
          </w:p>
        </w:tc>
      </w:tr>
      <w:tr>
        <w:trPr>
          <w:trHeight w:val="73"/>
        </w:trPr>
        <w:tc>
          <w:tcPr>
            <w:tcW w:w="3300" w:type="dxa"/>
            <w:vAlign w:val="bottom"/>
            <w:tcBorders>
              <w:bottom w:val="single" w:sz="8" w:color="auto"/>
            </w:tcBorders>
            <w:vMerge w:val="continue"/>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NBCUniversal Revenue</w:t>
            </w:r>
          </w:p>
        </w:tc>
        <w:tc>
          <w:tcPr>
            <w:tcW w:w="1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Cable Networks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$2,255</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0.7%</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$6,877</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$7,236</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Broadcast Television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1,770</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7.7%</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4,893</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6,207</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26.9%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Filmed Entertainment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1,186</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(15.2%)</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4,004</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3,713</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(7.3%)</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Theme Parks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786</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18.7%</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1,669</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1,888</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Headquarters, Other and Eliminations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(76)</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(257)</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(231)</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60"/>
              <w:spacing w:after="0"/>
              <w:rPr>
                <w:sz w:val="20"/>
                <w:szCs w:val="20"/>
                <w:color w:val="auto"/>
              </w:rPr>
            </w:pPr>
            <w:r>
              <w:rPr>
                <w:rFonts w:ascii="Arial" w:cs="Arial" w:eastAsia="Arial" w:hAnsi="Arial"/>
                <w:sz w:val="14"/>
                <w:szCs w:val="14"/>
                <w:b w:val="1"/>
                <w:bCs w:val="1"/>
                <w:color w:val="auto"/>
              </w:rPr>
              <w:t>NBCUniversal Revenue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$5,851</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$5,921</w:t>
            </w:r>
          </w:p>
        </w:tc>
        <w:tc>
          <w:tcPr>
            <w:tcW w:w="1280" w:type="dxa"/>
            <w:vAlign w:val="bottom"/>
          </w:tcPr>
          <w:p>
            <w:pPr>
              <w:jc w:val="right"/>
              <w:ind w:right="408"/>
              <w:spacing w:after="0"/>
              <w:rPr>
                <w:sz w:val="20"/>
                <w:szCs w:val="20"/>
                <w:color w:val="auto"/>
              </w:rPr>
            </w:pPr>
            <w:r>
              <w:rPr>
                <w:rFonts w:ascii="Arial" w:cs="Arial" w:eastAsia="Arial" w:hAnsi="Arial"/>
                <w:sz w:val="14"/>
                <w:szCs w:val="14"/>
                <w:b w:val="1"/>
                <w:bCs w:val="1"/>
                <w:color w:val="auto"/>
              </w:rPr>
              <w:t>1.2%</w:t>
            </w: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$17,186</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$18,813</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9.5%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NBCUniversal Operating Cash Flow</w:t>
            </w:r>
          </w:p>
        </w:tc>
        <w:tc>
          <w:tcPr>
            <w:tcW w:w="1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Cable Networks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$868</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1.8%</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$2,572</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$2,677</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Broadcast Television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142</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205</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504</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145.6%</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Filmed Entertainment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151</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(20.3%)</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291</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634</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117.7%</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Theme Parks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402</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16.9%</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747</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816</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Headquarters, Other and Eliminations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(147)</w:t>
            </w: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(421)</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(470)</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tcPr>
          <w:p>
            <w:pPr>
              <w:ind w:left="60"/>
              <w:spacing w:after="0"/>
              <w:rPr>
                <w:sz w:val="20"/>
                <w:szCs w:val="20"/>
                <w:color w:val="auto"/>
              </w:rPr>
            </w:pPr>
            <w:r>
              <w:rPr>
                <w:rFonts w:ascii="Arial" w:cs="Arial" w:eastAsia="Arial" w:hAnsi="Arial"/>
                <w:sz w:val="14"/>
                <w:szCs w:val="14"/>
                <w:b w:val="1"/>
                <w:bCs w:val="1"/>
                <w:color w:val="auto"/>
              </w:rPr>
              <w:t>NBCUniversal Operating Cash Flow</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$1,250</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$1,416</w:t>
            </w:r>
          </w:p>
        </w:tc>
        <w:tc>
          <w:tcPr>
            <w:tcW w:w="1280" w:type="dxa"/>
            <w:vAlign w:val="bottom"/>
          </w:tcPr>
          <w:p>
            <w:pPr>
              <w:jc w:val="right"/>
              <w:ind w:right="408"/>
              <w:spacing w:after="0"/>
              <w:rPr>
                <w:sz w:val="20"/>
                <w:szCs w:val="20"/>
                <w:color w:val="auto"/>
              </w:rPr>
            </w:pPr>
            <w:r>
              <w:rPr>
                <w:rFonts w:ascii="Arial" w:cs="Arial" w:eastAsia="Arial" w:hAnsi="Arial"/>
                <w:sz w:val="14"/>
                <w:szCs w:val="14"/>
                <w:b w:val="1"/>
                <w:bCs w:val="1"/>
                <w:color w:val="auto"/>
              </w:rPr>
              <w:t>13.3%</w:t>
            </w: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$3,394</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$4,161</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22.6%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1.2% to $ 5.9 billion in the third quarter of 2014 compared to the third quarter of 2013, as revenue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Broadcast Television and Theme Parks was partially offset by lower theatrical revenue in the Filmed Entertainment segment. </w:t>
      </w:r>
      <w:r>
        <w:rPr>
          <w:rFonts w:ascii="Arial" w:cs="Arial" w:eastAsia="Arial" w:hAnsi="Arial"/>
          <w:sz w:val="18"/>
          <w:szCs w:val="18"/>
          <w:b w:val="1"/>
          <w:bCs w:val="1"/>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Cash Flow </w:t>
      </w:r>
      <w:r>
        <w:rPr>
          <w:rFonts w:ascii="Arial" w:cs="Arial" w:eastAsia="Arial" w:hAnsi="Arial"/>
          <w:sz w:val="18"/>
          <w:szCs w:val="18"/>
          <w:color w:val="auto"/>
        </w:rPr>
        <w:t>increased 13.3% to $1.4 billion compared to $1.3 billion in the third quarter of 2013, driven by strong results at Broadcast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Theme Parks.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2014, NBCUniversal revenue increased 9.5% to $18.8 billion compared to $17.2 billion in 2013.</w:t>
      </w:r>
    </w:p>
    <w:p>
      <w:pPr>
        <w:spacing w:after="0" w:line="234" w:lineRule="auto"/>
        <w:rPr>
          <w:sz w:val="20"/>
          <w:szCs w:val="20"/>
          <w:color w:val="auto"/>
        </w:rPr>
      </w:pPr>
      <w:r>
        <w:rPr>
          <w:rFonts w:ascii="Arial" w:cs="Arial" w:eastAsia="Arial" w:hAnsi="Arial"/>
          <w:sz w:val="18"/>
          <w:szCs w:val="18"/>
          <w:color w:val="auto"/>
        </w:rPr>
        <w:t>Excluding $1.1 billion of revenue generated by the Sochi Olympics in the first quarter of 2014, NBCUniversal revenue increased 3.0% (see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Table 5). Operating cash flow increased 22.6% to $4.2 billion compared to $3.4 billion in the first nine months of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third quarter of 2014, revenue from the Cable Networks segment increased 0.7% to $2.3 billion compared to $2.2 billion in the third quarter of 2013, reflecting a 5.1% increase in distribution revenue, partially offset by a 4.6% decline in advertising revenue, primarily due to a decline in ratings. Operating cash flow increased 1.8% to $868 million compared to $853 million in the third quarter of 2013, reflecting higher revenue and flat operating costs, even as we continue to invest in programming.</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2014, revenue from the Cable Networks segment increased 5.2% to $7.2 billion compared to $6.9 billion in 2013. Excluding $257 million of revenue generated by the Sochi Olympics in the first quarter of 2014, revenue increased 1.5%. Operating cash flow increased 4.1% to $2.7 billion compared to $2.6 billion in the first nine months of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third quarter of 2014, revenue from the Broadcast Television segment increased 7.7% to $1.8 billion compared to $1.6 billion in the third quarter of 2013, driven by an increase in advertising revenue due to strong ratings at the NBC broadcast network, as well as higher retransmission consent fees and an increase in content licensing revenue. Operating cash flow increased $108 million to $142 million compared to $34 million in the third quarter of 2013, reflecting higher revenue and a slight increase in operating costs and expenses.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2014, revenue from the Broadcast Television segment increased 26.9% to $6.2 billion compared to $4.9 billion in 2013. Excluding $846 million of revenue generated by the Sochi Olympics in the first quarter of 2014, revenue increased 9.6% (see Table 5). Operating cash flow increased $299 million to $504 million compared to $205 million in the first nine months of 2013.</w:t>
      </w:r>
    </w:p>
    <w:p>
      <w:pPr>
        <w:sectPr>
          <w:pgSz w:w="11900" w:h="16838" w:orient="portrait"/>
          <w:cols w:equalWidth="0" w:num="1">
            <w:col w:w="11420"/>
          </w:cols>
          <w:pgMar w:left="240" w:top="140" w:right="239" w:bottom="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third quarter of 2014, revenue from the Filmed Entertainment segment decreased 15.2% to $1.2 billion compared to $1.4 billion in the third quarter of 2013, reflecting a decline in theatrical revenue primarily due to the strong box office performance of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in the third quarter of 2013. Operating cash flow decreased 20.3% to $151 million compared to $189 million in the third quarter of 2013, reflecting lower revenue, partially offset by a decrease in the amortization of film costs and reduced advertising, marketing and promotion expense due to a smaller film slate.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nine months ended September 30, 2014, revenue from the Filmed Entertainment segment decreased 7.3% to $ 3.7 billion compared to $4.0 billion in 2013. Operating cash flow increased $343 million to $634 million compared to $291 million in the first nine months of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third quarter of 2014, revenue from the Theme Parks segment increased 18.7% to $ 786 million compared to $661 million in the third quarter of 2013, reflecting higher guest attendance and per capita spending, driven by the successful opening of Orlando’s </w:t>
      </w:r>
      <w:r>
        <w:rPr>
          <w:rFonts w:ascii="Arial" w:cs="Arial" w:eastAsia="Arial" w:hAnsi="Arial"/>
          <w:sz w:val="18"/>
          <w:szCs w:val="18"/>
          <w:i w:val="1"/>
          <w:iCs w:val="1"/>
          <w:color w:val="auto"/>
        </w:rPr>
        <w:t>The Wizarding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World of Harry Potter </w:t>
      </w:r>
      <w:r>
        <w:rPr>
          <w:rFonts w:ascii="Arial" w:cs="Arial" w:eastAsia="Arial" w:hAnsi="Arial"/>
          <w:sz w:val="18"/>
          <w:szCs w:val="18"/>
          <w:color w:val="auto"/>
        </w:rPr>
        <w:t>™</w:t>
      </w:r>
      <w:r>
        <w:rPr>
          <w:rFonts w:ascii="Arial" w:cs="Arial" w:eastAsia="Arial" w:hAnsi="Arial"/>
          <w:sz w:val="18"/>
          <w:szCs w:val="18"/>
          <w:i w:val="1"/>
          <w:iCs w:val="1"/>
          <w:color w:val="auto"/>
        </w:rPr>
        <w:t xml:space="preserve"> – Diagon Alley </w:t>
      </w:r>
      <w:r>
        <w:rPr>
          <w:rFonts w:ascii="Arial" w:cs="Arial" w:eastAsia="Arial" w:hAnsi="Arial"/>
          <w:sz w:val="18"/>
          <w:szCs w:val="18"/>
          <w:color w:val="auto"/>
        </w:rPr>
        <w:t>™. Third quarter operating cash flow increased 16.9% to $402 million compared to $343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 reflecting higher revenue, partially offset by an increase in operating costs to support the new attractions.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2014, revenue from the Theme Parks segment increased 13.1% to $1.9 billion compared to $1.7 billion in 2013. Operating cash flow increased 9.1% to $816 million compared to $747 million in the first nine months of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2014, NBCUniversal Headquarters, Other and Eliminations operating cash flow loss was $147 million compared to a loss of $169 million in the third quarter of 2013, reflecting lower employee-related costs.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2014, NBCUniversal Headquarters, Other and Eliminations operating cash flow loss was $470 million compared to a loss of $421 million in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September 30, 2014, Corporate, Other and Eliminations revenue was ($ 171) million compared to ($191) million in 2013. The operating cash flow loss was $ 176 million, including $77 million of costs related to the Time Warner Cable and Charter transactions, compared to a loss of $166 million in the third quarter of 2013, including $74 million of costs associated with the termination of a pension plan.</w:t>
      </w:r>
    </w:p>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nine months ended September 30, 2014, Corporate, Other and Eliminations revenue was ($597) million compared to ($630) million in 2013. The operating cash flow loss was $543 million, including $138 million of transaction-related costs, compared to a loss of $405 million in the first nine months of 2013, including $74 million of costs associated with the termination of a pension plan.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180" w:hanging="166"/>
        <w:spacing w:after="0" w:line="246"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line="239" w:lineRule="auto"/>
        <w:tabs>
          <w:tab w:leader="none" w:pos="21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effects. The definition of Free Cash Flow excludes any impact from Economic Stimulus packages. These amounts have been excluded from Free Cash Flow to provide an appropriate comparison.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80" w:hanging="166"/>
        <w:spacing w:after="0" w:line="236" w:lineRule="auto"/>
        <w:tabs>
          <w:tab w:leader="none" w:pos="213"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2014, our Cable Communications segment revised its methodology for counting customers related to how we count and report customers who reside in multiple dwelling units (“MDUs”) that are billed under bulk contracts (the “Billable Customers Method”). For MDUs whose residents have the ability to receive additional cable services, such as additional programming choices or our HD or DVR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Video customer metrics for 2013 are now presented on the Billable Customers Method to provide an appropriate comparison. For high-speed Internet and voice customers, the differences in the customer metrics using the Billable Customers Method and the EBU Method were not material and 2013 data has not been adjusted.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October 23, 2014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3387049. A replay of the call will be available starting at 12:30 p.m. ET on October 23, 2014, on the Investor Relations website or by telephone. To access the telephone replay, which will be available until Thursday, October 30, 2014 at midnight ET, please dial (855) 859-2056 and enter the conference ID number 3387049.</w:t>
      </w:r>
    </w:p>
    <w:p>
      <w:pPr>
        <w:sectPr>
          <w:pgSz w:w="11900" w:h="16838" w:orient="portrait"/>
          <w:cols w:equalWidth="0" w:num="1">
            <w:col w:w="11420"/>
          </w:cols>
          <w:pgMar w:left="240" w:top="562" w:right="239" w:bottom="80" w:gutter="0" w:footer="0" w:header="0"/>
        </w:sectPr>
      </w:pPr>
    </w:p>
    <w:bookmarkStart w:id="6" w:name="page7"/>
    <w:bookmarkEnd w:id="6"/>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20" w:type="dxa"/>
            <w:vAlign w:val="bottom"/>
          </w:tcPr>
          <w:p>
            <w:pPr>
              <w:jc w:val="right"/>
              <w:ind w:right="205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r>
      <w:tr>
        <w:trPr>
          <w:trHeight w:val="593"/>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00" w:type="dxa"/>
            <w:vAlign w:val="bottom"/>
          </w:tcPr>
          <w:p>
            <w:pPr>
              <w:spacing w:after="0"/>
              <w:rPr>
                <w:sz w:val="24"/>
                <w:szCs w:val="24"/>
                <w:color w:val="auto"/>
              </w:rPr>
            </w:pPr>
          </w:p>
        </w:tc>
        <w:tc>
          <w:tcPr>
            <w:tcW w:w="3520" w:type="dxa"/>
            <w:vAlign w:val="bottom"/>
          </w:tcPr>
          <w:p>
            <w:pPr>
              <w:ind w:left="1880"/>
              <w:spacing w:after="0"/>
              <w:rPr>
                <w:sz w:val="20"/>
                <w:szCs w:val="20"/>
                <w:color w:val="auto"/>
              </w:rPr>
            </w:pPr>
            <w:r>
              <w:rPr>
                <w:rFonts w:ascii="Arial" w:cs="Arial" w:eastAsia="Arial" w:hAnsi="Arial"/>
                <w:sz w:val="18"/>
                <w:szCs w:val="18"/>
                <w:b w:val="1"/>
                <w:bCs w:val="1"/>
                <w:color w:val="auto"/>
              </w:rPr>
              <w:t>Press Contacts:</w:t>
            </w:r>
          </w:p>
        </w:tc>
        <w:tc>
          <w:tcPr>
            <w:tcW w:w="1500" w:type="dxa"/>
            <w:vAlign w:val="bottom"/>
          </w:tcPr>
          <w:p>
            <w:pPr>
              <w:spacing w:after="0"/>
              <w:rPr>
                <w:sz w:val="24"/>
                <w:szCs w:val="24"/>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2600" w:type="dxa"/>
            <w:vAlign w:val="bottom"/>
          </w:tcPr>
          <w:p>
            <w:pPr>
              <w:jc w:val="right"/>
              <w:ind w:right="990"/>
              <w:spacing w:after="0" w:line="202" w:lineRule="exact"/>
              <w:rPr>
                <w:sz w:val="20"/>
                <w:szCs w:val="20"/>
                <w:color w:val="auto"/>
              </w:rPr>
            </w:pPr>
            <w:r>
              <w:rPr>
                <w:rFonts w:ascii="Arial" w:cs="Arial" w:eastAsia="Arial" w:hAnsi="Arial"/>
                <w:sz w:val="18"/>
                <w:szCs w:val="18"/>
                <w:color w:val="auto"/>
              </w:rPr>
              <w:t>(215) 286-7972</w:t>
            </w:r>
          </w:p>
        </w:tc>
        <w:tc>
          <w:tcPr>
            <w:tcW w:w="3520" w:type="dxa"/>
            <w:vAlign w:val="bottom"/>
          </w:tcPr>
          <w:p>
            <w:pPr>
              <w:ind w:left="1880"/>
              <w:spacing w:after="0" w:line="202" w:lineRule="exact"/>
              <w:rPr>
                <w:sz w:val="20"/>
                <w:szCs w:val="20"/>
                <w:color w:val="auto"/>
              </w:rPr>
            </w:pPr>
            <w:r>
              <w:rPr>
                <w:rFonts w:ascii="Arial" w:cs="Arial" w:eastAsia="Arial" w:hAnsi="Arial"/>
                <w:sz w:val="18"/>
                <w:szCs w:val="18"/>
                <w:color w:val="auto"/>
              </w:rPr>
              <w:t>D’Arcy Rudnay</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880" w:type="dxa"/>
            <w:vAlign w:val="bottom"/>
          </w:tcPr>
          <w:p>
            <w:pPr>
              <w:spacing w:after="0"/>
              <w:rPr>
                <w:sz w:val="20"/>
                <w:szCs w:val="20"/>
                <w:color w:val="auto"/>
              </w:rPr>
            </w:pPr>
            <w:r>
              <w:rPr>
                <w:rFonts w:ascii="Arial" w:cs="Arial" w:eastAsia="Arial" w:hAnsi="Arial"/>
                <w:sz w:val="18"/>
                <w:szCs w:val="18"/>
                <w:color w:val="auto"/>
              </w:rPr>
              <w:t>Jane Kearns</w:t>
            </w:r>
          </w:p>
        </w:tc>
        <w:tc>
          <w:tcPr>
            <w:tcW w:w="2600" w:type="dxa"/>
            <w:vAlign w:val="bottom"/>
          </w:tcPr>
          <w:p>
            <w:pPr>
              <w:jc w:val="right"/>
              <w:ind w:right="990"/>
              <w:spacing w:after="0"/>
              <w:rPr>
                <w:sz w:val="20"/>
                <w:szCs w:val="20"/>
                <w:color w:val="auto"/>
              </w:rPr>
            </w:pPr>
            <w:r>
              <w:rPr>
                <w:rFonts w:ascii="Arial" w:cs="Arial" w:eastAsia="Arial" w:hAnsi="Arial"/>
                <w:sz w:val="18"/>
                <w:szCs w:val="18"/>
                <w:color w:val="auto"/>
              </w:rPr>
              <w:t>(215) 286-4794</w:t>
            </w:r>
          </w:p>
        </w:tc>
        <w:tc>
          <w:tcPr>
            <w:tcW w:w="3520" w:type="dxa"/>
            <w:vAlign w:val="bottom"/>
          </w:tcPr>
          <w:p>
            <w:pPr>
              <w:ind w:left="1880"/>
              <w:spacing w:after="0"/>
              <w:rPr>
                <w:sz w:val="20"/>
                <w:szCs w:val="20"/>
                <w:color w:val="auto"/>
              </w:rPr>
            </w:pPr>
            <w:r>
              <w:rPr>
                <w:rFonts w:ascii="Arial" w:cs="Arial" w:eastAsia="Arial" w:hAnsi="Arial"/>
                <w:sz w:val="18"/>
                <w:szCs w:val="18"/>
                <w:color w:val="auto"/>
              </w:rPr>
              <w:t>John Demming</w:t>
            </w:r>
          </w:p>
        </w:tc>
        <w:tc>
          <w:tcPr>
            <w:tcW w:w="150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3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500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1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rPr>
              <w:t>September 30,</w:t>
            </w: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9"/>
              </w:rPr>
              <w:t>2014</w:t>
            </w:r>
          </w:p>
        </w:tc>
        <w:tc>
          <w:tcPr>
            <w:tcW w:w="280" w:type="dxa"/>
            <w:vAlign w:val="bottom"/>
          </w:tcPr>
          <w:p>
            <w:pPr>
              <w:spacing w:after="0"/>
              <w:rPr>
                <w:sz w:val="19"/>
                <w:szCs w:val="19"/>
                <w:color w:val="auto"/>
              </w:rPr>
            </w:pPr>
          </w:p>
        </w:tc>
        <w:tc>
          <w:tcPr>
            <w:tcW w:w="21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9"/>
              </w:rPr>
              <w:t>September 30,</w:t>
            </w: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2013</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2013</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000" w:type="dxa"/>
            <w:vAlign w:val="bottom"/>
            <w:vMerge w:val="continue"/>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$16,151</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$16,791</w:t>
            </w: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$47,731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$51,043</w:t>
            </w:r>
          </w:p>
        </w:tc>
        <w:tc>
          <w:tcPr>
            <w:tcW w:w="0" w:type="dxa"/>
            <w:vAlign w:val="bottom"/>
          </w:tcPr>
          <w:p>
            <w:pPr>
              <w:spacing w:after="0"/>
              <w:rPr>
                <w:sz w:val="1"/>
                <w:szCs w:val="1"/>
                <w:color w:val="auto"/>
              </w:rPr>
            </w:pPr>
          </w:p>
        </w:tc>
      </w:tr>
      <w:tr>
        <w:trPr>
          <w:trHeight w:val="346"/>
        </w:trPr>
        <w:tc>
          <w:tcPr>
            <w:tcW w:w="50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4,787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4,772</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14,418</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15,554</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4,751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5,019</w:t>
            </w:r>
          </w:p>
        </w:tc>
        <w:tc>
          <w:tcPr>
            <w:tcW w:w="28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13,787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14,695</w:t>
            </w: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1,296</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3,737</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3,748</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10,821</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11,087</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31,942</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33,997</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5,330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5,704</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15,789</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17,046</w:t>
            </w:r>
          </w:p>
        </w:tc>
        <w:tc>
          <w:tcPr>
            <w:tcW w:w="0" w:type="dxa"/>
            <w:vAlign w:val="bottom"/>
          </w:tcPr>
          <w:p>
            <w:pPr>
              <w:spacing w:after="0"/>
              <w:rPr>
                <w:sz w:val="1"/>
                <w:szCs w:val="1"/>
                <w:color w:val="auto"/>
              </w:rPr>
            </w:pPr>
          </w:p>
        </w:tc>
      </w:tr>
      <w:tr>
        <w:trPr>
          <w:trHeight w:val="369"/>
        </w:trPr>
        <w:tc>
          <w:tcPr>
            <w:tcW w:w="50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1,520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1,539</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4,707</w:t>
            </w: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420</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1,204</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1,222</w:t>
            </w:r>
          </w:p>
        </w:tc>
        <w:tc>
          <w:tcPr>
            <w:tcW w:w="0" w:type="dxa"/>
            <w:vAlign w:val="bottom"/>
          </w:tcPr>
          <w:p>
            <w:pPr>
              <w:spacing w:after="0"/>
              <w:rPr>
                <w:sz w:val="1"/>
                <w:szCs w:val="1"/>
                <w:color w:val="auto"/>
              </w:rPr>
            </w:pPr>
          </w:p>
        </w:tc>
      </w:tr>
      <w:tr>
        <w:trPr>
          <w:trHeight w:val="19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1,916</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1,959</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5,873</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5,929</w:t>
            </w:r>
          </w:p>
        </w:tc>
        <w:tc>
          <w:tcPr>
            <w:tcW w:w="0" w:type="dxa"/>
            <w:vAlign w:val="bottom"/>
          </w:tcPr>
          <w:p>
            <w:pPr>
              <w:spacing w:after="0"/>
              <w:rPr>
                <w:sz w:val="1"/>
                <w:szCs w:val="1"/>
                <w:color w:val="auto"/>
              </w:rPr>
            </w:pPr>
          </w:p>
        </w:tc>
      </w:tr>
      <w:tr>
        <w:trPr>
          <w:trHeight w:val="232"/>
        </w:trPr>
        <w:tc>
          <w:tcPr>
            <w:tcW w:w="5000" w:type="dxa"/>
            <w:vAlign w:val="bottom"/>
            <w:vMerge w:val="continue"/>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3,414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3,745</w:t>
            </w: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9,916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11,117</w:t>
            </w:r>
          </w:p>
        </w:tc>
        <w:tc>
          <w:tcPr>
            <w:tcW w:w="0" w:type="dxa"/>
            <w:vAlign w:val="bottom"/>
          </w:tcPr>
          <w:p>
            <w:pPr>
              <w:spacing w:after="0"/>
              <w:rPr>
                <w:sz w:val="1"/>
                <w:szCs w:val="1"/>
                <w:color w:val="auto"/>
              </w:rPr>
            </w:pPr>
          </w:p>
        </w:tc>
      </w:tr>
      <w:tr>
        <w:trPr>
          <w:trHeight w:val="368"/>
        </w:trPr>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(663)</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(1,953)</w:t>
            </w:r>
          </w:p>
        </w:tc>
        <w:tc>
          <w:tcPr>
            <w:tcW w:w="0" w:type="dxa"/>
            <w:vAlign w:val="bottom"/>
          </w:tcPr>
          <w:p>
            <w:pPr>
              <w:spacing w:after="0"/>
              <w:rPr>
                <w:sz w:val="1"/>
                <w:szCs w:val="1"/>
                <w:color w:val="auto"/>
              </w:rPr>
            </w:pPr>
          </w:p>
        </w:tc>
      </w:tr>
      <w:tr>
        <w:trPr>
          <w:trHeight w:val="181"/>
        </w:trPr>
        <w:tc>
          <w:tcPr>
            <w:tcW w:w="500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(639)</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(1,928)</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549</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(705)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(1,755)</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(1,762)</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2,799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3,040</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8,161</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9,355</w:t>
            </w:r>
          </w:p>
        </w:tc>
        <w:tc>
          <w:tcPr>
            <w:tcW w:w="0" w:type="dxa"/>
            <w:vAlign w:val="bottom"/>
          </w:tcPr>
          <w:p>
            <w:pPr>
              <w:spacing w:after="0"/>
              <w:rPr>
                <w:sz w:val="1"/>
                <w:szCs w:val="1"/>
                <w:color w:val="auto"/>
              </w:rPr>
            </w:pPr>
          </w:p>
        </w:tc>
      </w:tr>
      <w:tr>
        <w:trPr>
          <w:trHeight w:val="392"/>
        </w:trPr>
        <w:tc>
          <w:tcPr>
            <w:tcW w:w="500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1,778</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2,633</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5,167</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6,596</w:t>
            </w:r>
          </w:p>
        </w:tc>
        <w:tc>
          <w:tcPr>
            <w:tcW w:w="0" w:type="dxa"/>
            <w:vAlign w:val="bottom"/>
          </w:tcPr>
          <w:p>
            <w:pPr>
              <w:spacing w:after="0"/>
              <w:rPr>
                <w:sz w:val="1"/>
                <w:szCs w:val="1"/>
                <w:color w:val="auto"/>
              </w:rPr>
            </w:pPr>
          </w:p>
        </w:tc>
      </w:tr>
      <w:tr>
        <w:trPr>
          <w:trHeight w:val="391"/>
        </w:trPr>
        <w:tc>
          <w:tcPr>
            <w:tcW w:w="500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7"/>
        </w:trPr>
        <w:tc>
          <w:tcPr>
            <w:tcW w:w="5000" w:type="dxa"/>
            <w:vAlign w:val="bottom"/>
          </w:tcPr>
          <w:p>
            <w:pPr>
              <w:ind w:left="360"/>
              <w:spacing w:after="0"/>
              <w:rPr>
                <w:sz w:val="20"/>
                <w:szCs w:val="20"/>
                <w:color w:val="auto"/>
              </w:rPr>
            </w:pPr>
            <w:r>
              <w:rPr>
                <w:rFonts w:ascii="Arial" w:cs="Arial" w:eastAsia="Arial" w:hAnsi="Arial"/>
                <w:sz w:val="18"/>
                <w:szCs w:val="18"/>
                <w:color w:val="auto"/>
              </w:rPr>
              <w:t>and redeemable subsidiary preferred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$1,732</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$2,592</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$4,903</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$6,455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7"/>
                <w:szCs w:val="17"/>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$0.99</w:t>
            </w:r>
          </w:p>
        </w:tc>
        <w:tc>
          <w:tcPr>
            <w:tcW w:w="280" w:type="dxa"/>
            <w:vAlign w:val="bottom"/>
          </w:tcPr>
          <w:p>
            <w:pPr>
              <w:spacing w:after="0"/>
              <w:rPr>
                <w:sz w:val="17"/>
                <w:szCs w:val="17"/>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7"/>
                <w:szCs w:val="17"/>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$0.225</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$0.675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$0.195</w:t>
            </w:r>
          </w:p>
        </w:tc>
        <w:tc>
          <w:tcPr>
            <w:tcW w:w="3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$0.585</w:t>
            </w:r>
          </w:p>
        </w:tc>
        <w:tc>
          <w:tcPr>
            <w:tcW w:w="2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2,658</w:t>
            </w:r>
          </w:p>
        </w:tc>
        <w:tc>
          <w:tcPr>
            <w:tcW w:w="30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2,616</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2,668</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000" w:type="dxa"/>
            <w:vAlign w:val="bottom"/>
          </w:tcPr>
          <w:p>
            <w:pPr>
              <w:spacing w:after="0"/>
              <w:rPr>
                <w:sz w:val="24"/>
                <w:szCs w:val="24"/>
                <w:color w:val="auto"/>
              </w:rPr>
            </w:pPr>
          </w:p>
        </w:tc>
        <w:tc>
          <w:tcPr>
            <w:tcW w:w="1360" w:type="dxa"/>
            <w:vAlign w:val="bottom"/>
          </w:tcPr>
          <w:p>
            <w:pPr>
              <w:jc w:val="right"/>
              <w:ind w:right="514"/>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ind w:left="260"/>
              <w:spacing w:after="0"/>
              <w:rPr>
                <w:sz w:val="20"/>
                <w:szCs w:val="20"/>
                <w:color w:val="auto"/>
              </w:rPr>
            </w:pPr>
            <w:r>
              <w:rPr>
                <w:rFonts w:ascii="Arial" w:cs="Arial" w:eastAsia="Arial" w:hAnsi="Arial"/>
                <w:sz w:val="18"/>
                <w:szCs w:val="18"/>
                <w:color w:val="auto"/>
              </w:rPr>
              <w:t>(in millions)</w:t>
            </w: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814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600"/>
              <w:spacing w:after="0" w:line="195"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$1,718</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3,573</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rPr>
                <w:sz w:val="20"/>
                <w:szCs w:val="20"/>
                <w:color w:val="auto"/>
              </w:rPr>
            </w:pPr>
            <w:r>
              <w:rPr>
                <w:rFonts w:ascii="Arial" w:cs="Arial" w:eastAsia="Arial" w:hAnsi="Arial"/>
                <w:sz w:val="18"/>
                <w:szCs w:val="18"/>
                <w:color w:val="auto"/>
              </w:rPr>
              <w:t>6,376</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Programming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14,075</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40" w:type="dxa"/>
            <w:vAlign w:val="bottom"/>
          </w:tcPr>
          <w:p>
            <w:pPr>
              <w:ind w:left="440"/>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5,560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3,770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29,840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30,362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spacing w:after="0"/>
              <w:rPr>
                <w:sz w:val="20"/>
                <w:szCs w:val="20"/>
                <w:color w:val="auto"/>
              </w:rPr>
            </w:pPr>
            <w:r>
              <w:rPr>
                <w:rFonts w:ascii="Arial" w:cs="Arial" w:eastAsia="Arial" w:hAnsi="Arial"/>
                <w:sz w:val="18"/>
                <w:szCs w:val="18"/>
                <w:color w:val="auto"/>
              </w:rPr>
              <w:t>27,098</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27,323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17,329</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17,089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40" w:type="dxa"/>
            <w:vAlign w:val="bottom"/>
          </w:tcPr>
          <w:p>
            <w:pPr>
              <w:ind w:left="440"/>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4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600"/>
              <w:spacing w:after="0" w:line="195"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$5,528</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7,967</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18,912</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17,084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40" w:type="dxa"/>
            <w:vAlign w:val="bottom"/>
          </w:tcPr>
          <w:p>
            <w:pPr>
              <w:ind w:left="440"/>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44,567</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44,827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31,935</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32,227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11,384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10,388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40" w:type="dxa"/>
            <w:vAlign w:val="bottom"/>
          </w:tcPr>
          <w:p>
            <w:pPr>
              <w:ind w:left="440"/>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53,298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600"/>
              <w:spacing w:after="0" w:line="195"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50,694</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51,058</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53,653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1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40" w:type="dxa"/>
            <w:vAlign w:val="bottom"/>
            <w:tcBorders>
              <w:bottom w:val="single" w:sz="8" w:color="010101"/>
            </w:tcBorders>
          </w:tcPr>
          <w:p>
            <w:pPr>
              <w:spacing w:after="0"/>
              <w:rPr>
                <w:sz w:val="10"/>
                <w:szCs w:val="10"/>
                <w:color w:val="auto"/>
              </w:rPr>
            </w:pPr>
          </w:p>
        </w:tc>
        <w:tc>
          <w:tcPr>
            <w:tcW w:w="14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4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ectPr>
          <w:pgSz w:w="11900" w:h="16849" w:orient="portrait"/>
          <w:cols w:equalWidth="0" w:num="1">
            <w:col w:w="11460"/>
          </w:cols>
          <w:pgMar w:left="240" w:top="112" w:right="199" w:bottom="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C9C9C9"/>
        </w:rPr>
        <w:t>Consolidated Statement of Cash Flows (Unaudited)</w:t>
      </w:r>
    </w:p>
    <w:p>
      <w:pPr>
        <w:sectPr>
          <w:pgSz w:w="11900" w:h="16849" w:orient="portrait"/>
          <w:cols w:equalWidth="0" w:num="1">
            <w:col w:w="11460"/>
          </w:cols>
          <w:pgMar w:left="240" w:top="112" w:right="199" w:bottom="0" w:gutter="0" w:footer="0" w:header="0"/>
          <w:type w:val="continuous"/>
        </w:sectPr>
      </w:pPr>
    </w:p>
    <w:bookmarkStart w:id="8" w:name="page9"/>
    <w:bookmarkEnd w:id="8"/>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8360" w:type="dxa"/>
            <w:vAlign w:val="bottom"/>
          </w:tcPr>
          <w:p>
            <w:pPr>
              <w:ind w:left="260"/>
              <w:spacing w:after="0"/>
              <w:rPr>
                <w:sz w:val="20"/>
                <w:szCs w:val="20"/>
                <w:color w:val="auto"/>
              </w:rPr>
            </w:pPr>
            <w:r>
              <w:rPr>
                <w:rFonts w:ascii="Arial" w:cs="Arial" w:eastAsia="Arial" w:hAnsi="Arial"/>
                <w:sz w:val="18"/>
                <w:szCs w:val="18"/>
                <w:color w:val="auto"/>
              </w:rPr>
              <w:t>(in millions)</w:t>
            </w:r>
          </w:p>
        </w:tc>
        <w:tc>
          <w:tcPr>
            <w:tcW w:w="3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1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9"/>
              </w:rPr>
              <w:t>September 30,</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Net income</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620"/>
              <w:spacing w:after="0" w:line="181" w:lineRule="exact"/>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5,873</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Noncash interest expense (income),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Cash received from investees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620"/>
              <w:spacing w:after="0" w:line="181" w:lineRule="exact"/>
              <w:rPr>
                <w:sz w:val="20"/>
                <w:szCs w:val="20"/>
                <w:color w:val="auto"/>
              </w:rPr>
            </w:pPr>
            <w:r>
              <w:rPr>
                <w:rFonts w:ascii="Arial" w:cs="Arial" w:eastAsia="Arial" w:hAnsi="Arial"/>
                <w:sz w:val="18"/>
                <w:szCs w:val="18"/>
                <w:color w:val="auto"/>
              </w:rPr>
              <w:t>Current and noncurrent receivables, net</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145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Film and television costs,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620"/>
              <w:spacing w:after="0"/>
              <w:rPr>
                <w:sz w:val="20"/>
                <w:szCs w:val="20"/>
                <w:color w:val="auto"/>
              </w:rPr>
            </w:pPr>
            <w:r>
              <w:rPr>
                <w:rFonts w:ascii="Arial" w:cs="Arial" w:eastAsia="Arial" w:hAnsi="Arial"/>
                <w:sz w:val="18"/>
                <w:szCs w:val="18"/>
                <w:color w:val="auto"/>
              </w:rPr>
              <w:t>Other operating assets and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36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11,679</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440"/>
              <w:spacing w:after="0" w:line="181" w:lineRule="exact"/>
              <w:rPr>
                <w:sz w:val="20"/>
                <w:szCs w:val="20"/>
                <w:color w:val="auto"/>
              </w:rPr>
            </w:pPr>
            <w:r>
              <w:rPr>
                <w:rFonts w:ascii="Arial" w:cs="Arial" w:eastAsia="Arial" w:hAnsi="Arial"/>
                <w:sz w:val="18"/>
                <w:szCs w:val="18"/>
                <w:color w:val="auto"/>
              </w:rPr>
              <w:t>Capital expenditures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(4,593)</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Cash paid for intangible assets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(1,705)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Acquisitions, net of cash acquired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Return of capital from investees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(1,177)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360" w:type="dxa"/>
            <w:vAlign w:val="bottom"/>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44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395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borrowings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2,933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Repurchases and repayments of debt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(2,442)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Dividends paid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Issuances of common stock</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Purchase of NBCUniversal noncontrolling common equity interest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(10,761)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Settlement of Station Venture liability</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36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tcPr>
          <w:p>
            <w:pPr>
              <w:ind w:left="260"/>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jc w:val="right"/>
              <w:spacing w:after="0"/>
              <w:rPr>
                <w:sz w:val="20"/>
                <w:szCs w:val="20"/>
                <w:color w:val="auto"/>
              </w:rPr>
            </w:pPr>
            <w:r>
              <w:rPr>
                <w:rFonts w:ascii="Arial" w:cs="Arial" w:eastAsia="Arial" w:hAnsi="Arial"/>
                <w:sz w:val="18"/>
                <w:szCs w:val="18"/>
                <w:color w:val="auto"/>
              </w:rPr>
              <w:t>(9,348)</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tcPr>
          <w:p>
            <w:pPr>
              <w:ind w:left="26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10,951</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$1,603</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6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480" w:type="dxa"/>
            <w:vAlign w:val="bottom"/>
            <w:tcBorders>
              <w:bottom w:val="single" w:sz="8" w:color="010101"/>
            </w:tcBorders>
          </w:tcPr>
          <w:p>
            <w:pPr>
              <w:spacing w:after="0"/>
              <w:rPr>
                <w:sz w:val="10"/>
                <w:szCs w:val="10"/>
                <w:color w:val="auto"/>
              </w:rPr>
            </w:pPr>
          </w:p>
        </w:tc>
        <w:tc>
          <w:tcPr>
            <w:tcW w:w="88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39" w:lineRule="exact"/>
        <w:rPr>
          <w:sz w:val="20"/>
          <w:szCs w:val="20"/>
          <w:color w:val="auto"/>
        </w:rPr>
      </w:pPr>
    </w:p>
    <w:p>
      <w:pPr>
        <w:ind w:right="294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2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September 30,</w:t>
            </w: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September 30,</w:t>
            </w: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2013</w:t>
            </w:r>
          </w:p>
        </w:tc>
        <w:tc>
          <w:tcPr>
            <w:tcW w:w="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2013</w:t>
            </w:r>
          </w:p>
        </w:tc>
        <w:tc>
          <w:tcPr>
            <w:tcW w:w="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Operating income</w:t>
            </w:r>
          </w:p>
        </w:tc>
        <w:tc>
          <w:tcPr>
            <w:tcW w:w="960" w:type="dxa"/>
            <w:vAlign w:val="bottom"/>
          </w:tcPr>
          <w:p>
            <w:pPr>
              <w:jc w:val="right"/>
              <w:ind w:right="28"/>
              <w:spacing w:after="0" w:line="156" w:lineRule="exact"/>
              <w:rPr>
                <w:sz w:val="20"/>
                <w:szCs w:val="20"/>
                <w:color w:val="auto"/>
              </w:rPr>
            </w:pPr>
            <w:r>
              <w:rPr>
                <w:rFonts w:ascii="Arial" w:cs="Arial" w:eastAsia="Arial" w:hAnsi="Arial"/>
                <w:sz w:val="14"/>
                <w:szCs w:val="14"/>
                <w:color w:val="auto"/>
              </w:rPr>
              <w:t>$3,414</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$3,745</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
              <w:spacing w:after="0" w:line="156" w:lineRule="exact"/>
              <w:rPr>
                <w:sz w:val="20"/>
                <w:szCs w:val="20"/>
                <w:color w:val="auto"/>
              </w:rPr>
            </w:pPr>
            <w:r>
              <w:rPr>
                <w:rFonts w:ascii="Arial" w:cs="Arial" w:eastAsia="Arial" w:hAnsi="Arial"/>
                <w:sz w:val="14"/>
                <w:szCs w:val="14"/>
                <w:color w:val="auto"/>
              </w:rPr>
              <w:t>$9,916</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$11,117</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1,916</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1,959</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5,873</w:t>
            </w:r>
          </w:p>
        </w:tc>
        <w:tc>
          <w:tcPr>
            <w:tcW w:w="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5,929</w:t>
            </w: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Operating income before depreciation and amortization</w:t>
            </w:r>
          </w:p>
        </w:tc>
        <w:tc>
          <w:tcPr>
            <w:tcW w:w="960" w:type="dxa"/>
            <w:vAlign w:val="bottom"/>
          </w:tcPr>
          <w:p>
            <w:pPr>
              <w:jc w:val="right"/>
              <w:ind w:right="28"/>
              <w:spacing w:after="0" w:line="156" w:lineRule="exact"/>
              <w:rPr>
                <w:sz w:val="20"/>
                <w:szCs w:val="20"/>
                <w:color w:val="auto"/>
              </w:rPr>
            </w:pPr>
            <w:r>
              <w:rPr>
                <w:rFonts w:ascii="Arial" w:cs="Arial" w:eastAsia="Arial" w:hAnsi="Arial"/>
                <w:sz w:val="14"/>
                <w:szCs w:val="14"/>
                <w:color w:val="auto"/>
              </w:rPr>
              <w:t>5,330</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5,704</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
              <w:spacing w:after="0" w:line="156" w:lineRule="exact"/>
              <w:rPr>
                <w:sz w:val="20"/>
                <w:szCs w:val="20"/>
                <w:color w:val="auto"/>
              </w:rPr>
            </w:pPr>
            <w:r>
              <w:rPr>
                <w:rFonts w:ascii="Arial" w:cs="Arial" w:eastAsia="Arial" w:hAnsi="Arial"/>
                <w:sz w:val="14"/>
                <w:szCs w:val="14"/>
                <w:color w:val="auto"/>
              </w:rPr>
              <w:t>15,789</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17,046</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120</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312</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386</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562</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583</w:t>
            </w:r>
          </w:p>
        </w:tc>
        <w:tc>
          <w:tcPr>
            <w:tcW w:w="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440" w:right="199" w:bottom="0" w:gutter="0" w:footer="0" w:header="0"/>
        </w:sectPr>
      </w:pPr>
    </w:p>
    <w:bookmarkStart w:id="9" w:name="page10"/>
    <w:bookmarkEnd w:id="9"/>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Cash basis operating income</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5,594</w:t>
            </w:r>
          </w:p>
        </w:tc>
        <w:tc>
          <w:tcPr>
            <w:tcW w:w="8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6,386</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16,684</w:t>
            </w:r>
          </w:p>
        </w:tc>
        <w:tc>
          <w:tcPr>
            <w:tcW w:w="8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17,089</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Payments of interest</w:t>
            </w:r>
          </w:p>
        </w:tc>
        <w:tc>
          <w:tcPr>
            <w:tcW w:w="960" w:type="dxa"/>
            <w:vAlign w:val="bottom"/>
          </w:tcPr>
          <w:p>
            <w:pPr>
              <w:jc w:val="right"/>
              <w:spacing w:after="0"/>
              <w:rPr>
                <w:sz w:val="20"/>
                <w:szCs w:val="20"/>
                <w:color w:val="auto"/>
              </w:rPr>
            </w:pPr>
            <w:r>
              <w:rPr>
                <w:rFonts w:ascii="Arial" w:cs="Arial" w:eastAsia="Arial" w:hAnsi="Arial"/>
                <w:sz w:val="14"/>
                <w:szCs w:val="14"/>
                <w:color w:val="auto"/>
              </w:rPr>
              <w:t>(636)</w:t>
            </w:r>
          </w:p>
        </w:tc>
        <w:tc>
          <w:tcPr>
            <w:tcW w:w="8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(656)</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(1,768)</w:t>
            </w:r>
          </w:p>
        </w:tc>
        <w:tc>
          <w:tcPr>
            <w:tcW w:w="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(1,820)</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960" w:type="dxa"/>
            <w:vAlign w:val="bottom"/>
          </w:tcPr>
          <w:p>
            <w:pPr>
              <w:jc w:val="right"/>
              <w:spacing w:after="0"/>
              <w:rPr>
                <w:sz w:val="20"/>
                <w:szCs w:val="20"/>
                <w:color w:val="auto"/>
              </w:rPr>
            </w:pPr>
            <w:r>
              <w:rPr>
                <w:rFonts w:ascii="Arial" w:cs="Arial" w:eastAsia="Arial" w:hAnsi="Arial"/>
                <w:sz w:val="14"/>
                <w:szCs w:val="14"/>
                <w:color w:val="auto"/>
              </w:rPr>
              <w:t>(958)</w:t>
            </w:r>
          </w:p>
        </w:tc>
        <w:tc>
          <w:tcPr>
            <w:tcW w:w="8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(974)</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(3,180)</w:t>
            </w:r>
          </w:p>
        </w:tc>
        <w:tc>
          <w:tcPr>
            <w:tcW w:w="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(2,878)</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8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(34)</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w:t>
            </w:r>
          </w:p>
        </w:tc>
        <w:tc>
          <w:tcPr>
            <w:tcW w:w="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840" w:type="dxa"/>
            <w:vAlign w:val="bottom"/>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86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$3,994</w:t>
            </w:r>
          </w:p>
        </w:tc>
        <w:tc>
          <w:tcPr>
            <w:tcW w:w="840" w:type="dxa"/>
            <w:vAlign w:val="bottom"/>
          </w:tcPr>
          <w:p>
            <w:pPr>
              <w:spacing w:after="0"/>
              <w:rPr>
                <w:sz w:val="13"/>
                <w:szCs w:val="13"/>
                <w:color w:val="auto"/>
              </w:rPr>
            </w:pP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$4,755</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$11,679</w:t>
            </w:r>
          </w:p>
        </w:tc>
        <w:tc>
          <w:tcPr>
            <w:tcW w:w="860" w:type="dxa"/>
            <w:vAlign w:val="bottom"/>
          </w:tcPr>
          <w:p>
            <w:pPr>
              <w:spacing w:after="0"/>
              <w:rPr>
                <w:sz w:val="13"/>
                <w:szCs w:val="13"/>
                <w:color w:val="auto"/>
              </w:rPr>
            </w:pPr>
          </w:p>
        </w:tc>
        <w:tc>
          <w:tcPr>
            <w:tcW w:w="9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$12,302</w:t>
            </w: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Capital expenditures</w:t>
            </w: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(1,726)</w:t>
            </w:r>
          </w:p>
        </w:tc>
        <w:tc>
          <w:tcPr>
            <w:tcW w:w="8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(1,950)</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Arial" w:cs="Arial" w:eastAsia="Arial" w:hAnsi="Arial"/>
                <w:sz w:val="14"/>
                <w:szCs w:val="14"/>
                <w:color w:val="auto"/>
              </w:rPr>
              <w:t>(4,593)</w:t>
            </w:r>
          </w:p>
        </w:tc>
        <w:tc>
          <w:tcPr>
            <w:tcW w:w="86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(5,196)</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8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(258)</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(694)</w:t>
            </w:r>
          </w:p>
        </w:tc>
        <w:tc>
          <w:tcPr>
            <w:tcW w:w="8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(735)</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58"/>
        </w:trPr>
        <w:tc>
          <w:tcPr>
            <w:tcW w:w="4560" w:type="dxa"/>
            <w:vAlign w:val="bottom"/>
          </w:tcPr>
          <w:p>
            <w:pPr>
              <w:ind w:left="180"/>
              <w:spacing w:after="0" w:line="157" w:lineRule="exact"/>
              <w:rPr>
                <w:sz w:val="20"/>
                <w:szCs w:val="20"/>
                <w:color w:val="auto"/>
              </w:rPr>
            </w:pPr>
            <w:r>
              <w:rPr>
                <w:rFonts w:ascii="Arial" w:cs="Arial" w:eastAsia="Arial" w:hAnsi="Arial"/>
                <w:sz w:val="14"/>
                <w:szCs w:val="14"/>
                <w:color w:val="auto"/>
              </w:rPr>
              <w:t>redeemable subsidiary preferred stock</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(48)</w:t>
            </w:r>
          </w:p>
        </w:tc>
        <w:tc>
          <w:tcPr>
            <w:tcW w:w="8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(164)</w:t>
            </w:r>
          </w:p>
        </w:tc>
        <w:tc>
          <w:tcPr>
            <w:tcW w:w="8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spacing w:after="0"/>
              <w:rPr>
                <w:sz w:val="15"/>
                <w:szCs w:val="15"/>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826</w:t>
            </w:r>
          </w:p>
        </w:tc>
        <w:tc>
          <w:tcPr>
            <w:tcW w:w="86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272</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$1,968</w:t>
            </w:r>
          </w:p>
        </w:tc>
        <w:tc>
          <w:tcPr>
            <w:tcW w:w="840" w:type="dxa"/>
            <w:vAlign w:val="bottom"/>
          </w:tcPr>
          <w:p>
            <w:pPr>
              <w:spacing w:after="0"/>
              <w:rPr>
                <w:sz w:val="13"/>
                <w:szCs w:val="13"/>
                <w:color w:val="auto"/>
              </w:rPr>
            </w:pP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$2,494</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$7,054</w:t>
            </w:r>
          </w:p>
        </w:tc>
        <w:tc>
          <w:tcPr>
            <w:tcW w:w="860" w:type="dxa"/>
            <w:vAlign w:val="bottom"/>
          </w:tcPr>
          <w:p>
            <w:pPr>
              <w:spacing w:after="0"/>
              <w:rPr>
                <w:sz w:val="13"/>
                <w:szCs w:val="13"/>
                <w:color w:val="auto"/>
              </w:rPr>
            </w:pPr>
          </w:p>
        </w:tc>
        <w:tc>
          <w:tcPr>
            <w:tcW w:w="9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$6,473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540"/>
        <w:spacing w:after="0" w:line="261" w:lineRule="auto"/>
        <w:rPr>
          <w:sz w:val="20"/>
          <w:szCs w:val="20"/>
          <w:color w:val="auto"/>
        </w:rPr>
      </w:pPr>
      <w:r>
        <w:rPr>
          <w:rFonts w:ascii="Arial" w:cs="Arial" w:eastAsia="Arial" w:hAnsi="Arial"/>
          <w:sz w:val="22"/>
          <w:szCs w:val="22"/>
          <w:b w:val="1"/>
          <w:bCs w:val="1"/>
          <w:color w:val="C9C9C9"/>
        </w:rPr>
        <w:t>Reconciliation of EPS Excluding Favorable Income Tax Adjustments, Gains on Sales, Acquisition-Related Items, Pension Termination Costs and Losses on Investments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2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4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040" w:type="dxa"/>
            <w:vAlign w:val="bottom"/>
            <w:vMerge w:val="continue"/>
          </w:tcPr>
          <w:p>
            <w:pPr>
              <w:spacing w:after="0"/>
              <w:rPr>
                <w:sz w:val="13"/>
                <w:szCs w:val="13"/>
                <w:color w:val="auto"/>
              </w:rPr>
            </w:pPr>
          </w:p>
        </w:tc>
        <w:tc>
          <w:tcPr>
            <w:tcW w:w="96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(2)</w:t>
            </w:r>
          </w:p>
        </w:tc>
        <w:tc>
          <w:tcPr>
            <w:tcW w:w="9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(2)</w:t>
            </w:r>
          </w:p>
        </w:tc>
        <w:tc>
          <w:tcPr>
            <w:tcW w:w="100" w:type="dxa"/>
            <w:vAlign w:val="bottom"/>
          </w:tcPr>
          <w:p>
            <w:pPr>
              <w:spacing w:after="0"/>
              <w:rPr>
                <w:sz w:val="13"/>
                <w:szCs w:val="13"/>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(2)</w:t>
            </w: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2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404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60" w:type="dxa"/>
            <w:vAlign w:val="bottom"/>
            <w:tcBorders>
              <w:top w:val="single" w:sz="8" w:color="auto"/>
            </w:tcBorders>
          </w:tcPr>
          <w:p>
            <w:pPr>
              <w:jc w:val="center"/>
              <w:ind w:right="128"/>
              <w:spacing w:after="0"/>
              <w:rPr>
                <w:sz w:val="20"/>
                <w:szCs w:val="20"/>
                <w:color w:val="auto"/>
              </w:rPr>
            </w:pPr>
            <w:r>
              <w:rPr>
                <w:rFonts w:ascii="Arial" w:cs="Arial" w:eastAsia="Arial" w:hAnsi="Arial"/>
                <w:sz w:val="14"/>
                <w:szCs w:val="14"/>
                <w:color w:val="auto"/>
              </w:rPr>
              <w:t>$1,732</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$0.65</w:t>
            </w:r>
          </w:p>
        </w:tc>
        <w:tc>
          <w:tcPr>
            <w:tcW w:w="220" w:type="dxa"/>
            <w:vAlign w:val="bottom"/>
          </w:tcPr>
          <w:p>
            <w:pPr>
              <w:spacing w:after="0"/>
              <w:rPr>
                <w:sz w:val="24"/>
                <w:szCs w:val="24"/>
                <w:color w:val="auto"/>
              </w:rPr>
            </w:pPr>
          </w:p>
        </w:tc>
        <w:tc>
          <w:tcPr>
            <w:tcW w:w="98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$2,592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$0.99</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color w:val="auto"/>
              </w:rPr>
              <w:t>$4,903</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24"/>
                <w:szCs w:val="24"/>
                <w:color w:val="auto"/>
              </w:rPr>
            </w:pPr>
          </w:p>
        </w:tc>
        <w:tc>
          <w:tcPr>
            <w:tcW w:w="9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$6,455</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$2.46</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i w:val="1"/>
                <w:iCs w:val="1"/>
                <w:color w:val="auto"/>
              </w:rPr>
              <w:t>49.7%</w:t>
            </w:r>
          </w:p>
        </w:tc>
        <w:tc>
          <w:tcPr>
            <w:tcW w:w="580" w:type="dxa"/>
            <w:vAlign w:val="bottom"/>
          </w:tcPr>
          <w:p>
            <w:pPr>
              <w:jc w:val="right"/>
              <w:spacing w:after="0"/>
              <w:rPr>
                <w:sz w:val="20"/>
                <w:szCs w:val="20"/>
                <w:color w:val="auto"/>
              </w:rPr>
            </w:pPr>
            <w:r>
              <w:rPr>
                <w:rFonts w:ascii="Arial" w:cs="Arial" w:eastAsia="Arial" w:hAnsi="Arial"/>
                <w:sz w:val="14"/>
                <w:szCs w:val="14"/>
                <w:i w:val="1"/>
                <w:iCs w:val="1"/>
                <w:color w:val="auto"/>
              </w:rPr>
              <w:t>52.3%</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i w:val="1"/>
                <w:iCs w:val="1"/>
                <w:color w:val="auto"/>
              </w:rPr>
              <w:t>31.7%</w:t>
            </w:r>
          </w:p>
        </w:tc>
        <w:tc>
          <w:tcPr>
            <w:tcW w:w="600" w:type="dxa"/>
            <w:vAlign w:val="bottom"/>
          </w:tcPr>
          <w:p>
            <w:pPr>
              <w:jc w:val="right"/>
              <w:ind w:right="8"/>
              <w:spacing w:after="0"/>
              <w:rPr>
                <w:sz w:val="20"/>
                <w:szCs w:val="20"/>
                <w:color w:val="auto"/>
              </w:rPr>
            </w:pPr>
            <w:r>
              <w:rPr>
                <w:rFonts w:ascii="Arial" w:cs="Arial" w:eastAsia="Arial" w:hAnsi="Arial"/>
                <w:sz w:val="14"/>
                <w:szCs w:val="14"/>
                <w:i w:val="1"/>
                <w:iCs w:val="1"/>
                <w:color w:val="auto"/>
              </w:rPr>
              <w:t>33.7%</w:t>
            </w:r>
          </w:p>
        </w:tc>
        <w:tc>
          <w:tcPr>
            <w:tcW w:w="0" w:type="dxa"/>
            <w:vAlign w:val="bottom"/>
          </w:tcPr>
          <w:p>
            <w:pPr>
              <w:spacing w:after="0"/>
              <w:rPr>
                <w:sz w:val="1"/>
                <w:szCs w:val="1"/>
                <w:color w:val="auto"/>
              </w:rPr>
            </w:pPr>
          </w:p>
        </w:tc>
      </w:tr>
      <w:tr>
        <w:trPr>
          <w:trHeight w:val="363"/>
        </w:trPr>
        <w:tc>
          <w:tcPr>
            <w:tcW w:w="4040" w:type="dxa"/>
            <w:vAlign w:val="bottom"/>
          </w:tcPr>
          <w:p>
            <w:pPr>
              <w:ind w:left="300"/>
              <w:spacing w:after="0"/>
              <w:rPr>
                <w:sz w:val="20"/>
                <w:szCs w:val="20"/>
                <w:color w:val="auto"/>
              </w:rPr>
            </w:pPr>
            <w:r>
              <w:rPr>
                <w:rFonts w:ascii="Arial" w:cs="Arial" w:eastAsia="Arial" w:hAnsi="Arial"/>
                <w:sz w:val="14"/>
                <w:szCs w:val="14"/>
                <w:color w:val="auto"/>
              </w:rPr>
              <w:t>Favorable income tax adjustments</w:t>
            </w:r>
            <w:r>
              <w:rPr>
                <w:rFonts w:ascii="Arial" w:cs="Arial" w:eastAsia="Arial" w:hAnsi="Arial"/>
                <w:sz w:val="14"/>
                <w:szCs w:val="14"/>
                <w:color w:val="auto"/>
                <w:vertAlign w:val="superscript"/>
              </w:rPr>
              <w:t>(3)</w:t>
            </w:r>
          </w:p>
        </w:tc>
        <w:tc>
          <w:tcPr>
            <w:tcW w:w="960" w:type="dxa"/>
            <w:vAlign w:val="bottom"/>
          </w:tcPr>
          <w:p>
            <w:pPr>
              <w:jc w:val="center"/>
              <w:ind w:right="128"/>
              <w:spacing w:after="0"/>
              <w:rPr>
                <w:sz w:val="20"/>
                <w:szCs w:val="20"/>
                <w:color w:val="auto"/>
              </w:rPr>
            </w:pPr>
            <w:r>
              <w:rPr>
                <w:rFonts w:ascii="Arial" w:cs="Arial" w:eastAsia="Arial" w:hAnsi="Arial"/>
                <w:sz w:val="14"/>
                <w:szCs w:val="14"/>
                <w:color w:val="auto"/>
                <w:w w:val="84"/>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4"/>
                <w:szCs w:val="14"/>
                <w:b w:val="1"/>
                <w:bCs w:val="1"/>
                <w:color w:val="auto"/>
              </w:rPr>
              <w:t>(724)</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color w:val="auto"/>
                <w:w w:val="84"/>
              </w:rPr>
              <w:t>-</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(724)</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0" w:type="dxa"/>
            <w:vAlign w:val="bottom"/>
          </w:tcPr>
          <w:p>
            <w:pPr>
              <w:spacing w:after="0"/>
              <w:rPr>
                <w:sz w:val="1"/>
                <w:szCs w:val="1"/>
                <w:color w:val="auto"/>
              </w:rPr>
            </w:pPr>
          </w:p>
        </w:tc>
      </w:tr>
      <w:tr>
        <w:trPr>
          <w:trHeight w:val="180"/>
        </w:trPr>
        <w:tc>
          <w:tcPr>
            <w:tcW w:w="4040" w:type="dxa"/>
            <w:vAlign w:val="bottom"/>
          </w:tcPr>
          <w:p>
            <w:pPr>
              <w:ind w:left="300"/>
              <w:spacing w:after="0"/>
              <w:rPr>
                <w:sz w:val="20"/>
                <w:szCs w:val="20"/>
                <w:color w:val="auto"/>
              </w:rPr>
            </w:pPr>
            <w:r>
              <w:rPr>
                <w:rFonts w:ascii="Arial" w:cs="Arial" w:eastAsia="Arial" w:hAnsi="Arial"/>
                <w:sz w:val="14"/>
                <w:szCs w:val="14"/>
                <w:color w:val="auto"/>
              </w:rPr>
              <w:t>Gains on sales of investments</w:t>
            </w:r>
            <w:r>
              <w:rPr>
                <w:rFonts w:ascii="Arial" w:cs="Arial" w:eastAsia="Arial" w:hAnsi="Arial"/>
                <w:sz w:val="14"/>
                <w:szCs w:val="14"/>
                <w:color w:val="auto"/>
                <w:vertAlign w:val="superscript"/>
              </w:rPr>
              <w:t>(4)</w:t>
            </w:r>
          </w:p>
        </w:tc>
        <w:tc>
          <w:tcPr>
            <w:tcW w:w="960" w:type="dxa"/>
            <w:vAlign w:val="bottom"/>
          </w:tcPr>
          <w:p>
            <w:pPr>
              <w:ind w:left="300"/>
              <w:spacing w:after="0"/>
              <w:rPr>
                <w:sz w:val="20"/>
                <w:szCs w:val="20"/>
                <w:color w:val="auto"/>
              </w:rPr>
            </w:pPr>
            <w:r>
              <w:rPr>
                <w:rFonts w:ascii="Arial" w:cs="Arial" w:eastAsia="Arial" w:hAnsi="Arial"/>
                <w:sz w:val="14"/>
                <w:szCs w:val="14"/>
                <w:color w:val="auto"/>
              </w:rPr>
              <w:t>(279)</w:t>
            </w:r>
          </w:p>
        </w:tc>
        <w:tc>
          <w:tcPr>
            <w:tcW w:w="620" w:type="dxa"/>
            <w:vAlign w:val="bottom"/>
          </w:tcPr>
          <w:p>
            <w:pPr>
              <w:jc w:val="right"/>
              <w:spacing w:after="0"/>
              <w:rPr>
                <w:sz w:val="20"/>
                <w:szCs w:val="20"/>
                <w:color w:val="auto"/>
              </w:rPr>
            </w:pPr>
            <w:r>
              <w:rPr>
                <w:rFonts w:ascii="Arial" w:cs="Arial" w:eastAsia="Arial" w:hAnsi="Arial"/>
                <w:sz w:val="14"/>
                <w:szCs w:val="14"/>
                <w:color w:val="auto"/>
              </w:rPr>
              <w:t>(0.11)</w:t>
            </w:r>
          </w:p>
        </w:tc>
        <w:tc>
          <w:tcPr>
            <w:tcW w:w="220" w:type="dxa"/>
            <w:vAlign w:val="bottom"/>
          </w:tcPr>
          <w:p>
            <w:pPr>
              <w:spacing w:after="0"/>
              <w:rPr>
                <w:sz w:val="15"/>
                <w:szCs w:val="15"/>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(279)</w:t>
            </w:r>
          </w:p>
        </w:tc>
        <w:tc>
          <w:tcPr>
            <w:tcW w:w="600" w:type="dxa"/>
            <w:vAlign w:val="bottom"/>
          </w:tcPr>
          <w:p>
            <w:pPr>
              <w:jc w:val="right"/>
              <w:spacing w:after="0"/>
              <w:rPr>
                <w:sz w:val="20"/>
                <w:szCs w:val="20"/>
                <w:color w:val="auto"/>
              </w:rPr>
            </w:pPr>
            <w:r>
              <w:rPr>
                <w:rFonts w:ascii="Arial" w:cs="Arial" w:eastAsia="Arial" w:hAnsi="Arial"/>
                <w:sz w:val="14"/>
                <w:szCs w:val="14"/>
                <w:color w:val="auto"/>
              </w:rPr>
              <w:t>(0.11)</w:t>
            </w:r>
          </w:p>
        </w:tc>
        <w:tc>
          <w:tcPr>
            <w:tcW w:w="22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(97)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0" w:type="dxa"/>
            <w:vAlign w:val="bottom"/>
          </w:tcPr>
          <w:p>
            <w:pPr>
              <w:spacing w:after="0"/>
              <w:rPr>
                <w:sz w:val="1"/>
                <w:szCs w:val="1"/>
                <w:color w:val="auto"/>
              </w:rPr>
            </w:pPr>
          </w:p>
        </w:tc>
      </w:tr>
      <w:tr>
        <w:trPr>
          <w:trHeight w:val="160"/>
        </w:trPr>
        <w:tc>
          <w:tcPr>
            <w:tcW w:w="4040" w:type="dxa"/>
            <w:vAlign w:val="bottom"/>
          </w:tcPr>
          <w:p>
            <w:pPr>
              <w:ind w:left="300"/>
              <w:spacing w:after="0" w:line="160" w:lineRule="exact"/>
              <w:rPr>
                <w:sz w:val="20"/>
                <w:szCs w:val="20"/>
                <w:color w:val="auto"/>
              </w:rPr>
            </w:pPr>
            <w:r>
              <w:rPr>
                <w:rFonts w:ascii="Arial" w:cs="Arial" w:eastAsia="Arial" w:hAnsi="Arial"/>
                <w:sz w:val="14"/>
                <w:szCs w:val="14"/>
                <w:color w:val="auto"/>
              </w:rPr>
              <w:t>Favorable resolution of a contingency</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(27)</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64"/>
        </w:trPr>
        <w:tc>
          <w:tcPr>
            <w:tcW w:w="4040" w:type="dxa"/>
            <w:vAlign w:val="bottom"/>
          </w:tcPr>
          <w:p>
            <w:pPr>
              <w:ind w:left="480"/>
              <w:spacing w:after="0"/>
              <w:rPr>
                <w:sz w:val="20"/>
                <w:szCs w:val="20"/>
                <w:color w:val="auto"/>
              </w:rPr>
            </w:pPr>
            <w:r>
              <w:rPr>
                <w:rFonts w:ascii="Arial" w:cs="Arial" w:eastAsia="Arial" w:hAnsi="Arial"/>
                <w:sz w:val="14"/>
                <w:szCs w:val="14"/>
                <w:color w:val="auto"/>
              </w:rPr>
              <w:t>of an acquired company</w:t>
            </w:r>
            <w:r>
              <w:rPr>
                <w:rFonts w:ascii="Arial" w:cs="Arial" w:eastAsia="Arial" w:hAnsi="Arial"/>
                <w:sz w:val="14"/>
                <w:szCs w:val="14"/>
                <w:color w:val="auto"/>
                <w:vertAlign w:val="superscript"/>
              </w:rPr>
              <w:t>(5)</w:t>
            </w:r>
          </w:p>
        </w:tc>
        <w:tc>
          <w:tcPr>
            <w:tcW w:w="960" w:type="dxa"/>
            <w:vAlign w:val="bottom"/>
          </w:tcPr>
          <w:p>
            <w:pPr>
              <w:jc w:val="center"/>
              <w:ind w:right="128"/>
              <w:spacing w:after="0"/>
              <w:rPr>
                <w:sz w:val="20"/>
                <w:szCs w:val="20"/>
                <w:color w:val="auto"/>
              </w:rPr>
            </w:pPr>
            <w:r>
              <w:rPr>
                <w:rFonts w:ascii="Arial" w:cs="Arial" w:eastAsia="Arial" w:hAnsi="Arial"/>
                <w:sz w:val="14"/>
                <w:szCs w:val="14"/>
                <w:color w:val="auto"/>
                <w:w w:val="84"/>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color w:val="auto"/>
                <w:w w:val="84"/>
              </w:rPr>
              <w:t>-</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40" w:type="dxa"/>
            <w:vAlign w:val="bottom"/>
          </w:tcPr>
          <w:p>
            <w:pPr>
              <w:ind w:left="300"/>
              <w:spacing w:after="0" w:line="160" w:lineRule="exact"/>
              <w:rPr>
                <w:sz w:val="20"/>
                <w:szCs w:val="20"/>
                <w:color w:val="auto"/>
              </w:rPr>
            </w:pPr>
            <w:r>
              <w:rPr>
                <w:rFonts w:ascii="Arial" w:cs="Arial" w:eastAsia="Arial" w:hAnsi="Arial"/>
                <w:sz w:val="14"/>
                <w:szCs w:val="14"/>
                <w:color w:val="auto"/>
              </w:rPr>
              <w:t>Costs related to Time Warner Cable</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49</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0.02</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87</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0.04</w:t>
            </w:r>
          </w:p>
        </w:tc>
        <w:tc>
          <w:tcPr>
            <w:tcW w:w="0" w:type="dxa"/>
            <w:vAlign w:val="bottom"/>
          </w:tcPr>
          <w:p>
            <w:pPr>
              <w:spacing w:after="0"/>
              <w:rPr>
                <w:sz w:val="1"/>
                <w:szCs w:val="1"/>
                <w:color w:val="auto"/>
              </w:rPr>
            </w:pPr>
          </w:p>
        </w:tc>
      </w:tr>
      <w:tr>
        <w:trPr>
          <w:trHeight w:val="164"/>
        </w:trPr>
        <w:tc>
          <w:tcPr>
            <w:tcW w:w="4040" w:type="dxa"/>
            <w:vAlign w:val="bottom"/>
          </w:tcPr>
          <w:p>
            <w:pPr>
              <w:ind w:left="480"/>
              <w:spacing w:after="0"/>
              <w:rPr>
                <w:sz w:val="20"/>
                <w:szCs w:val="20"/>
                <w:color w:val="auto"/>
              </w:rPr>
            </w:pPr>
            <w:r>
              <w:rPr>
                <w:rFonts w:ascii="Arial" w:cs="Arial" w:eastAsia="Arial" w:hAnsi="Arial"/>
                <w:sz w:val="14"/>
                <w:szCs w:val="14"/>
                <w:color w:val="auto"/>
              </w:rPr>
              <w:t>and Charter transactions</w:t>
            </w:r>
            <w:r>
              <w:rPr>
                <w:rFonts w:ascii="Arial" w:cs="Arial" w:eastAsia="Arial" w:hAnsi="Arial"/>
                <w:sz w:val="14"/>
                <w:szCs w:val="14"/>
                <w:color w:val="auto"/>
                <w:vertAlign w:val="superscript"/>
              </w:rPr>
              <w:t>(6)</w:t>
            </w:r>
          </w:p>
        </w:tc>
        <w:tc>
          <w:tcPr>
            <w:tcW w:w="960" w:type="dxa"/>
            <w:vAlign w:val="bottom"/>
          </w:tcPr>
          <w:p>
            <w:pPr>
              <w:jc w:val="center"/>
              <w:ind w:right="128"/>
              <w:spacing w:after="0"/>
              <w:rPr>
                <w:sz w:val="20"/>
                <w:szCs w:val="20"/>
                <w:color w:val="auto"/>
              </w:rPr>
            </w:pPr>
            <w:r>
              <w:rPr>
                <w:rFonts w:ascii="Arial" w:cs="Arial" w:eastAsia="Arial" w:hAnsi="Arial"/>
                <w:sz w:val="14"/>
                <w:szCs w:val="14"/>
                <w:color w:val="auto"/>
                <w:w w:val="84"/>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color w:val="auto"/>
                <w:w w:val="84"/>
              </w:rPr>
              <w:t>-</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40" w:type="dxa"/>
            <w:vAlign w:val="bottom"/>
          </w:tcPr>
          <w:p>
            <w:pPr>
              <w:ind w:left="300"/>
              <w:spacing w:after="0" w:line="160" w:lineRule="exact"/>
              <w:rPr>
                <w:sz w:val="20"/>
                <w:szCs w:val="20"/>
                <w:color w:val="auto"/>
              </w:rPr>
            </w:pPr>
            <w:r>
              <w:rPr>
                <w:rFonts w:ascii="Arial" w:cs="Arial" w:eastAsia="Arial" w:hAnsi="Arial"/>
                <w:sz w:val="14"/>
                <w:szCs w:val="14"/>
                <w:color w:val="auto"/>
              </w:rPr>
              <w:t>Gain on sale of wireless spectrum</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6"/>
        </w:trPr>
        <w:tc>
          <w:tcPr>
            <w:tcW w:w="4040" w:type="dxa"/>
            <w:vAlign w:val="bottom"/>
          </w:tcPr>
          <w:p>
            <w:pPr>
              <w:ind w:left="480"/>
              <w:spacing w:after="0" w:line="147" w:lineRule="exact"/>
              <w:rPr>
                <w:sz w:val="20"/>
                <w:szCs w:val="20"/>
                <w:color w:val="auto"/>
              </w:rPr>
            </w:pPr>
            <w:r>
              <w:rPr>
                <w:rFonts w:ascii="Arial" w:cs="Arial" w:eastAsia="Arial" w:hAnsi="Arial"/>
                <w:sz w:val="14"/>
                <w:szCs w:val="14"/>
                <w:color w:val="auto"/>
              </w:rPr>
              <w:t>licenses</w:t>
            </w:r>
            <w:r>
              <w:rPr>
                <w:rFonts w:ascii="Arial" w:cs="Arial" w:eastAsia="Arial" w:hAnsi="Arial"/>
                <w:sz w:val="14"/>
                <w:szCs w:val="14"/>
                <w:color w:val="auto"/>
                <w:vertAlign w:val="superscript"/>
              </w:rPr>
              <w:t>(7)</w:t>
            </w:r>
          </w:p>
        </w:tc>
        <w:tc>
          <w:tcPr>
            <w:tcW w:w="960" w:type="dxa"/>
            <w:vAlign w:val="bottom"/>
          </w:tcPr>
          <w:p>
            <w:pPr>
              <w:jc w:val="center"/>
              <w:ind w:right="128"/>
              <w:spacing w:after="0" w:line="147" w:lineRule="exact"/>
              <w:rPr>
                <w:sz w:val="20"/>
                <w:szCs w:val="20"/>
                <w:color w:val="auto"/>
              </w:rPr>
            </w:pPr>
            <w:r>
              <w:rPr>
                <w:rFonts w:ascii="Arial" w:cs="Arial" w:eastAsia="Arial" w:hAnsi="Arial"/>
                <w:sz w:val="14"/>
                <w:szCs w:val="14"/>
                <w:color w:val="auto"/>
                <w:w w:val="84"/>
              </w:rPr>
              <w:t>-</w:t>
            </w:r>
          </w:p>
        </w:tc>
        <w:tc>
          <w:tcPr>
            <w:tcW w:w="620" w:type="dxa"/>
            <w:vAlign w:val="bottom"/>
          </w:tcPr>
          <w:p>
            <w:pPr>
              <w:jc w:val="right"/>
              <w:ind w:right="188"/>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(67)</w:t>
            </w: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300"/>
              <w:spacing w:after="0"/>
              <w:rPr>
                <w:sz w:val="20"/>
                <w:szCs w:val="20"/>
                <w:color w:val="auto"/>
              </w:rPr>
            </w:pPr>
            <w:r>
              <w:rPr>
                <w:rFonts w:ascii="Arial" w:cs="Arial" w:eastAsia="Arial" w:hAnsi="Arial"/>
                <w:sz w:val="14"/>
                <w:szCs w:val="14"/>
                <w:color w:val="auto"/>
              </w:rPr>
              <w:t>Pension termination costs</w:t>
            </w:r>
            <w:r>
              <w:rPr>
                <w:rFonts w:ascii="Arial" w:cs="Arial" w:eastAsia="Arial" w:hAnsi="Arial"/>
                <w:sz w:val="14"/>
                <w:szCs w:val="14"/>
                <w:color w:val="auto"/>
                <w:vertAlign w:val="superscript"/>
              </w:rPr>
              <w:t>(8)</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46</w:t>
            </w:r>
          </w:p>
        </w:tc>
        <w:tc>
          <w:tcPr>
            <w:tcW w:w="620" w:type="dxa"/>
            <w:vAlign w:val="bottom"/>
          </w:tcPr>
          <w:p>
            <w:pPr>
              <w:jc w:val="right"/>
              <w:spacing w:after="0"/>
              <w:rPr>
                <w:sz w:val="20"/>
                <w:szCs w:val="20"/>
                <w:color w:val="auto"/>
              </w:rPr>
            </w:pPr>
            <w:r>
              <w:rPr>
                <w:rFonts w:ascii="Arial" w:cs="Arial" w:eastAsia="Arial" w:hAnsi="Arial"/>
                <w:sz w:val="14"/>
                <w:szCs w:val="14"/>
                <w:color w:val="auto"/>
              </w:rPr>
              <w:t>0.02</w:t>
            </w:r>
          </w:p>
        </w:tc>
        <w:tc>
          <w:tcPr>
            <w:tcW w:w="22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46</w:t>
            </w:r>
          </w:p>
        </w:tc>
        <w:tc>
          <w:tcPr>
            <w:tcW w:w="600" w:type="dxa"/>
            <w:vAlign w:val="bottom"/>
          </w:tcPr>
          <w:p>
            <w:pPr>
              <w:jc w:val="right"/>
              <w:spacing w:after="0"/>
              <w:rPr>
                <w:sz w:val="20"/>
                <w:szCs w:val="20"/>
                <w:color w:val="auto"/>
              </w:rPr>
            </w:pPr>
            <w:r>
              <w:rPr>
                <w:rFonts w:ascii="Arial" w:cs="Arial" w:eastAsia="Arial" w:hAnsi="Arial"/>
                <w:sz w:val="14"/>
                <w:szCs w:val="14"/>
                <w:color w:val="auto"/>
              </w:rPr>
              <w:t>0.02</w:t>
            </w:r>
          </w:p>
        </w:tc>
        <w:tc>
          <w:tcPr>
            <w:tcW w:w="2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040" w:type="dxa"/>
            <w:vAlign w:val="bottom"/>
          </w:tcPr>
          <w:p>
            <w:pPr>
              <w:ind w:left="300"/>
              <w:spacing w:after="0"/>
              <w:rPr>
                <w:sz w:val="20"/>
                <w:szCs w:val="20"/>
                <w:color w:val="auto"/>
              </w:rPr>
            </w:pPr>
            <w:r>
              <w:rPr>
                <w:rFonts w:ascii="Arial" w:cs="Arial" w:eastAsia="Arial" w:hAnsi="Arial"/>
                <w:sz w:val="14"/>
                <w:szCs w:val="14"/>
                <w:color w:val="auto"/>
              </w:rPr>
              <w:t>Losses on investments</w:t>
            </w:r>
            <w:r>
              <w:rPr>
                <w:rFonts w:ascii="Arial" w:cs="Arial" w:eastAsia="Arial" w:hAnsi="Arial"/>
                <w:sz w:val="14"/>
                <w:szCs w:val="14"/>
                <w:color w:val="auto"/>
                <w:vertAlign w:val="superscript"/>
              </w:rPr>
              <w:t>(9)</w:t>
            </w: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040" w:type="dxa"/>
            <w:vAlign w:val="bottom"/>
          </w:tcPr>
          <w:p>
            <w:pPr>
              <w:ind w:left="260"/>
              <w:spacing w:after="0"/>
              <w:rPr>
                <w:sz w:val="20"/>
                <w:szCs w:val="20"/>
                <w:color w:val="auto"/>
              </w:rPr>
            </w:pPr>
            <w:r>
              <w:rPr>
                <w:rFonts w:ascii="Arial" w:cs="Arial" w:eastAsia="Arial" w:hAnsi="Arial"/>
                <w:sz w:val="14"/>
                <w:szCs w:val="14"/>
                <w:color w:val="auto"/>
              </w:rPr>
              <w:t>(excluding favorable income tax</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260"/>
              <w:spacing w:after="0"/>
              <w:rPr>
                <w:sz w:val="20"/>
                <w:szCs w:val="20"/>
                <w:color w:val="auto"/>
              </w:rPr>
            </w:pPr>
            <w:r>
              <w:rPr>
                <w:rFonts w:ascii="Arial" w:cs="Arial" w:eastAsia="Arial" w:hAnsi="Arial"/>
                <w:sz w:val="14"/>
                <w:szCs w:val="14"/>
                <w:color w:val="auto"/>
              </w:rPr>
              <w:t>adjustments, gains on sales,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260"/>
              <w:spacing w:after="0"/>
              <w:rPr>
                <w:sz w:val="20"/>
                <w:szCs w:val="20"/>
                <w:color w:val="auto"/>
              </w:rPr>
            </w:pPr>
            <w:r>
              <w:rPr>
                <w:rFonts w:ascii="Arial" w:cs="Arial" w:eastAsia="Arial" w:hAnsi="Arial"/>
                <w:sz w:val="14"/>
                <w:szCs w:val="14"/>
                <w:color w:val="auto"/>
              </w:rPr>
              <w:t>acquisition-related items, pension</w:t>
            </w:r>
          </w:p>
        </w:tc>
        <w:tc>
          <w:tcPr>
            <w:tcW w:w="960" w:type="dxa"/>
            <w:vAlign w:val="bottom"/>
            <w:vMerge w:val="restart"/>
          </w:tcPr>
          <w:p>
            <w:pPr>
              <w:jc w:val="center"/>
              <w:ind w:right="128"/>
              <w:spacing w:after="0"/>
              <w:rPr>
                <w:sz w:val="20"/>
                <w:szCs w:val="20"/>
                <w:color w:val="auto"/>
              </w:rPr>
            </w:pPr>
            <w:r>
              <w:rPr>
                <w:rFonts w:ascii="Arial" w:cs="Arial" w:eastAsia="Arial" w:hAnsi="Arial"/>
                <w:sz w:val="14"/>
                <w:szCs w:val="14"/>
                <w:color w:val="auto"/>
              </w:rPr>
              <w:t>$1,733</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$0.65</w:t>
            </w:r>
          </w:p>
        </w:tc>
        <w:tc>
          <w:tcPr>
            <w:tcW w:w="220" w:type="dxa"/>
            <w:vAlign w:val="bottom"/>
          </w:tcPr>
          <w:p>
            <w:pPr>
              <w:spacing w:after="0"/>
              <w:rPr>
                <w:sz w:val="14"/>
                <w:szCs w:val="14"/>
                <w:color w:val="auto"/>
              </w:rPr>
            </w:pPr>
          </w:p>
        </w:tc>
        <w:tc>
          <w:tcPr>
            <w:tcW w:w="9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$1,917</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$0.73</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ind w:right="108"/>
              <w:spacing w:after="0"/>
              <w:rPr>
                <w:sz w:val="20"/>
                <w:szCs w:val="20"/>
                <w:color w:val="auto"/>
              </w:rPr>
            </w:pPr>
            <w:r>
              <w:rPr>
                <w:rFonts w:ascii="Arial" w:cs="Arial" w:eastAsia="Arial" w:hAnsi="Arial"/>
                <w:sz w:val="14"/>
                <w:szCs w:val="14"/>
                <w:color w:val="auto"/>
              </w:rPr>
              <w:t>$4,837</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220" w:type="dxa"/>
            <w:vAlign w:val="bottom"/>
          </w:tcPr>
          <w:p>
            <w:pPr>
              <w:spacing w:after="0"/>
              <w:rPr>
                <w:sz w:val="14"/>
                <w:szCs w:val="14"/>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$5,694</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$2.17</w:t>
            </w:r>
          </w:p>
        </w:tc>
        <w:tc>
          <w:tcPr>
            <w:tcW w:w="0" w:type="dxa"/>
            <w:vAlign w:val="bottom"/>
          </w:tcPr>
          <w:p>
            <w:pPr>
              <w:spacing w:after="0"/>
              <w:rPr>
                <w:sz w:val="1"/>
                <w:szCs w:val="1"/>
                <w:color w:val="auto"/>
              </w:rPr>
            </w:pPr>
          </w:p>
        </w:tc>
      </w:tr>
      <w:tr>
        <w:trPr>
          <w:trHeight w:val="149"/>
        </w:trPr>
        <w:tc>
          <w:tcPr>
            <w:tcW w:w="4040" w:type="dxa"/>
            <w:vAlign w:val="bottom"/>
          </w:tcPr>
          <w:p>
            <w:pPr>
              <w:ind w:left="260"/>
              <w:spacing w:after="0" w:line="144" w:lineRule="exact"/>
              <w:rPr>
                <w:sz w:val="20"/>
                <w:szCs w:val="20"/>
                <w:color w:val="auto"/>
              </w:rPr>
            </w:pPr>
            <w:r>
              <w:rPr>
                <w:rFonts w:ascii="Arial" w:cs="Arial" w:eastAsia="Arial" w:hAnsi="Arial"/>
                <w:sz w:val="14"/>
                <w:szCs w:val="14"/>
                <w:color w:val="auto"/>
              </w:rPr>
              <w:t>termination costs and losses on investments)</w:t>
            </w:r>
          </w:p>
        </w:tc>
        <w:tc>
          <w:tcPr>
            <w:tcW w:w="9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4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i w:val="1"/>
                <w:iCs w:val="1"/>
                <w:color w:val="auto"/>
              </w:rPr>
              <w:t>10.6%</w:t>
            </w:r>
          </w:p>
        </w:tc>
        <w:tc>
          <w:tcPr>
            <w:tcW w:w="580" w:type="dxa"/>
            <w:vAlign w:val="bottom"/>
          </w:tcPr>
          <w:p>
            <w:pPr>
              <w:jc w:val="right"/>
              <w:spacing w:after="0"/>
              <w:rPr>
                <w:sz w:val="20"/>
                <w:szCs w:val="20"/>
                <w:color w:val="auto"/>
              </w:rPr>
            </w:pPr>
            <w:r>
              <w:rPr>
                <w:rFonts w:ascii="Arial" w:cs="Arial" w:eastAsia="Arial" w:hAnsi="Arial"/>
                <w:sz w:val="14"/>
                <w:szCs w:val="14"/>
                <w:i w:val="1"/>
                <w:iCs w:val="1"/>
                <w:color w:val="auto"/>
              </w:rPr>
              <w:t>12.3%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i w:val="1"/>
                <w:iCs w:val="1"/>
                <w:color w:val="auto"/>
              </w:rPr>
              <w:t>17.7%</w:t>
            </w:r>
          </w:p>
        </w:tc>
        <w:tc>
          <w:tcPr>
            <w:tcW w:w="600" w:type="dxa"/>
            <w:vAlign w:val="bottom"/>
          </w:tcPr>
          <w:p>
            <w:pPr>
              <w:jc w:val="right"/>
              <w:ind w:right="8"/>
              <w:spacing w:after="0"/>
              <w:rPr>
                <w:sz w:val="20"/>
                <w:szCs w:val="20"/>
                <w:color w:val="auto"/>
              </w:rPr>
            </w:pPr>
            <w:r>
              <w:rPr>
                <w:rFonts w:ascii="Arial" w:cs="Arial" w:eastAsia="Arial" w:hAnsi="Arial"/>
                <w:sz w:val="14"/>
                <w:szCs w:val="14"/>
                <w:i w:val="1"/>
                <w:iCs w:val="1"/>
                <w:color w:val="auto"/>
              </w:rPr>
              <w:t>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40" w:right="40" w:hanging="332"/>
        <w:spacing w:after="0" w:line="241"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Nonoperating items include adjustments for cash taxes paid related to certain investing and financing transactions, to reflect cash taxes paid in the year of the related taxable income and to exclude the impacts of Economic Stimulus packages. Net cash provided by operating activities for 2014 includes a $150 million increase in July 2014 resulting from a change in our credit card payment processes that resulted in the acceleration of the recognition of cash receipts in Cable Communications. For free cash flow purposes, we consider the acceleration to be nonrecurring in nature and therefore, we excluded this amount from free cash flow as a nonoperating item.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340" w:right="460" w:hanging="332"/>
        <w:spacing w:after="0" w:line="241"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3rd quarter 2014 net income attributable to Comcast Corporation includes $724 million of favorable income tax adjustments resulting from adjustments of uncertain tax positions.</w:t>
      </w:r>
    </w:p>
    <w:p>
      <w:pPr>
        <w:jc w:val="both"/>
        <w:ind w:left="340" w:right="120" w:hanging="332"/>
        <w:spacing w:after="0" w:line="241"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2014 year to date net income attributable to Comcast Corporation includes $154 million of investment income, $97 million net of tax, resulting from sales of investments. 3rd quarter 2013 net income attributable to Comcast Corporation includes $443 million of investment income, $279 million net of tax, resulting from the sale of the investment in Clearwire.</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2014 year to date net income attributable to Comcast Corporation includes $27 million of other income, resulting from the favorable resolution of a contingency related to the AT&amp;T Broadband transaction.</w:t>
      </w:r>
    </w:p>
    <w:p>
      <w:pPr>
        <w:ind w:left="340" w:right="140" w:hanging="332"/>
        <w:spacing w:after="0" w:line="241"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3rd quarter 2014 net income attributable to Comcast Corporation includes $77 million of operating costs and expenses, $49 million net of tax, related to the Time Warner Cable and Charter transactions. 2014 year to date net income attributable to Comcast Corporation includes $138 million of operating costs and expenses, $87 million net of tax, related to the Time Warner Cable and Charter transactions.</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$108 million of other income, $67 million net of tax, resulting from a gain on the sale of wireless spectrum licenses.</w:t>
      </w:r>
    </w:p>
    <w:p>
      <w:pPr>
        <w:ind w:left="340" w:hanging="332"/>
        <w:spacing w:after="0" w:line="241"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3rd quarter 2013 net income attributable to Comcast Corporation includes $74 million of other operating and administrative expenses, $46 million net of tax, resulting from the termination of a pension plan.</w:t>
      </w:r>
    </w:p>
    <w:p>
      <w:pPr>
        <w:ind w:left="340" w:right="160" w:hanging="332"/>
        <w:spacing w:after="0" w:line="258" w:lineRule="auto"/>
        <w:tabs>
          <w:tab w:leader="none" w:pos="342" w:val="left"/>
        </w:tabs>
        <w:numPr>
          <w:ilvl w:val="0"/>
          <w:numId w:val="8"/>
        </w:numPr>
        <w:rPr>
          <w:rFonts w:ascii="Arial" w:cs="Arial" w:eastAsia="Arial" w:hAnsi="Arial"/>
          <w:sz w:val="14"/>
          <w:szCs w:val="14"/>
          <w:color w:val="auto"/>
        </w:rPr>
      </w:pPr>
      <w:r>
        <w:rPr>
          <w:rFonts w:ascii="Arial" w:cs="Arial" w:eastAsia="Arial" w:hAnsi="Arial"/>
          <w:sz w:val="14"/>
          <w:szCs w:val="14"/>
          <w:color w:val="auto"/>
        </w:rPr>
        <w:t>3rd quarter 2013 net income attributable to Comcast Corporation includes $371 million of expense ($236 million of other expense and $135 million of equity in net losses of investees), $234 million net of tax, resulting from losses on investments.</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 w:lineRule="exact"/>
        <w:rPr>
          <w:sz w:val="20"/>
          <w:szCs w:val="20"/>
          <w:color w:val="auto"/>
        </w:rPr>
      </w:pPr>
    </w:p>
    <w:p>
      <w:pPr>
        <w:ind w:right="2580"/>
        <w:spacing w:after="0"/>
        <w:rPr>
          <w:sz w:val="20"/>
          <w:szCs w:val="20"/>
          <w:color w:val="auto"/>
        </w:rPr>
      </w:pPr>
      <w:r>
        <w:rPr>
          <w:rFonts w:ascii="Arial" w:cs="Arial" w:eastAsia="Arial" w:hAnsi="Arial"/>
          <w:sz w:val="18"/>
          <w:szCs w:val="18"/>
          <w:b w:val="1"/>
          <w:bCs w:val="1"/>
          <w:color w:val="C9C9C9"/>
        </w:rPr>
        <w:t>Reconciliation of Consolidated Revenue Excluding 2014 Olympics and Operating Cash Flow Excluding Costs Related to Time Warner Cable and Charter Transactions and Pension Termination Costs (Unaudited)</w:t>
      </w:r>
    </w:p>
    <w:p>
      <w:pPr>
        <w:spacing w:after="0" w:line="8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$16,151</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$16,791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$47,731</w:t>
            </w:r>
          </w:p>
        </w:tc>
        <w:tc>
          <w:tcPr>
            <w:tcW w:w="1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$51,043</w:t>
            </w:r>
          </w:p>
        </w:tc>
        <w:tc>
          <w:tcPr>
            <w:tcW w:w="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$16,151</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$16,791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$47,731</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$49,940</w:t>
            </w:r>
          </w:p>
        </w:tc>
        <w:tc>
          <w:tcPr>
            <w:tcW w:w="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w:t>
            </w: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7"/>
        </w:trPr>
        <w:tc>
          <w:tcPr>
            <w:tcW w:w="428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ind w:left="20"/>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$5,330</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$5,704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$15,789</w:t>
            </w:r>
          </w:p>
        </w:tc>
        <w:tc>
          <w:tcPr>
            <w:tcW w:w="1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$17,046</w:t>
            </w:r>
          </w:p>
        </w:tc>
        <w:tc>
          <w:tcPr>
            <w:tcW w:w="2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w:t>
            </w:r>
          </w:p>
        </w:tc>
      </w:tr>
      <w:tr>
        <w:trPr>
          <w:trHeight w:val="177"/>
        </w:trPr>
        <w:tc>
          <w:tcPr>
            <w:tcW w:w="4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ectPr>
          <w:pgSz w:w="11900" w:h="16900" w:orient="portrait"/>
          <w:cols w:equalWidth="0" w:num="1">
            <w:col w:w="11380"/>
          </w:cols>
          <w:pgMar w:left="240" w:top="140" w:right="279" w:bottom="0" w:gutter="0" w:footer="0" w:header="0"/>
        </w:sectPr>
      </w:pPr>
    </w:p>
    <w:bookmarkStart w:id="10" w:name="page11"/>
    <w:bookmarkEnd w:id="10"/>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20"/>
                <w:szCs w:val="20"/>
                <w:color w:val="auto"/>
              </w:rPr>
            </w:pPr>
            <w:r>
              <w:rPr>
                <w:rFonts w:ascii="Arial" w:cs="Arial" w:eastAsia="Arial" w:hAnsi="Arial"/>
                <w:sz w:val="14"/>
                <w:szCs w:val="14"/>
                <w:color w:val="auto"/>
              </w:rPr>
              <w:t>Costs related to Time Warner Cable and Charter transactions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77</w:t>
            </w:r>
          </w:p>
        </w:tc>
        <w:tc>
          <w:tcPr>
            <w:tcW w:w="13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138</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20"/>
                <w:szCs w:val="20"/>
                <w:color w:val="auto"/>
              </w:rPr>
            </w:pPr>
            <w:r>
              <w:rPr>
                <w:rFonts w:ascii="Arial" w:cs="Arial" w:eastAsia="Arial" w:hAnsi="Arial"/>
                <w:sz w:val="14"/>
                <w:szCs w:val="14"/>
                <w:color w:val="auto"/>
              </w:rPr>
              <w:t>Pension termination costs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428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$5,404</w:t>
            </w:r>
          </w:p>
        </w:tc>
        <w:tc>
          <w:tcPr>
            <w:tcW w:w="240" w:type="dxa"/>
            <w:vAlign w:val="bottom"/>
          </w:tcPr>
          <w:p>
            <w:pPr>
              <w:spacing w:after="0"/>
              <w:rPr>
                <w:sz w:val="24"/>
                <w:szCs w:val="2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$5,781</w:t>
            </w:r>
          </w:p>
        </w:tc>
        <w:tc>
          <w:tcPr>
            <w:tcW w:w="13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$15,863</w:t>
            </w:r>
          </w:p>
        </w:tc>
        <w:tc>
          <w:tcPr>
            <w:tcW w:w="220" w:type="dxa"/>
            <w:vAlign w:val="bottom"/>
          </w:tcPr>
          <w:p>
            <w:pPr>
              <w:spacing w:after="0"/>
              <w:rPr>
                <w:sz w:val="24"/>
                <w:szCs w:val="2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$17,184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4" w:lineRule="exact"/>
              <w:rPr>
                <w:sz w:val="20"/>
                <w:szCs w:val="20"/>
                <w:color w:val="auto"/>
              </w:rPr>
            </w:pPr>
            <w:r>
              <w:rPr>
                <w:rFonts w:ascii="Arial" w:cs="Arial" w:eastAsia="Arial" w:hAnsi="Arial"/>
                <w:sz w:val="14"/>
                <w:szCs w:val="14"/>
                <w:color w:val="auto"/>
              </w:rPr>
              <w:t>Cable and Charter transactions and pension termination costs</w:t>
            </w: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right"/>
              <w:ind w:right="248"/>
              <w:spacing w:after="0" w:line="144"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$5,851</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$5,921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$17,186</w:t>
            </w:r>
          </w:p>
        </w:tc>
        <w:tc>
          <w:tcPr>
            <w:tcW w:w="11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$18,813</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$5,851</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$5,921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$17,186</w:t>
            </w:r>
          </w:p>
        </w:tc>
        <w:tc>
          <w:tcPr>
            <w:tcW w:w="11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$17,710</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Cable Networks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$2,239</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$2,255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$6,877</w:t>
            </w:r>
          </w:p>
        </w:tc>
        <w:tc>
          <w:tcPr>
            <w:tcW w:w="11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$7,236</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$2,239</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$2,255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$6,877</w:t>
            </w:r>
          </w:p>
        </w:tc>
        <w:tc>
          <w:tcPr>
            <w:tcW w:w="11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$6,979</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Broadcast Television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r>
      <w:tr>
        <w:trPr>
          <w:trHeight w:val="190"/>
        </w:trPr>
        <w:tc>
          <w:tcPr>
            <w:tcW w:w="4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6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$1,644</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$1,770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$4,893</w:t>
            </w:r>
          </w:p>
        </w:tc>
        <w:tc>
          <w:tcPr>
            <w:tcW w:w="11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$6,207</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26.9%</w:t>
            </w:r>
          </w:p>
        </w:tc>
      </w:tr>
      <w:tr>
        <w:trPr>
          <w:trHeight w:val="309"/>
        </w:trPr>
        <w:tc>
          <w:tcPr>
            <w:tcW w:w="426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(846)</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426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$1,644</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$1,770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$4,893</w:t>
            </w:r>
          </w:p>
        </w:tc>
        <w:tc>
          <w:tcPr>
            <w:tcW w:w="11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$5,361</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9.6%</w:t>
            </w:r>
          </w:p>
        </w:tc>
      </w:tr>
      <w:tr>
        <w:trPr>
          <w:trHeight w:val="20"/>
        </w:trPr>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2019-12-07T02:35:21Z</dcterms:created>
  <dcterms:modified xsi:type="dcterms:W3CDTF">2019-12-07T02:35:21Z</dcterms:modified>
</cp:coreProperties>
</file>