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0"/>
        <w:spacing w:after="0"/>
        <w:rPr>
          <w:sz w:val="20"/>
          <w:szCs w:val="20"/>
          <w:color w:val="auto"/>
        </w:rPr>
      </w:pPr>
      <w:r>
        <w:rPr>
          <w:rFonts w:ascii="Courier New" w:cs="Courier New" w:eastAsia="Courier New" w:hAnsi="Courier New"/>
          <w:sz w:val="17"/>
          <w:szCs w:val="17"/>
          <w:color w:val="auto"/>
        </w:rPr>
        <w:t>UNITED STATES</w:t>
      </w:r>
    </w:p>
    <w:p>
      <w:pPr>
        <w:jc w:val="center"/>
        <w:ind w:right="2300"/>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300"/>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FORM 10-Q</w:t>
      </w:r>
    </w:p>
    <w:p>
      <w:pPr>
        <w:spacing w:after="0"/>
        <w:rPr>
          <w:sz w:val="20"/>
          <w:szCs w:val="20"/>
          <w:color w:val="auto"/>
        </w:rPr>
      </w:pPr>
      <w:r>
        <w:rPr>
          <w:rFonts w:ascii="Courier New" w:cs="Courier New" w:eastAsia="Courier New" w:hAnsi="Courier New"/>
          <w:sz w:val="17"/>
          <w:szCs w:val="17"/>
          <w:color w:val="auto"/>
        </w:rPr>
        <w:t>(Mark One)</w:t>
      </w:r>
    </w:p>
    <w:p>
      <w:pPr>
        <w:spacing w:after="0" w:line="198" w:lineRule="exact"/>
        <w:rPr>
          <w:sz w:val="24"/>
          <w:szCs w:val="24"/>
          <w:color w:val="auto"/>
        </w:rPr>
      </w:pPr>
    </w:p>
    <w:p>
      <w:pPr>
        <w:ind w:left="500" w:right="2300" w:hanging="497"/>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 for the Quarterly Period Ended:</w:t>
      </w:r>
    </w:p>
    <w:p>
      <w:pPr>
        <w:spacing w:after="0" w:line="1" w:lineRule="exact"/>
        <w:rPr>
          <w:sz w:val="24"/>
          <w:szCs w:val="24"/>
          <w:color w:val="auto"/>
        </w:rPr>
      </w:pPr>
    </w:p>
    <w:p>
      <w:pPr>
        <w:jc w:val="center"/>
        <w:ind w:right="2300"/>
        <w:spacing w:after="0"/>
        <w:rPr>
          <w:sz w:val="20"/>
          <w:szCs w:val="20"/>
          <w:color w:val="auto"/>
        </w:rPr>
      </w:pPr>
      <w:r>
        <w:rPr>
          <w:rFonts w:ascii="Courier New" w:cs="Courier New" w:eastAsia="Courier New" w:hAnsi="Courier New"/>
          <w:sz w:val="17"/>
          <w:szCs w:val="17"/>
          <w:color w:val="auto"/>
        </w:rPr>
        <w:t>MARCH 31, 2003</w:t>
      </w:r>
    </w:p>
    <w:p>
      <w:pPr>
        <w:jc w:val="center"/>
        <w:ind w:right="230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ind w:left="500" w:right="2300" w:hanging="497"/>
        <w:spacing w:after="0" w:line="236" w:lineRule="auto"/>
        <w:tabs>
          <w:tab w:leader="none" w:pos="19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 for the Transition Period from ________ to ________.</w:t>
      </w:r>
    </w:p>
    <w:p>
      <w:pPr>
        <w:spacing w:after="0" w:line="194" w:lineRule="exact"/>
        <w:rPr>
          <w:sz w:val="24"/>
          <w:szCs w:val="24"/>
          <w:color w:val="auto"/>
        </w:rPr>
      </w:pPr>
    </w:p>
    <w:p>
      <w:pPr>
        <w:jc w:val="center"/>
        <w:ind w:right="2300"/>
        <w:spacing w:after="0"/>
        <w:rPr>
          <w:sz w:val="20"/>
          <w:szCs w:val="20"/>
          <w:color w:val="auto"/>
        </w:rPr>
      </w:pPr>
      <w:r>
        <w:rPr>
          <w:rFonts w:ascii="Courier New" w:cs="Courier New" w:eastAsia="Courier New" w:hAnsi="Courier New"/>
          <w:sz w:val="17"/>
          <w:szCs w:val="17"/>
          <w:color w:val="auto"/>
        </w:rPr>
        <w:t>Commission File Number 001-15471</w:t>
      </w:r>
    </w:p>
    <w:p>
      <w:pPr>
        <w:spacing w:after="0" w:line="193" w:lineRule="exact"/>
        <w:rPr>
          <w:sz w:val="24"/>
          <w:szCs w:val="24"/>
          <w:color w:val="auto"/>
        </w:rPr>
      </w:pPr>
    </w:p>
    <w:p>
      <w:pPr>
        <w:jc w:val="center"/>
        <w:ind w:right="2300"/>
        <w:spacing w:after="0"/>
        <w:rPr>
          <w:sz w:val="20"/>
          <w:szCs w:val="20"/>
          <w:color w:val="auto"/>
        </w:rPr>
      </w:pPr>
      <w:r>
        <w:rPr>
          <w:rFonts w:ascii="Courier New" w:cs="Courier New" w:eastAsia="Courier New" w:hAnsi="Courier New"/>
          <w:sz w:val="17"/>
          <w:szCs w:val="17"/>
          <w:color w:val="auto"/>
        </w:rPr>
        <w:t>COMCAST HOLDINGS CORPORATION</w:t>
      </w:r>
    </w:p>
    <w:p>
      <w:pPr>
        <w:jc w:val="center"/>
        <w:ind w:right="23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3" w:lineRule="exact"/>
        <w:rPr>
          <w:sz w:val="24"/>
          <w:szCs w:val="24"/>
          <w:color w:val="auto"/>
        </w:rPr>
      </w:pPr>
    </w:p>
    <w:tbl>
      <w:tblPr>
        <w:tblLayout w:type="fixed"/>
        <w:tblInd w:w="700" w:type="dxa"/>
        <w:tblCellMar>
          <w:top w:w="0" w:type="dxa"/>
          <w:left w:w="0" w:type="dxa"/>
          <w:bottom w:w="0" w:type="dxa"/>
          <w:right w:w="0" w:type="dxa"/>
        </w:tblCellMar>
      </w:tblP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PENNSYLVANIA</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23-1709202</w:t>
            </w:r>
          </w:p>
        </w:tc>
      </w:tr>
    </w:tbl>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4" w:lineRule="exact"/>
        <w:rPr>
          <w:sz w:val="24"/>
          <w:szCs w:val="24"/>
          <w:color w:val="auto"/>
        </w:rPr>
      </w:pPr>
    </w:p>
    <w:p>
      <w:pPr>
        <w:ind w:right="2300"/>
        <w:spacing w:after="0" w:line="236"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194"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1500 Market Street, Philadelphia, PA 19102-2148</w:t>
      </w:r>
    </w:p>
    <w:p>
      <w:pPr>
        <w:spacing w:after="0" w:line="6" w:lineRule="exact"/>
        <w:rPr>
          <w:sz w:val="24"/>
          <w:szCs w:val="24"/>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(Address of principal executive offices)</w:t>
      </w:r>
    </w:p>
    <w:p>
      <w:pPr>
        <w:ind w:left="3520"/>
        <w:spacing w:after="0"/>
        <w:rPr>
          <w:sz w:val="20"/>
          <w:szCs w:val="20"/>
          <w:color w:val="auto"/>
        </w:rPr>
      </w:pPr>
      <w:r>
        <w:rPr>
          <w:rFonts w:ascii="Courier New" w:cs="Courier New" w:eastAsia="Courier New" w:hAnsi="Courier New"/>
          <w:sz w:val="17"/>
          <w:szCs w:val="17"/>
          <w:color w:val="auto"/>
        </w:rPr>
        <w:t>(Zip Code)</w:t>
      </w:r>
    </w:p>
    <w:p>
      <w:pPr>
        <w:spacing w:after="0" w:line="193" w:lineRule="exact"/>
        <w:rPr>
          <w:sz w:val="24"/>
          <w:szCs w:val="24"/>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Registrant's telephone number, including area code:</w:t>
      </w:r>
      <w:r>
        <w:rPr>
          <w:sz w:val="20"/>
          <w:szCs w:val="20"/>
          <w:color w:val="auto"/>
        </w:rPr>
        <w:tab/>
      </w:r>
      <w:r>
        <w:rPr>
          <w:rFonts w:ascii="Courier New" w:cs="Courier New" w:eastAsia="Courier New" w:hAnsi="Courier New"/>
          <w:sz w:val="16"/>
          <w:szCs w:val="16"/>
          <w:color w:val="auto"/>
        </w:rPr>
        <w:t>(215) 665-1700</w:t>
      </w:r>
    </w:p>
    <w:p>
      <w:pPr>
        <w:ind w:left="2700"/>
        <w:spacing w:after="0"/>
        <w:rPr>
          <w:sz w:val="20"/>
          <w:szCs w:val="20"/>
          <w:color w:val="auto"/>
        </w:rPr>
      </w:pPr>
      <w:r>
        <w:rPr>
          <w:rFonts w:ascii="Courier New" w:cs="Courier New" w:eastAsia="Courier New" w:hAnsi="Courier New"/>
          <w:sz w:val="17"/>
          <w:szCs w:val="17"/>
          <w:color w:val="auto"/>
        </w:rPr>
        <w:t>__________________________</w:t>
      </w:r>
    </w:p>
    <w:p>
      <w:pPr>
        <w:spacing w:after="0" w:line="198" w:lineRule="exact"/>
        <w:rPr>
          <w:sz w:val="24"/>
          <w:szCs w:val="24"/>
          <w:color w:val="auto"/>
        </w:rPr>
      </w:pPr>
    </w:p>
    <w:p>
      <w:pPr>
        <w:jc w:val="both"/>
        <w:ind w:right="2300"/>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320"/>
          </w:cols>
          <w:pgMar w:left="240" w:top="239" w:right="1339" w:bottom="0" w:gutter="0" w:footer="0" w:header="0"/>
        </w:sectPr>
      </w:pPr>
    </w:p>
    <w:p>
      <w:pPr>
        <w:spacing w:after="0" w:line="202"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 ____</w:t>
      </w:r>
    </w:p>
    <w:p>
      <w:pPr>
        <w:spacing w:after="0" w:line="11" w:lineRule="exact"/>
        <w:rPr>
          <w:sz w:val="24"/>
          <w:szCs w:val="24"/>
          <w:color w:val="auto"/>
        </w:rPr>
      </w:pPr>
    </w:p>
    <w:p>
      <w:pPr>
        <w:sectPr>
          <w:pgSz w:w="11900" w:h="16838" w:orient="portrait"/>
          <w:cols w:equalWidth="0" w:num="3">
            <w:col w:w="1200" w:space="200"/>
            <w:col w:w="4400" w:space="720"/>
            <w:col w:w="3800"/>
          </w:cols>
          <w:pgMar w:left="240" w:top="239" w:right="1339" w:bottom="0" w:gutter="0" w:footer="0" w:header="0"/>
          <w:type w:val="continuous"/>
        </w:sectPr>
      </w:pPr>
    </w:p>
    <w:p>
      <w:pPr>
        <w:ind w:left="2700"/>
        <w:spacing w:after="0"/>
        <w:rPr>
          <w:sz w:val="20"/>
          <w:szCs w:val="20"/>
          <w:color w:val="auto"/>
        </w:rPr>
      </w:pPr>
      <w:r>
        <w:rPr>
          <w:rFonts w:ascii="Courier New" w:cs="Courier New" w:eastAsia="Courier New" w:hAnsi="Courier New"/>
          <w:sz w:val="16"/>
          <w:szCs w:val="16"/>
          <w:color w:val="auto"/>
        </w:rPr>
        <w:t>__________________________</w:t>
      </w:r>
    </w:p>
    <w:p>
      <w:pPr>
        <w:sectPr>
          <w:pgSz w:w="11900" w:h="16838" w:orient="portrait"/>
          <w:cols w:equalWidth="0" w:num="1">
            <w:col w:w="10320"/>
          </w:cols>
          <w:pgMar w:left="240" w:top="239" w:right="1339" w:bottom="0" w:gutter="0" w:footer="0" w:header="0"/>
          <w:type w:val="continuous"/>
        </w:sectPr>
      </w:pPr>
    </w:p>
    <w:p>
      <w:pPr>
        <w:spacing w:after="0" w:line="204" w:lineRule="exact"/>
        <w:rPr>
          <w:sz w:val="24"/>
          <w:szCs w:val="24"/>
          <w:color w:val="auto"/>
        </w:rPr>
      </w:pPr>
    </w:p>
    <w:p>
      <w:pPr>
        <w:spacing w:after="0" w:line="236" w:lineRule="auto"/>
        <w:rPr>
          <w:sz w:val="20"/>
          <w:szCs w:val="20"/>
          <w:color w:val="auto"/>
        </w:rPr>
      </w:pPr>
      <w:r>
        <w:rPr>
          <w:rFonts w:ascii="Courier New" w:cs="Courier New" w:eastAsia="Courier New" w:hAnsi="Courier New"/>
          <w:sz w:val="17"/>
          <w:szCs w:val="17"/>
          <w:color w:val="auto"/>
        </w:rPr>
        <w:t>Indicate by check mark whether the registrant is an defined in Rule 12-b2 of the Exchange Act). Yes ____ No X</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accelerated</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filer (as</w:t>
      </w:r>
    </w:p>
    <w:p>
      <w:pPr>
        <w:spacing w:after="0" w:line="396" w:lineRule="exact"/>
        <w:rPr>
          <w:sz w:val="24"/>
          <w:szCs w:val="24"/>
          <w:color w:val="auto"/>
        </w:rPr>
      </w:pPr>
    </w:p>
    <w:p>
      <w:pPr>
        <w:sectPr>
          <w:pgSz w:w="11900" w:h="16838" w:orient="portrait"/>
          <w:cols w:equalWidth="0" w:num="3">
            <w:col w:w="5820" w:space="0"/>
            <w:col w:w="1100" w:space="200"/>
            <w:col w:w="3200"/>
          </w:cols>
          <w:pgMar w:left="240" w:top="239" w:right="1339" w:bottom="0" w:gutter="0" w:footer="0" w:header="0"/>
          <w:type w:val="continuous"/>
        </w:sectPr>
      </w:pPr>
    </w:p>
    <w:p>
      <w:pPr>
        <w:jc w:val="both"/>
        <w:ind w:right="2300"/>
        <w:spacing w:after="0" w:line="237" w:lineRule="auto"/>
        <w:rPr>
          <w:sz w:val="20"/>
          <w:szCs w:val="20"/>
          <w:color w:val="auto"/>
        </w:rPr>
      </w:pPr>
      <w:r>
        <w:rPr>
          <w:rFonts w:ascii="Courier New" w:cs="Courier New" w:eastAsia="Courier New" w:hAnsi="Courier New"/>
          <w:sz w:val="17"/>
          <w:szCs w:val="17"/>
          <w:color w:val="auto"/>
        </w:rPr>
        <w:t>As of March 31, 2003, there were 21,591,115 shares of Class A Common Stock, 916,198,519 shares of Class A Special Common Stock and 9,444,375 shares of Class B Common Stock outstanding.</w:t>
      </w:r>
    </w:p>
    <w:p>
      <w:pPr>
        <w:spacing w:after="0" w:line="2"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w:t>
      </w:r>
    </w:p>
    <w:p>
      <w:pPr>
        <w:spacing w:after="0" w:line="198" w:lineRule="exact"/>
        <w:rPr>
          <w:sz w:val="24"/>
          <w:szCs w:val="24"/>
          <w:color w:val="auto"/>
        </w:rPr>
      </w:pPr>
    </w:p>
    <w:p>
      <w:pPr>
        <w:jc w:val="both"/>
        <w:ind w:right="2300"/>
        <w:spacing w:after="0" w:line="237" w:lineRule="auto"/>
        <w:rPr>
          <w:sz w:val="20"/>
          <w:szCs w:val="20"/>
          <w:color w:val="auto"/>
        </w:rPr>
      </w:pPr>
      <w:r>
        <w:rPr>
          <w:rFonts w:ascii="Courier New" w:cs="Courier New" w:eastAsia="Courier New" w:hAnsi="Courier New"/>
          <w:sz w:val="17"/>
          <w:szCs w:val="17"/>
          <w:color w:val="auto"/>
        </w:rPr>
        <w:t>The Registrant meets the conditions set forth in General Instructions H(1)(a) and (b) of Form 10-Q and is therefore filing this Form with the reduced disclosure format.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800"/>
        <w:spacing w:after="0"/>
        <w:rPr>
          <w:sz w:val="20"/>
          <w:szCs w:val="20"/>
          <w:color w:val="auto"/>
        </w:rPr>
      </w:pPr>
      <w:r>
        <w:rPr>
          <w:rFonts w:ascii="Courier New" w:cs="Courier New" w:eastAsia="Courier New" w:hAnsi="Courier New"/>
          <w:sz w:val="17"/>
          <w:szCs w:val="17"/>
          <w:color w:val="auto"/>
        </w:rPr>
        <w:t>COMCAST HOLDINGS CORPORATION AND SUBSIDIARIES</w:t>
      </w:r>
    </w:p>
    <w:p>
      <w:pPr>
        <w:ind w:left="3620"/>
        <w:spacing w:after="0"/>
        <w:rPr>
          <w:sz w:val="20"/>
          <w:szCs w:val="20"/>
          <w:color w:val="auto"/>
        </w:rPr>
      </w:pPr>
      <w:r>
        <w:rPr>
          <w:rFonts w:ascii="Courier New" w:cs="Courier New" w:eastAsia="Courier New" w:hAnsi="Courier New"/>
          <w:sz w:val="17"/>
          <w:szCs w:val="17"/>
          <w:color w:val="auto"/>
        </w:rPr>
        <w:t>FORM 10-Q</w:t>
      </w:r>
    </w:p>
    <w:p>
      <w:pPr>
        <w:ind w:left="2600"/>
        <w:spacing w:after="0"/>
        <w:rPr>
          <w:sz w:val="20"/>
          <w:szCs w:val="20"/>
          <w:color w:val="auto"/>
        </w:rPr>
      </w:pPr>
      <w:r>
        <w:rPr>
          <w:rFonts w:ascii="Courier New" w:cs="Courier New" w:eastAsia="Courier New" w:hAnsi="Courier New"/>
          <w:sz w:val="17"/>
          <w:szCs w:val="17"/>
          <w:color w:val="auto"/>
        </w:rPr>
        <w:t>QUARTER ENDED MARCH 31, 2003</w:t>
      </w:r>
    </w:p>
    <w:p>
      <w:pPr>
        <w:ind w:left="32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right"/>
        <w:spacing w:after="0"/>
        <w:rPr>
          <w:sz w:val="20"/>
          <w:szCs w:val="20"/>
          <w:color w:val="auto"/>
        </w:rPr>
      </w:pPr>
      <w:r>
        <w:rPr>
          <w:rFonts w:ascii="Courier New" w:cs="Courier New" w:eastAsia="Courier New" w:hAnsi="Courier New"/>
          <w:sz w:val="17"/>
          <w:szCs w:val="17"/>
          <w:color w:val="auto"/>
        </w:rPr>
        <w:t>Page Number</w:t>
      </w:r>
    </w:p>
    <w:p>
      <w:pPr>
        <w:spacing w:after="0"/>
        <w:tabs>
          <w:tab w:leader="none" w:pos="108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3" w:lineRule="exact"/>
        <w:rPr>
          <w:sz w:val="24"/>
          <w:szCs w:val="24"/>
          <w:color w:val="auto"/>
        </w:rPr>
      </w:pPr>
    </w:p>
    <w:p>
      <w:pPr>
        <w:ind w:left="1100"/>
        <w:spacing w:after="0"/>
        <w:tabs>
          <w:tab w:leader="none" w:pos="21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3"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Condensed Consolidated Balance Sheet as of March 31, 2003</w:t>
      </w:r>
    </w:p>
    <w:p>
      <w:pPr>
        <w:jc w:val="right"/>
        <w:ind w:right="300"/>
        <w:spacing w:after="0"/>
        <w:tabs>
          <w:tab w:leader="dot" w:pos="380" w:val="left"/>
        </w:tabs>
        <w:rPr>
          <w:sz w:val="20"/>
          <w:szCs w:val="20"/>
          <w:color w:val="auto"/>
        </w:rPr>
      </w:pPr>
      <w:r>
        <w:rPr>
          <w:rFonts w:ascii="Courier New" w:cs="Courier New" w:eastAsia="Courier New" w:hAnsi="Courier New"/>
          <w:sz w:val="17"/>
          <w:szCs w:val="17"/>
          <w:color w:val="auto"/>
        </w:rPr>
        <w:t>and December 31, 2002 (Unaudited)</w:t>
      </w:r>
      <w:r>
        <w:rPr>
          <w:sz w:val="20"/>
          <w:szCs w:val="20"/>
          <w:color w:val="auto"/>
        </w:rPr>
        <w:tab/>
      </w:r>
      <w:r>
        <w:rPr>
          <w:rFonts w:ascii="Courier New" w:cs="Courier New" w:eastAsia="Courier New" w:hAnsi="Courier New"/>
          <w:sz w:val="16"/>
          <w:szCs w:val="16"/>
          <w:color w:val="auto"/>
        </w:rPr>
        <w:t>2</w:t>
      </w:r>
    </w:p>
    <w:p>
      <w:pPr>
        <w:jc w:val="right"/>
        <w:ind w:right="1400"/>
        <w:spacing w:after="0"/>
        <w:rPr>
          <w:sz w:val="20"/>
          <w:szCs w:val="20"/>
          <w:color w:val="auto"/>
        </w:rPr>
      </w:pPr>
      <w:r>
        <w:rPr>
          <w:rFonts w:ascii="Courier New" w:cs="Courier New" w:eastAsia="Courier New" w:hAnsi="Courier New"/>
          <w:sz w:val="17"/>
          <w:szCs w:val="17"/>
          <w:color w:val="auto"/>
        </w:rPr>
        <w:t>Condensed Consolidated Statement of Operations for the Three Months</w:t>
      </w:r>
    </w:p>
    <w:p>
      <w:pPr>
        <w:jc w:val="right"/>
        <w:ind w:right="300"/>
        <w:spacing w:after="0"/>
        <w:tabs>
          <w:tab w:leader="dot" w:pos="380" w:val="left"/>
        </w:tabs>
        <w:rPr>
          <w:sz w:val="20"/>
          <w:szCs w:val="20"/>
          <w:color w:val="auto"/>
        </w:rPr>
      </w:pPr>
      <w:r>
        <w:rPr>
          <w:rFonts w:ascii="Courier New" w:cs="Courier New" w:eastAsia="Courier New" w:hAnsi="Courier New"/>
          <w:sz w:val="17"/>
          <w:szCs w:val="17"/>
          <w:color w:val="auto"/>
        </w:rPr>
        <w:t>Ended March 31, 2003 and 2002 (Unaudited)</w:t>
      </w:r>
      <w:r>
        <w:rPr>
          <w:sz w:val="20"/>
          <w:szCs w:val="20"/>
          <w:color w:val="auto"/>
        </w:rPr>
        <w:tab/>
      </w:r>
      <w:r>
        <w:rPr>
          <w:rFonts w:ascii="Courier New" w:cs="Courier New" w:eastAsia="Courier New" w:hAnsi="Courier New"/>
          <w:sz w:val="16"/>
          <w:szCs w:val="16"/>
          <w:color w:val="auto"/>
        </w:rPr>
        <w:t>3</w:t>
      </w:r>
    </w:p>
    <w:p>
      <w:pPr>
        <w:jc w:val="right"/>
        <w:ind w:right="1400"/>
        <w:spacing w:after="0"/>
        <w:rPr>
          <w:sz w:val="20"/>
          <w:szCs w:val="20"/>
          <w:color w:val="auto"/>
        </w:rPr>
      </w:pPr>
      <w:r>
        <w:rPr>
          <w:rFonts w:ascii="Courier New" w:cs="Courier New" w:eastAsia="Courier New" w:hAnsi="Courier New"/>
          <w:sz w:val="17"/>
          <w:szCs w:val="17"/>
          <w:color w:val="auto"/>
        </w:rPr>
        <w:t>Condensed Consolidated Statement of Cash Flows for the Three Months</w:t>
      </w:r>
    </w:p>
    <w:p>
      <w:pPr>
        <w:jc w:val="right"/>
        <w:ind w:right="300"/>
        <w:spacing w:after="0"/>
        <w:tabs>
          <w:tab w:leader="dot" w:pos="380" w:val="left"/>
        </w:tabs>
        <w:rPr>
          <w:sz w:val="20"/>
          <w:szCs w:val="20"/>
          <w:color w:val="auto"/>
        </w:rPr>
      </w:pPr>
      <w:r>
        <w:rPr>
          <w:rFonts w:ascii="Courier New" w:cs="Courier New" w:eastAsia="Courier New" w:hAnsi="Courier New"/>
          <w:sz w:val="17"/>
          <w:szCs w:val="17"/>
          <w:color w:val="auto"/>
        </w:rPr>
        <w:t>Ended March 31, 2003 and 2002 (Unaudited)</w:t>
      </w:r>
      <w:r>
        <w:rPr>
          <w:sz w:val="20"/>
          <w:szCs w:val="20"/>
          <w:color w:val="auto"/>
        </w:rPr>
        <w:tab/>
      </w:r>
      <w:r>
        <w:rPr>
          <w:rFonts w:ascii="Courier New" w:cs="Courier New" w:eastAsia="Courier New" w:hAnsi="Courier New"/>
          <w:sz w:val="16"/>
          <w:szCs w:val="16"/>
          <w:color w:val="auto"/>
        </w:rPr>
        <w:t>4</w:t>
      </w:r>
    </w:p>
    <w:p>
      <w:pPr>
        <w:jc w:val="right"/>
        <w:ind w:right="300"/>
        <w:spacing w:after="0"/>
        <w:tabs>
          <w:tab w:leader="dot" w:pos="380" w:val="left"/>
        </w:tabs>
        <w:rPr>
          <w:sz w:val="20"/>
          <w:szCs w:val="20"/>
          <w:color w:val="auto"/>
        </w:rPr>
      </w:pPr>
      <w:r>
        <w:rPr>
          <w:rFonts w:ascii="Courier New" w:cs="Courier New" w:eastAsia="Courier New" w:hAnsi="Courier New"/>
          <w:sz w:val="17"/>
          <w:szCs w:val="17"/>
          <w:color w:val="auto"/>
        </w:rPr>
        <w:t>Notes to Condensed Consolidated Financial Statements (Unaudited)</w:t>
      </w:r>
      <w:r>
        <w:rPr>
          <w:sz w:val="20"/>
          <w:szCs w:val="20"/>
          <w:color w:val="auto"/>
        </w:rPr>
        <w:tab/>
      </w:r>
      <w:r>
        <w:rPr>
          <w:rFonts w:ascii="Courier New" w:cs="Courier New" w:eastAsia="Courier New" w:hAnsi="Courier New"/>
          <w:sz w:val="16"/>
          <w:szCs w:val="16"/>
          <w:color w:val="auto"/>
        </w:rPr>
        <w:t>5</w:t>
      </w:r>
    </w:p>
    <w:p>
      <w:pPr>
        <w:ind w:left="1100"/>
        <w:spacing w:after="0"/>
        <w:tabs>
          <w:tab w:leader="none" w:pos="21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w:t>
      </w:r>
    </w:p>
    <w:p>
      <w:pPr>
        <w:jc w:val="right"/>
        <w:ind w:right="300"/>
        <w:spacing w:after="0"/>
        <w:tabs>
          <w:tab w:leader="dot" w:pos="480" w:val="left"/>
        </w:tabs>
        <w:rPr>
          <w:sz w:val="20"/>
          <w:szCs w:val="20"/>
          <w:color w:val="auto"/>
        </w:rPr>
      </w:pPr>
      <w:r>
        <w:rPr>
          <w:rFonts w:ascii="Courier New" w:cs="Courier New" w:eastAsia="Courier New" w:hAnsi="Courier New"/>
          <w:sz w:val="17"/>
          <w:szCs w:val="17"/>
          <w:color w:val="auto"/>
        </w:rPr>
        <w:t>and Results of Operations</w:t>
      </w:r>
      <w:r>
        <w:rPr>
          <w:sz w:val="20"/>
          <w:szCs w:val="20"/>
          <w:color w:val="auto"/>
        </w:rPr>
        <w:tab/>
      </w:r>
      <w:r>
        <w:rPr>
          <w:rFonts w:ascii="Courier New" w:cs="Courier New" w:eastAsia="Courier New" w:hAnsi="Courier New"/>
          <w:sz w:val="16"/>
          <w:szCs w:val="16"/>
          <w:color w:val="auto"/>
        </w:rPr>
        <w:t>17</w:t>
      </w:r>
    </w:p>
    <w:p>
      <w:pPr>
        <w:jc w:val="right"/>
        <w:ind w:right="300"/>
        <w:spacing w:after="0"/>
        <w:tabs>
          <w:tab w:leader="none" w:pos="8100" w:val="left"/>
          <w:tab w:leader="dot" w:pos="4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Controls and Procedures</w:t>
      </w:r>
      <w:r>
        <w:rPr>
          <w:sz w:val="20"/>
          <w:szCs w:val="20"/>
          <w:color w:val="auto"/>
        </w:rPr>
        <w:tab/>
      </w:r>
      <w:r>
        <w:rPr>
          <w:rFonts w:ascii="Courier New" w:cs="Courier New" w:eastAsia="Courier New" w:hAnsi="Courier New"/>
          <w:sz w:val="16"/>
          <w:szCs w:val="16"/>
          <w:color w:val="auto"/>
        </w:rPr>
        <w:t>21</w:t>
      </w:r>
    </w:p>
    <w:p>
      <w:pPr>
        <w:spacing w:after="0"/>
        <w:tabs>
          <w:tab w:leader="none" w:pos="108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ectPr>
          <w:pgSz w:w="11900" w:h="16838" w:orient="portrait"/>
          <w:cols w:equalWidth="0" w:num="1">
            <w:col w:w="10320"/>
          </w:cols>
          <w:pgMar w:left="240" w:top="239" w:right="1339" w:bottom="0" w:gutter="0" w:footer="0" w:header="0"/>
          <w:type w:val="continuous"/>
        </w:sectPr>
      </w:pPr>
    </w:p>
    <w:bookmarkStart w:id="1" w:name="page2"/>
    <w:bookmarkEnd w:id="1"/>
    <w:tbl>
      <w:tblPr>
        <w:tblLayout w:type="fixed"/>
        <w:tblInd w:w="110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5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w:t>
            </w:r>
          </w:p>
        </w:tc>
        <w:tc>
          <w:tcPr>
            <w:tcW w:w="7720" w:type="dxa"/>
            <w:vAlign w:val="bottom"/>
          </w:tcPr>
          <w:p>
            <w:pPr>
              <w:jc w:val="right"/>
              <w:spacing w:after="0"/>
              <w:rPr>
                <w:sz w:val="20"/>
                <w:szCs w:val="20"/>
                <w:color w:val="auto"/>
              </w:rPr>
            </w:pPr>
            <w:r>
              <w:rPr>
                <w:rFonts w:ascii="Courier New" w:cs="Courier New" w:eastAsia="Courier New" w:hAnsi="Courier New"/>
                <w:sz w:val="17"/>
                <w:szCs w:val="17"/>
                <w:color w:val="auto"/>
                <w:w w:val="99"/>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21</w:t>
            </w:r>
          </w:p>
        </w:tc>
      </w:t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5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w:t>
            </w:r>
          </w:p>
        </w:tc>
        <w:tc>
          <w:tcPr>
            <w:tcW w:w="7720" w:type="dxa"/>
            <w:vAlign w:val="bottom"/>
          </w:tcPr>
          <w:p>
            <w:pPr>
              <w:jc w:val="right"/>
              <w:spacing w:after="0"/>
              <w:rPr>
                <w:sz w:val="20"/>
                <w:szCs w:val="20"/>
                <w:color w:val="auto"/>
              </w:rPr>
            </w:pPr>
            <w:r>
              <w:rPr>
                <w:rFonts w:ascii="Courier New" w:cs="Courier New" w:eastAsia="Courier New" w:hAnsi="Courier New"/>
                <w:sz w:val="17"/>
                <w:szCs w:val="17"/>
                <w:color w:val="auto"/>
                <w:w w:val="99"/>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193"/>
        </w:trPr>
        <w:tc>
          <w:tcPr>
            <w:tcW w:w="1000" w:type="dxa"/>
            <w:vAlign w:val="bottom"/>
            <w:gridSpan w:val="2"/>
          </w:tcPr>
          <w:p>
            <w:pPr>
              <w:spacing w:after="0"/>
              <w:rPr>
                <w:sz w:val="20"/>
                <w:szCs w:val="20"/>
                <w:color w:val="auto"/>
              </w:rPr>
            </w:pPr>
            <w:r>
              <w:rPr>
                <w:rFonts w:ascii="Courier New" w:cs="Courier New" w:eastAsia="Courier New" w:hAnsi="Courier New"/>
                <w:sz w:val="17"/>
                <w:szCs w:val="17"/>
                <w:color w:val="auto"/>
                <w:w w:val="96"/>
              </w:rPr>
              <w:t>SIGNATURES</w:t>
            </w:r>
          </w:p>
        </w:tc>
        <w:tc>
          <w:tcPr>
            <w:tcW w:w="7720" w:type="dxa"/>
            <w:vAlign w:val="bottom"/>
          </w:tcPr>
          <w:p>
            <w:pPr>
              <w:jc w:val="right"/>
              <w:spacing w:after="0"/>
              <w:rPr>
                <w:sz w:val="20"/>
                <w:szCs w:val="20"/>
                <w:color w:val="auto"/>
              </w:rPr>
            </w:pPr>
            <w:r>
              <w:rPr>
                <w:rFonts w:ascii="Courier New" w:cs="Courier New" w:eastAsia="Courier New" w:hAnsi="Courier New"/>
                <w:sz w:val="17"/>
                <w:szCs w:val="17"/>
                <w:color w:val="auto"/>
                <w:w w:val="98"/>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193"/>
        </w:trPr>
        <w:tc>
          <w:tcPr>
            <w:tcW w:w="8720" w:type="dxa"/>
            <w:vAlign w:val="bottom"/>
            <w:gridSpan w:val="3"/>
          </w:tcPr>
          <w:p>
            <w:pPr>
              <w:spacing w:after="0"/>
              <w:rPr>
                <w:sz w:val="20"/>
                <w:szCs w:val="20"/>
                <w:color w:val="auto"/>
              </w:rPr>
            </w:pPr>
            <w:r>
              <w:rPr>
                <w:rFonts w:ascii="Courier New" w:cs="Courier New" w:eastAsia="Courier New" w:hAnsi="Courier New"/>
                <w:sz w:val="17"/>
                <w:szCs w:val="17"/>
                <w:color w:val="auto"/>
                <w:w w:val="98"/>
              </w:rPr>
              <w:t>CERTIFICATIONS.........................................................................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193"/>
        </w:trPr>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tcPr>
          <w:p>
            <w:pPr>
              <w:jc w:val="right"/>
              <w:ind w:right="3916"/>
              <w:spacing w:after="0"/>
              <w:rPr>
                <w:sz w:val="20"/>
                <w:szCs w:val="20"/>
                <w:color w:val="auto"/>
              </w:rPr>
            </w:pPr>
            <w:r>
              <w:rPr>
                <w:rFonts w:ascii="Courier New" w:cs="Courier New" w:eastAsia="Courier New" w:hAnsi="Courier New"/>
                <w:sz w:val="17"/>
                <w:szCs w:val="17"/>
                <w:color w:val="auto"/>
              </w:rPr>
              <w:t>___________________________________</w:t>
            </w:r>
          </w:p>
        </w:tc>
        <w:tc>
          <w:tcPr>
            <w:tcW w:w="200" w:type="dxa"/>
            <w:vAlign w:val="bottom"/>
          </w:tcPr>
          <w:p>
            <w:pPr>
              <w:spacing w:after="0"/>
              <w:rPr>
                <w:sz w:val="16"/>
                <w:szCs w:val="16"/>
                <w:color w:val="auto"/>
              </w:rPr>
            </w:pPr>
          </w:p>
        </w:tc>
      </w:tr>
    </w:tbl>
    <w:p>
      <w:pPr>
        <w:spacing w:after="0" w:line="391"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This Quarterly Report on Form 10-Q is for the three months ended March 31, 2003. This Quarterly Report modifies and supersedes documents filed prior to this Quarterly Report. Information that we file with the SEC in the future will automatically update and supersede information contained in this Quarterly Report. In this Quarterly Report, "Comcast Holdings," "we," "us," "our" and the "Company" refer to Comcast Holdings Corporation and its subsidiaries, and "Comcast" refers to Comcast Corporation.</w:t>
      </w:r>
    </w:p>
    <w:p>
      <w:pPr>
        <w:spacing w:after="0" w:line="199"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Affecting Future Operations</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Factors that may cause our actual results to differ materially from any of our forward-looking statements presented in this Quarterly Report include, but are not limited to:</w:t>
      </w:r>
    </w:p>
    <w:p>
      <w:pPr>
        <w:spacing w:after="0" w:line="195" w:lineRule="exact"/>
        <w:rPr>
          <w:sz w:val="20"/>
          <w:szCs w:val="20"/>
          <w:color w:val="auto"/>
        </w:rPr>
      </w:pP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laws and regulations,</w:t>
      </w: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competitive environment,</w:t>
      </w: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technology,</w:t>
      </w: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industry consolidation and mergers,</w:t>
      </w: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franchise related matters,</w:t>
      </w:r>
    </w:p>
    <w:p>
      <w:pPr>
        <w:spacing w:after="0" w:line="5" w:lineRule="exact"/>
        <w:rPr>
          <w:rFonts w:ascii="Courier New" w:cs="Courier New" w:eastAsia="Courier New" w:hAnsi="Courier New"/>
          <w:sz w:val="17"/>
          <w:szCs w:val="17"/>
          <w:color w:val="auto"/>
        </w:rPr>
      </w:pPr>
    </w:p>
    <w:p>
      <w:pPr>
        <w:jc w:val="both"/>
        <w:ind w:left="500" w:right="2199" w:hanging="497"/>
        <w:spacing w:after="0" w:line="237"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conditions that may adversely affect the availability of debt and equity financing for working capital, capital expenditures or other purposes,</w:t>
      </w:r>
    </w:p>
    <w:p>
      <w:pPr>
        <w:spacing w:after="0" w:line="7" w:lineRule="exact"/>
        <w:rPr>
          <w:rFonts w:ascii="Courier New" w:cs="Courier New" w:eastAsia="Courier New" w:hAnsi="Courier New"/>
          <w:sz w:val="17"/>
          <w:szCs w:val="17"/>
          <w:color w:val="auto"/>
        </w:rPr>
      </w:pPr>
    </w:p>
    <w:p>
      <w:pPr>
        <w:ind w:left="500" w:right="2199" w:hanging="497"/>
        <w:spacing w:after="0" w:line="236"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ectPr>
          <w:pgSz w:w="11900" w:h="16838" w:orient="portrait"/>
          <w:cols w:equalWidth="0" w:num="1">
            <w:col w:w="10219"/>
          </w:cols>
          <w:pgMar w:left="240" w:top="329" w:right="1440" w:bottom="1440" w:gutter="0" w:footer="0" w:header="0"/>
        </w:sectPr>
      </w:pPr>
    </w:p>
    <w:bookmarkStart w:id="2" w:name="page3"/>
    <w:bookmarkEnd w:id="2"/>
    <w:p>
      <w:pPr>
        <w:jc w:val="center"/>
        <w:ind w:right="4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380"/>
        <w:spacing w:after="0"/>
        <w:rPr>
          <w:sz w:val="20"/>
          <w:szCs w:val="20"/>
          <w:color w:val="auto"/>
        </w:rPr>
      </w:pPr>
      <w:r>
        <w:rPr>
          <w:rFonts w:ascii="Courier New" w:cs="Courier New" w:eastAsia="Courier New" w:hAnsi="Courier New"/>
          <w:sz w:val="17"/>
          <w:szCs w:val="17"/>
          <w:color w:val="auto"/>
        </w:rPr>
        <w:t>FORM 10-Q</w:t>
      </w:r>
    </w:p>
    <w:p>
      <w:pPr>
        <w:jc w:val="center"/>
        <w:ind w:right="280"/>
        <w:spacing w:after="0"/>
        <w:rPr>
          <w:sz w:val="20"/>
          <w:szCs w:val="20"/>
          <w:color w:val="auto"/>
        </w:rPr>
      </w:pPr>
      <w:r>
        <w:rPr>
          <w:rFonts w:ascii="Courier New" w:cs="Courier New" w:eastAsia="Courier New" w:hAnsi="Courier New"/>
          <w:sz w:val="17"/>
          <w:szCs w:val="17"/>
          <w:color w:val="auto"/>
        </w:rPr>
        <w:t>QUARTER ENDED MARCH 31, 2003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FINANCIAL STATEMENTS</w:t>
      </w:r>
    </w:p>
    <w:p>
      <w:pPr>
        <w:spacing w:after="0" w:line="193"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7"/>
          <w:szCs w:val="17"/>
          <w:color w:val="auto"/>
        </w:rPr>
        <w:t>CONDENSED CONSOLIDATED BALANCE SHEET</w:t>
      </w:r>
    </w:p>
    <w:p>
      <w:pPr>
        <w:jc w:val="center"/>
        <w:ind w:right="38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(Dollars in millions, except share data)</w:t>
      </w:r>
    </w:p>
    <w:tbl>
      <w:tblPr>
        <w:tblLayout w:type="fixed"/>
        <w:tblInd w:w="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March 31,</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2003</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0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80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Cash and cash equivalents..................................................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$1,151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$676</w:t>
            </w: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Investments................................................................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320</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525</w:t>
            </w: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Accounts receivable, less allowance for doubtful accounts of $157 and $160</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961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1,015</w:t>
            </w: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Inventories, net...........................................................</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482</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479</w:t>
            </w: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Deferred income taxes......................................................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129</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129</w:t>
            </w: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Other current assets.......................................................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163</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153</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Total current assets...................................................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3,206</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2,977</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NOTES RECEIVABLE FROM AFFILIATE...............................................</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191</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INVESTMENTS...................................................................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625</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627</w:t>
            </w:r>
          </w:p>
        </w:tc>
      </w:tr>
      <w:tr>
        <w:trPr>
          <w:trHeight w:val="193"/>
        </w:trPr>
        <w:tc>
          <w:tcPr>
            <w:tcW w:w="8080" w:type="dxa"/>
            <w:vAlign w:val="bottom"/>
          </w:tcPr>
          <w:p>
            <w:pPr>
              <w:spacing w:after="0"/>
              <w:rPr>
                <w:sz w:val="20"/>
                <w:szCs w:val="20"/>
                <w:color w:val="auto"/>
              </w:rPr>
            </w:pPr>
            <w:r>
              <w:rPr>
                <w:rFonts w:ascii="Courier New" w:cs="Courier New" w:eastAsia="Courier New" w:hAnsi="Courier New"/>
                <w:sz w:val="17"/>
                <w:szCs w:val="17"/>
                <w:color w:val="auto"/>
              </w:rPr>
              <w:t>PROPERTY AND EQUIPMENT, net of accumulated depreciation of $3,872 and  $3,604</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6,939</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6,916</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FRANCHISE RIGHTS..............................................................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16,617</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16,611</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GOODWILL......................................................................</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6,446</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6,446</w:t>
            </w:r>
          </w:p>
        </w:tc>
      </w:tr>
      <w:tr>
        <w:trPr>
          <w:trHeight w:val="193"/>
        </w:trPr>
        <w:tc>
          <w:tcPr>
            <w:tcW w:w="8080" w:type="dxa"/>
            <w:vAlign w:val="bottom"/>
          </w:tcPr>
          <w:p>
            <w:pPr>
              <w:spacing w:after="0"/>
              <w:rPr>
                <w:sz w:val="20"/>
                <w:szCs w:val="20"/>
                <w:color w:val="auto"/>
              </w:rPr>
            </w:pPr>
            <w:r>
              <w:rPr>
                <w:rFonts w:ascii="Courier New" w:cs="Courier New" w:eastAsia="Courier New" w:hAnsi="Courier New"/>
                <w:sz w:val="17"/>
                <w:szCs w:val="17"/>
                <w:color w:val="auto"/>
              </w:rPr>
              <w:t>OTHER INTANGIBLE ASSETS, net of accumulated amortization of $1,035 and $975</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1,456</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1,481</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OTHER NONCURRENT ASSETS, net..................................................</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452</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440</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$36,092</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$35,689</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Accounts payable...........................................................</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$884</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$792</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Accrued expenses and other current liabilities.............................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1,874</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Due to affiliates..........................................................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491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Deferred income taxes......................................................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Current portion of long-term debt..........................................</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Total current liabilities..............................................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3,417</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2,811</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LONG-TERM DEBT, less current portion..........................................</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8,451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9,257</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NOTES PAYABLE TO AFFILIATES...................................................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451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DEFERRED INCOME TAXES.........................................................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6,894</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6,836</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OTHER NONCURRENT LIABILITIES..................................................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1,224</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1,265</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MINORITY INTEREST.............................................................</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1,184</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1,133</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 (NOTE 8)</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Preferred stock - authorized 20,000,000 shares; issued, zero ..............</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Class A common stock, $1.00 par value - authorized,</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200,000,000 shares; issued, 21,591,115 ..................................</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w:t>
            </w: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Class A special common stock, $1.00 par value - authorized,</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2,500,000,000 shares; issued 916,198,519.................................</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916</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916</w:t>
            </w:r>
          </w:p>
        </w:tc>
      </w:tr>
      <w:tr>
        <w:trPr>
          <w:trHeight w:val="193"/>
        </w:trPr>
        <w:tc>
          <w:tcPr>
            <w:tcW w:w="8080" w:type="dxa"/>
            <w:vAlign w:val="bottom"/>
          </w:tcPr>
          <w:p>
            <w:pPr>
              <w:ind w:left="300"/>
              <w:spacing w:after="0"/>
              <w:rPr>
                <w:sz w:val="20"/>
                <w:szCs w:val="20"/>
                <w:color w:val="auto"/>
              </w:rPr>
            </w:pPr>
            <w:r>
              <w:rPr>
                <w:rFonts w:ascii="Courier New" w:cs="Courier New" w:eastAsia="Courier New" w:hAnsi="Courier New"/>
                <w:sz w:val="17"/>
                <w:szCs w:val="17"/>
                <w:color w:val="auto"/>
              </w:rPr>
              <w:t>Class B common stock, $1.00 par value - authorized, 50,000,000 shares;</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issued, 9,444,375 .......................................................</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Additional capital.........................................................</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11,818</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11,818</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Retained earnings..........................................................</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1,710</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1,595</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Accumulated other comprehensive income (loss)..............................</w:t>
            </w:r>
          </w:p>
        </w:tc>
        <w:tc>
          <w:tcPr>
            <w:tcW w:w="15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Total stockholders' equity.............................................</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14,471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14,365</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$36,092</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$35,689</w:t>
            </w:r>
          </w:p>
        </w:tc>
      </w:tr>
      <w:tr>
        <w:trPr>
          <w:trHeight w:val="193"/>
        </w:trPr>
        <w:tc>
          <w:tcPr>
            <w:tcW w:w="808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p>
      <w:pPr>
        <w:sectPr>
          <w:pgSz w:w="11900" w:h="16838" w:orient="portrait"/>
          <w:cols w:equalWidth="0" w:num="1">
            <w:col w:w="11520"/>
          </w:cols>
          <w:pgMar w:left="240" w:top="1074" w:right="139" w:bottom="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4" w:name="page5"/>
    <w:bookmarkEnd w:id="4"/>
    <w:p>
      <w:pPr>
        <w:jc w:val="center"/>
        <w:ind w:right="2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0"/>
        <w:spacing w:after="0"/>
        <w:rPr>
          <w:sz w:val="20"/>
          <w:szCs w:val="20"/>
          <w:color w:val="auto"/>
        </w:rPr>
      </w:pPr>
      <w:r>
        <w:rPr>
          <w:rFonts w:ascii="Courier New" w:cs="Courier New" w:eastAsia="Courier New" w:hAnsi="Courier New"/>
          <w:sz w:val="17"/>
          <w:szCs w:val="17"/>
          <w:color w:val="auto"/>
        </w:rPr>
        <w:t>FORM 10-Q</w:t>
      </w:r>
    </w:p>
    <w:p>
      <w:pPr>
        <w:jc w:val="center"/>
        <w:ind w:right="100"/>
        <w:spacing w:after="0"/>
        <w:rPr>
          <w:sz w:val="20"/>
          <w:szCs w:val="20"/>
          <w:color w:val="auto"/>
        </w:rPr>
      </w:pPr>
      <w:r>
        <w:rPr>
          <w:rFonts w:ascii="Courier New" w:cs="Courier New" w:eastAsia="Courier New" w:hAnsi="Courier New"/>
          <w:sz w:val="17"/>
          <w:szCs w:val="17"/>
          <w:color w:val="auto"/>
        </w:rPr>
        <w:t>QUARTER ENDED MARCH 31, 2003</w:t>
      </w:r>
    </w:p>
    <w:p>
      <w:pPr>
        <w:jc w:val="center"/>
        <w:ind w:right="100"/>
        <w:spacing w:after="0"/>
        <w:rPr>
          <w:sz w:val="20"/>
          <w:szCs w:val="20"/>
          <w:color w:val="auto"/>
        </w:rPr>
      </w:pPr>
      <w:r>
        <w:rPr>
          <w:rFonts w:ascii="Courier New" w:cs="Courier New" w:eastAsia="Courier New" w:hAnsi="Courier New"/>
          <w:sz w:val="17"/>
          <w:szCs w:val="17"/>
          <w:color w:val="auto"/>
        </w:rPr>
        <w:t>CONDENSED CONSOLIDATED STATEMENT OF OPERATIONS</w:t>
      </w:r>
    </w:p>
    <w:tbl>
      <w:tblPr>
        <w:tblLayout w:type="fixed"/>
        <w:tblInd w:w="0" w:type="dxa"/>
        <w:tblCellMar>
          <w:top w:w="0" w:type="dxa"/>
          <w:left w:w="0" w:type="dxa"/>
          <w:bottom w:w="0" w:type="dxa"/>
          <w:right w:w="0" w:type="dxa"/>
        </w:tblCellMar>
      </w:tblPr>
      <w:tr>
        <w:trPr>
          <w:trHeight w:val="193"/>
        </w:trPr>
        <w:tc>
          <w:tcPr>
            <w:tcW w:w="8020" w:type="dxa"/>
            <w:vAlign w:val="bottom"/>
          </w:tcPr>
          <w:p>
            <w:pPr>
              <w:jc w:val="right"/>
              <w:ind w:right="1916"/>
              <w:spacing w:after="0"/>
              <w:rPr>
                <w:sz w:val="20"/>
                <w:szCs w:val="20"/>
                <w:color w:val="auto"/>
              </w:rPr>
            </w:pPr>
            <w:r>
              <w:rPr>
                <w:rFonts w:ascii="Courier New" w:cs="Courier New" w:eastAsia="Courier New" w:hAnsi="Courier New"/>
                <w:sz w:val="17"/>
                <w:szCs w:val="17"/>
                <w:color w:val="auto"/>
              </w:rPr>
              <w:t>(Unaudited)</w:t>
            </w: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771"/>
        </w:trPr>
        <w:tc>
          <w:tcPr>
            <w:tcW w:w="8020" w:type="dxa"/>
            <w:vAlign w:val="bottom"/>
          </w:tcPr>
          <w:p>
            <w:pPr>
              <w:spacing w:after="0"/>
              <w:rPr>
                <w:sz w:val="24"/>
                <w:szCs w:val="24"/>
                <w:color w:val="auto"/>
              </w:rPr>
            </w:pPr>
          </w:p>
        </w:tc>
        <w:tc>
          <w:tcPr>
            <w:tcW w:w="310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(Dollars in millions)</w:t>
            </w:r>
          </w:p>
        </w:tc>
      </w:tr>
      <w:tr>
        <w:trPr>
          <w:trHeight w:val="193"/>
        </w:trPr>
        <w:tc>
          <w:tcPr>
            <w:tcW w:w="8020" w:type="dxa"/>
            <w:vAlign w:val="bottom"/>
          </w:tcPr>
          <w:p>
            <w:pPr>
              <w:spacing w:after="0"/>
              <w:rPr>
                <w:sz w:val="16"/>
                <w:szCs w:val="16"/>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March 31,</w:t>
            </w:r>
          </w:p>
        </w:tc>
      </w:tr>
      <w:tr>
        <w:trPr>
          <w:trHeight w:val="193"/>
        </w:trPr>
        <w:tc>
          <w:tcPr>
            <w:tcW w:w="8020" w:type="dxa"/>
            <w:vAlign w:val="bottom"/>
          </w:tcPr>
          <w:p>
            <w:pPr>
              <w:spacing w:after="0"/>
              <w:rPr>
                <w:sz w:val="16"/>
                <w:szCs w:val="16"/>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7"/>
                <w:szCs w:val="17"/>
                <w:color w:val="auto"/>
              </w:rPr>
              <w:t>2003</w:t>
            </w:r>
          </w:p>
        </w:tc>
        <w:tc>
          <w:tcPr>
            <w:tcW w:w="14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385"/>
        </w:trPr>
        <w:tc>
          <w:tcPr>
            <w:tcW w:w="80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Service revenues.........................................................</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$1,875</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$1,679</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sales from electronic retailing......................................</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1,062</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988</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2,937</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2,667</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Operating (excluding depreciation).......................................</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844</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743</w:t>
            </w:r>
          </w:p>
        </w:tc>
      </w:tr>
      <w:tr>
        <w:trPr>
          <w:trHeight w:val="193"/>
        </w:trPr>
        <w:tc>
          <w:tcPr>
            <w:tcW w:w="80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Cost of goods sold from electronic retailing (excluding depreciation)</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673</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629</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Selling, general and administrative......................................</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528</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487</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Depreciation.............................................................</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323</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334</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Amortization.............................................................</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57</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2,425</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2,246</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OPERATING INCOME.............................................................</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512</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421</w:t>
            </w:r>
          </w:p>
        </w:tc>
      </w:tr>
      <w:tr>
        <w:trPr>
          <w:trHeight w:val="193"/>
        </w:trPr>
        <w:tc>
          <w:tcPr>
            <w:tcW w:w="80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Interest expense.........................................................</w:t>
            </w: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(172)</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(187)</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Investment loss, net.....................................................</w:t>
            </w: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(35)</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(248)</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Equity in net losses of affiliates.......................................</w:t>
            </w: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 expense............................................................</w:t>
            </w: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(221)</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(463)</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385"/>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INCOME (LOSS) BEFORE INCOME TAXES AND MINORITY INTEREST......................</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291</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INCOME TAX EXPENSE...........................................................</w:t>
            </w: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(121)</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INCOME (LOSS) BEFORE MINORITY INTEREST ......................................</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170</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MINORITY INTEREST............................................................</w:t>
            </w: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(55)</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NET INCOME (LOSS)............................................................</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$115</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w:t>
            </w:r>
          </w:p>
        </w:tc>
      </w:tr>
      <w:tr>
        <w:trPr>
          <w:trHeight w:val="193"/>
        </w:trPr>
        <w:tc>
          <w:tcPr>
            <w:tcW w:w="802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p>
      <w:pPr>
        <w:spacing w:after="0" w:line="19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120"/>
          </w:cols>
          <w:pgMar w:left="240" w:top="1074" w:right="539" w:bottom="1440" w:gutter="0" w:footer="0" w:header="0"/>
        </w:sectPr>
      </w:pPr>
    </w:p>
    <w:bookmarkStart w:id="5" w:name="page6"/>
    <w:bookmarkEnd w:id="5"/>
    <w:p>
      <w:pPr>
        <w:jc w:val="center"/>
        <w:ind w:right="-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99"/>
        <w:spacing w:after="0"/>
        <w:rPr>
          <w:sz w:val="20"/>
          <w:szCs w:val="20"/>
          <w:color w:val="auto"/>
        </w:rPr>
      </w:pPr>
      <w:r>
        <w:rPr>
          <w:rFonts w:ascii="Courier New" w:cs="Courier New" w:eastAsia="Courier New" w:hAnsi="Courier New"/>
          <w:sz w:val="17"/>
          <w:szCs w:val="17"/>
          <w:color w:val="auto"/>
        </w:rPr>
        <w:t>FORM 10-Q</w:t>
      </w:r>
    </w:p>
    <w:p>
      <w:pPr>
        <w:jc w:val="center"/>
        <w:ind w:right="-1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199"/>
        <w:spacing w:after="0"/>
        <w:rPr>
          <w:sz w:val="20"/>
          <w:szCs w:val="20"/>
          <w:color w:val="auto"/>
        </w:rPr>
      </w:pPr>
      <w:r>
        <w:rPr>
          <w:rFonts w:ascii="Courier New" w:cs="Courier New" w:eastAsia="Courier New" w:hAnsi="Courier New"/>
          <w:sz w:val="17"/>
          <w:szCs w:val="17"/>
          <w:color w:val="auto"/>
        </w:rPr>
        <w:t>CONDENSED CONSOLIDATED STATEMENT OF CASH FLOWS</w:t>
      </w:r>
    </w:p>
    <w:p>
      <w:pPr>
        <w:jc w:val="center"/>
        <w:ind w:right="-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(Dollars</w:t>
            </w:r>
          </w:p>
        </w:tc>
        <w:tc>
          <w:tcPr>
            <w:tcW w:w="1700" w:type="dxa"/>
            <w:vAlign w:val="bottom"/>
          </w:tcPr>
          <w:p>
            <w:pPr>
              <w:spacing w:after="0"/>
              <w:rPr>
                <w:sz w:val="20"/>
                <w:szCs w:val="20"/>
                <w:color w:val="auto"/>
              </w:rPr>
            </w:pPr>
            <w:r>
              <w:rPr>
                <w:rFonts w:ascii="Courier New" w:cs="Courier New" w:eastAsia="Courier New" w:hAnsi="Courier New"/>
                <w:sz w:val="17"/>
                <w:szCs w:val="17"/>
                <w:color w:val="auto"/>
              </w:rPr>
              <w:t>in millions)</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Three Months</w:t>
            </w:r>
          </w:p>
        </w:tc>
        <w:tc>
          <w:tcPr>
            <w:tcW w:w="1700" w:type="dxa"/>
            <w:vAlign w:val="bottom"/>
          </w:tcPr>
          <w:p>
            <w:pPr>
              <w:spacing w:after="0"/>
              <w:rPr>
                <w:sz w:val="20"/>
                <w:szCs w:val="20"/>
                <w:color w:val="auto"/>
              </w:rPr>
            </w:pPr>
            <w:r>
              <w:rPr>
                <w:rFonts w:ascii="Courier New" w:cs="Courier New" w:eastAsia="Courier New" w:hAnsi="Courier New"/>
                <w:sz w:val="17"/>
                <w:szCs w:val="17"/>
                <w:color w:val="auto"/>
              </w:rPr>
              <w:t>Ended March 31,</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2003</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5236"/>
              <w:spacing w:after="0"/>
              <w:rPr>
                <w:sz w:val="20"/>
                <w:szCs w:val="20"/>
                <w:color w:val="auto"/>
              </w:rPr>
            </w:pPr>
            <w:r>
              <w:rPr>
                <w:rFonts w:ascii="Courier New" w:cs="Courier New" w:eastAsia="Courier New" w:hAnsi="Courier New"/>
                <w:sz w:val="17"/>
                <w:szCs w:val="17"/>
                <w:color w:val="auto"/>
                <w:w w:val="97"/>
              </w:rPr>
              <w:t>OPERATING ACTIVITIES</w:t>
            </w: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r>
        <w:trPr>
          <w:trHeight w:val="193"/>
        </w:trPr>
        <w:tc>
          <w:tcPr>
            <w:tcW w:w="7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Adjustments to reconcile net income (loss) to net cash provided</w:t>
            </w: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7320" w:type="dxa"/>
            <w:vAlign w:val="bottom"/>
          </w:tcPr>
          <w:p>
            <w:pPr>
              <w:ind w:left="500"/>
              <w:spacing w:after="0"/>
              <w:rPr>
                <w:sz w:val="20"/>
                <w:szCs w:val="20"/>
                <w:color w:val="auto"/>
              </w:rPr>
            </w:pPr>
            <w:r>
              <w:rPr>
                <w:rFonts w:ascii="Courier New" w:cs="Courier New" w:eastAsia="Courier New" w:hAnsi="Courier New"/>
                <w:sz w:val="17"/>
                <w:szCs w:val="17"/>
                <w:color w:val="auto"/>
              </w:rPr>
              <w:t>by operating activities:</w:t>
            </w: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323</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334</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Amortization.......................................................</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Non-cash interest expense, net.....................................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Equity in net losses of affiliates.................................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r>
      <w:tr>
        <w:trPr>
          <w:trHeight w:val="193"/>
        </w:trPr>
        <w:tc>
          <w:tcPr>
            <w:tcW w:w="7320" w:type="dxa"/>
            <w:vAlign w:val="bottom"/>
          </w:tcPr>
          <w:p>
            <w:pPr>
              <w:ind w:left="500"/>
              <w:spacing w:after="0"/>
              <w:rPr>
                <w:sz w:val="20"/>
                <w:szCs w:val="20"/>
                <w:color w:val="auto"/>
              </w:rPr>
            </w:pPr>
            <w:r>
              <w:rPr>
                <w:rFonts w:ascii="Courier New" w:cs="Courier New" w:eastAsia="Courier New" w:hAnsi="Courier New"/>
                <w:sz w:val="17"/>
                <w:szCs w:val="17"/>
                <w:color w:val="auto"/>
              </w:rPr>
              <w:t>Losses (gains) on investments and other (income) expense, net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277</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Minority interest..................................................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Proceeds from sales of trading securities..........................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w:t>
            </w:r>
          </w:p>
        </w:tc>
        <w:tc>
          <w:tcPr>
            <w:tcW w:w="1700" w:type="dxa"/>
            <w:vAlign w:val="bottom"/>
          </w:tcPr>
          <w:p>
            <w:pPr>
              <w:spacing w:after="0"/>
              <w:rPr>
                <w:sz w:val="16"/>
                <w:szCs w:val="16"/>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652</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616</w:t>
            </w:r>
          </w:p>
        </w:tc>
      </w:tr>
      <w:tr>
        <w:trPr>
          <w:trHeight w:val="193"/>
        </w:trPr>
        <w:tc>
          <w:tcPr>
            <w:tcW w:w="7320" w:type="dxa"/>
            <w:vAlign w:val="bottom"/>
          </w:tcPr>
          <w:p>
            <w:pPr>
              <w:ind w:left="500"/>
              <w:spacing w:after="0"/>
              <w:rPr>
                <w:sz w:val="20"/>
                <w:szCs w:val="20"/>
                <w:color w:val="auto"/>
              </w:rPr>
            </w:pPr>
            <w:r>
              <w:rPr>
                <w:rFonts w:ascii="Courier New" w:cs="Courier New" w:eastAsia="Courier New" w:hAnsi="Courier New"/>
                <w:sz w:val="17"/>
                <w:szCs w:val="17"/>
                <w:color w:val="auto"/>
              </w:rPr>
              <w:t>Changes in working capital, net of effects of acquisitions and</w:t>
            </w: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7320" w:type="dxa"/>
            <w:vAlign w:val="bottom"/>
          </w:tcPr>
          <w:p>
            <w:pPr>
              <w:jc w:val="right"/>
              <w:ind w:right="5436"/>
              <w:spacing w:after="0"/>
              <w:rPr>
                <w:sz w:val="20"/>
                <w:szCs w:val="20"/>
                <w:color w:val="auto"/>
              </w:rPr>
            </w:pPr>
            <w:r>
              <w:rPr>
                <w:rFonts w:ascii="Courier New" w:cs="Courier New" w:eastAsia="Courier New" w:hAnsi="Courier New"/>
                <w:sz w:val="17"/>
                <w:szCs w:val="17"/>
                <w:color w:val="auto"/>
              </w:rPr>
              <w:t>divestitures</w:t>
            </w: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Decrease (increase) in accounts receivable, net..................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(Increase) decrease in inventories, net..........................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Increase in other current assets.................................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r>
      <w:tr>
        <w:trPr>
          <w:trHeight w:val="193"/>
        </w:trPr>
        <w:tc>
          <w:tcPr>
            <w:tcW w:w="7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Increase (decrease) in accounts payable, accrued expenses and</w:t>
            </w: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current liabilities......................................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192</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233</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r>
        <w:trPr>
          <w:trHeight w:val="385"/>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885</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519</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5236"/>
              <w:spacing w:after="0"/>
              <w:rPr>
                <w:sz w:val="20"/>
                <w:szCs w:val="20"/>
                <w:color w:val="auto"/>
              </w:rPr>
            </w:pPr>
            <w:r>
              <w:rPr>
                <w:rFonts w:ascii="Courier New" w:cs="Courier New" w:eastAsia="Courier New" w:hAnsi="Courier New"/>
                <w:sz w:val="17"/>
                <w:szCs w:val="17"/>
                <w:color w:val="auto"/>
                <w:w w:val="97"/>
              </w:rPr>
              <w:t>FINANCING ACTIVITIES</w:t>
            </w: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Proceeds from borrowings.............................................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520</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Retirements and repayments of debt...................................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(1,016)</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(451)</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transactions with affiliates.....................................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415</w:t>
            </w:r>
          </w:p>
        </w:tc>
        <w:tc>
          <w:tcPr>
            <w:tcW w:w="1700" w:type="dxa"/>
            <w:vAlign w:val="bottom"/>
          </w:tcPr>
          <w:p>
            <w:pPr>
              <w:spacing w:after="0"/>
              <w:rPr>
                <w:sz w:val="16"/>
                <w:szCs w:val="16"/>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Proceeds from notes payable to affiliates............................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429</w:t>
            </w:r>
          </w:p>
        </w:tc>
        <w:tc>
          <w:tcPr>
            <w:tcW w:w="1700" w:type="dxa"/>
            <w:vAlign w:val="bottom"/>
          </w:tcPr>
          <w:p>
            <w:pPr>
              <w:spacing w:after="0"/>
              <w:rPr>
                <w:sz w:val="16"/>
                <w:szCs w:val="16"/>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400" w:type="dxa"/>
            <w:vAlign w:val="bottom"/>
          </w:tcPr>
          <w:p>
            <w:pPr>
              <w:spacing w:after="0"/>
              <w:rPr>
                <w:sz w:val="16"/>
                <w:szCs w:val="16"/>
                <w:color w:val="auto"/>
              </w:rPr>
            </w:pP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cash provided by financing activities........................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5236"/>
              <w:spacing w:after="0"/>
              <w:rPr>
                <w:sz w:val="20"/>
                <w:szCs w:val="20"/>
                <w:color w:val="auto"/>
              </w:rPr>
            </w:pPr>
            <w:r>
              <w:rPr>
                <w:rFonts w:ascii="Courier New" w:cs="Courier New" w:eastAsia="Courier New" w:hAnsi="Courier New"/>
                <w:sz w:val="17"/>
                <w:szCs w:val="17"/>
                <w:color w:val="auto"/>
                <w:w w:val="97"/>
              </w:rPr>
              <w:t>INVESTING ACTIVITIES</w:t>
            </w: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Acquisitions, net of cash acquired...................................</w:t>
            </w:r>
          </w:p>
        </w:tc>
        <w:tc>
          <w:tcPr>
            <w:tcW w:w="14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3"/>
        </w:trPr>
        <w:tc>
          <w:tcPr>
            <w:tcW w:w="7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Proceeds from sales of (purchases of) short-term investments, net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Proceeds from sales of investments...................................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Increase in notes receivable from affiliate..........................</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(160)</w:t>
            </w:r>
          </w:p>
        </w:tc>
        <w:tc>
          <w:tcPr>
            <w:tcW w:w="1700" w:type="dxa"/>
            <w:vAlign w:val="bottom"/>
          </w:tcPr>
          <w:p>
            <w:pPr>
              <w:spacing w:after="0"/>
              <w:rPr>
                <w:sz w:val="16"/>
                <w:szCs w:val="16"/>
                <w:color w:val="auto"/>
              </w:rPr>
            </w:pP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Purchases of investments.............................................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 expenditures.................................................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(354)</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(399)</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Additions to intangible and other noncurrent assets..................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cash used in investing activities............................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(448)</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(457)</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INCREASE IN CASH AND CASH EQUIVALENTS...................................</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475</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w:t>
            </w:r>
          </w:p>
        </w:tc>
      </w:tr>
      <w:tr>
        <w:trPr>
          <w:trHeight w:val="385"/>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 AND CASH EQUIVALENTS, beginning of period..........................</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676</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350</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 AND CASH EQUIVALENTS, end of period................................</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$1,151</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$543</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p>
      <w:pPr>
        <w:spacing w:after="0" w:line="193"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420"/>
          </w:cols>
          <w:pgMar w:left="240" w:top="1074" w:right="1239" w:bottom="0" w:gutter="0" w:footer="0" w:header="0"/>
        </w:sectPr>
      </w:pPr>
    </w:p>
    <w:bookmarkStart w:id="6" w:name="page7"/>
    <w:bookmarkEnd w:id="6"/>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hanging="497"/>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CONSOLIDATED FINANCIAL STATEMENTS</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5" w:lineRule="exact"/>
        <w:rPr>
          <w:rFonts w:ascii="Courier New" w:cs="Courier New" w:eastAsia="Courier New" w:hAnsi="Courier New"/>
          <w:sz w:val="17"/>
          <w:szCs w:val="17"/>
          <w:color w:val="auto"/>
        </w:rPr>
      </w:pPr>
    </w:p>
    <w:p>
      <w:pPr>
        <w:jc w:val="both"/>
        <w:ind w:left="500" w:right="219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Comcast Holdings Corporation ("Comcast Holdings") and its subsidiaries (the "Company") has prepared these unaudited condensed consolidated financial statements based upon Securities and Exchange Commission ("SEC") rules that permit reduced disclosure for interim periods. The Company is an indirect wholly owned subsidiary of Comcast Corporation ("Comcast").</w:t>
      </w:r>
    </w:p>
    <w:p>
      <w:pPr>
        <w:spacing w:after="0" w:line="185" w:lineRule="exact"/>
        <w:rPr>
          <w:rFonts w:ascii="Courier New" w:cs="Courier New" w:eastAsia="Courier New" w:hAnsi="Courier New"/>
          <w:sz w:val="17"/>
          <w:szCs w:val="17"/>
          <w:color w:val="auto"/>
        </w:rPr>
      </w:pPr>
    </w:p>
    <w:p>
      <w:pPr>
        <w:jc w:val="both"/>
        <w:ind w:left="500" w:right="219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5" w:lineRule="exact"/>
        <w:rPr>
          <w:rFonts w:ascii="Courier New" w:cs="Courier New" w:eastAsia="Courier New" w:hAnsi="Courier New"/>
          <w:sz w:val="17"/>
          <w:szCs w:val="17"/>
          <w:color w:val="auto"/>
        </w:rPr>
      </w:pPr>
    </w:p>
    <w:p>
      <w:pPr>
        <w:jc w:val="both"/>
        <w:ind w:left="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a more complete discussion of the Company's accounting policies and certain other information, refer to the financial statements included in the Company's Annual Report on Form 10-K for the year ended December 31, 2002.</w:t>
      </w:r>
    </w:p>
    <w:p>
      <w:pPr>
        <w:spacing w:after="0" w:line="194"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Reclassifications</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Certain reclassifications have been made to the prior year financial statements to conform to those classifications used in 2003. In the first quarter of 2003, QVC, Inc. ("QVC") completed the sale of its infomercial operations in Mexico ("QVC Mexico"). The results of operations for QVC Mexico for the 2003 and 2002 interim periods were not significant and are included in equity in net losses of affiliates in the Company's consolidated statement of operations.</w:t>
      </w:r>
    </w:p>
    <w:p>
      <w:pPr>
        <w:spacing w:after="0" w:line="193"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ACCOUNTING PRONOUNCEMENTS</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143</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Accounting Standards Board ("FASB") issued Statement of Financial Accounting Standards ("SFAS") No. 143, "Accounting for Asset Retirement Obligations," in June 2001. SFAS No. 143 addresses financial accounting and reporting for obligations associated with the retirement of tangible long-lived assets and the associated asset retirement costs. The Company adopted SFAS No. 143 on January 1, 2003, in accordance with the new statement. The adoption of SFAS No. 143 had no impact on the Company's financial condition or results of operations.</w:t>
      </w:r>
    </w:p>
    <w:p>
      <w:pPr>
        <w:spacing w:after="0" w:line="194"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148</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Comcast elects to change to the fair value method specified in SFAS No. 123. The adoption of SFAS No. 148 requires the Company to disclose the effects of its stock-based employee compensation in interim financial statements beginning with the first quarter of 2003 (see Note 6).</w:t>
      </w:r>
    </w:p>
    <w:p>
      <w:pPr>
        <w:spacing w:after="0" w:line="20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149</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30, 2003, the FASB issued SFAS No. 149, "Amendment of Statement 133 on Derivative Instruments and Hedging Activities" ("SFAS No. 149").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The Company will adopt SFAS No. 149 on a</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9" w:right="1440" w:bottom="745" w:gutter="0" w:footer="0" w:header="0"/>
        </w:sectPr>
      </w:pPr>
    </w:p>
    <w:bookmarkStart w:id="7" w:name="page8"/>
    <w:bookmarkEnd w:id="7"/>
    <w:p>
      <w:pPr>
        <w:jc w:val="center"/>
        <w:ind w:right="27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700"/>
        <w:spacing w:after="0"/>
        <w:rPr>
          <w:sz w:val="20"/>
          <w:szCs w:val="20"/>
          <w:color w:val="auto"/>
        </w:rPr>
      </w:pPr>
      <w:r>
        <w:rPr>
          <w:rFonts w:ascii="Courier New" w:cs="Courier New" w:eastAsia="Courier New" w:hAnsi="Courier New"/>
          <w:sz w:val="17"/>
          <w:szCs w:val="17"/>
          <w:color w:val="auto"/>
        </w:rPr>
        <w:t>FORM 10-Q</w:t>
      </w:r>
    </w:p>
    <w:p>
      <w:pPr>
        <w:jc w:val="center"/>
        <w:ind w:right="2800"/>
        <w:spacing w:after="0"/>
        <w:rPr>
          <w:sz w:val="20"/>
          <w:szCs w:val="20"/>
          <w:color w:val="auto"/>
        </w:rPr>
      </w:pPr>
      <w:r>
        <w:rPr>
          <w:rFonts w:ascii="Courier New" w:cs="Courier New" w:eastAsia="Courier New" w:hAnsi="Courier New"/>
          <w:sz w:val="17"/>
          <w:szCs w:val="17"/>
          <w:color w:val="auto"/>
        </w:rPr>
        <w:t>QUARTER ENDED MARCH 31, 2003</w:t>
      </w:r>
    </w:p>
    <w:p>
      <w:pPr>
        <w:jc w:val="center"/>
        <w:ind w:right="280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700"/>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left="500" w:right="2800"/>
        <w:spacing w:after="0" w:line="237" w:lineRule="auto"/>
        <w:rPr>
          <w:sz w:val="20"/>
          <w:szCs w:val="20"/>
          <w:color w:val="auto"/>
        </w:rPr>
      </w:pPr>
      <w:r>
        <w:rPr>
          <w:rFonts w:ascii="Courier New" w:cs="Courier New" w:eastAsia="Courier New" w:hAnsi="Courier New"/>
          <w:sz w:val="17"/>
          <w:szCs w:val="17"/>
          <w:color w:val="auto"/>
        </w:rPr>
        <w:t>prospective basis at its effective date in the fiscal third quarter. The Company is assessing the impact SFAS No. 149 may have on its financial statements.</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FIN 45</w:t>
      </w:r>
    </w:p>
    <w:p>
      <w:pPr>
        <w:spacing w:after="0" w:line="6" w:lineRule="exact"/>
        <w:rPr>
          <w:sz w:val="20"/>
          <w:szCs w:val="20"/>
          <w:color w:val="auto"/>
        </w:rPr>
      </w:pPr>
    </w:p>
    <w:p>
      <w:pPr>
        <w:jc w:val="both"/>
        <w:ind w:left="500" w:right="2800"/>
        <w:spacing w:after="0" w:line="255" w:lineRule="auto"/>
        <w:rPr>
          <w:sz w:val="20"/>
          <w:szCs w:val="20"/>
          <w:color w:val="auto"/>
        </w:rPr>
      </w:pPr>
      <w:r>
        <w:rPr>
          <w:rFonts w:ascii="Courier New" w:cs="Courier New" w:eastAsia="Courier New" w:hAnsi="Courier New"/>
          <w:sz w:val="16"/>
          <w:szCs w:val="16"/>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w:t>
      </w:r>
    </w:p>
    <w:p>
      <w:pPr>
        <w:spacing w:after="0" w:line="1" w:lineRule="exact"/>
        <w:rPr>
          <w:sz w:val="20"/>
          <w:szCs w:val="20"/>
          <w:color w:val="auto"/>
        </w:rPr>
      </w:pPr>
    </w:p>
    <w:p>
      <w:pPr>
        <w:jc w:val="both"/>
        <w:ind w:left="500" w:right="2800" w:firstLine="4"/>
        <w:spacing w:after="0" w:line="255" w:lineRule="auto"/>
        <w:tabs>
          <w:tab w:leader="none" w:pos="90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w:t>
      </w:r>
    </w:p>
    <w:p>
      <w:pPr>
        <w:spacing w:after="0" w:line="1" w:lineRule="exact"/>
        <w:rPr>
          <w:rFonts w:ascii="Courier New" w:cs="Courier New" w:eastAsia="Courier New" w:hAnsi="Courier New"/>
          <w:sz w:val="16"/>
          <w:szCs w:val="16"/>
          <w:color w:val="auto"/>
        </w:rPr>
      </w:pPr>
    </w:p>
    <w:p>
      <w:pPr>
        <w:jc w:val="both"/>
        <w:ind w:left="500" w:right="2800" w:firstLine="4"/>
        <w:spacing w:after="0" w:line="255" w:lineRule="auto"/>
        <w:tabs>
          <w:tab w:leader="none" w:pos="80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impact of the adoption of FIN 45 will depend on the nature and terms of guarantees entered into or modified by the Company in the future. The adoption of FIN 45 in the first quarter of 2003 did not have a material impact on the Company's consolidated financial statements (see Note 8).</w:t>
      </w:r>
    </w:p>
    <w:p>
      <w:pPr>
        <w:spacing w:after="0" w:line="189" w:lineRule="exact"/>
        <w:rPr>
          <w:rFonts w:ascii="Courier New" w:cs="Courier New" w:eastAsia="Courier New" w:hAnsi="Courier New"/>
          <w:sz w:val="16"/>
          <w:szCs w:val="16"/>
          <w:color w:val="auto"/>
        </w:rPr>
      </w:pPr>
    </w:p>
    <w:p>
      <w:pPr>
        <w:ind w:left="500" w:hanging="497"/>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w:t>
      </w:r>
    </w:p>
    <w:p>
      <w:pPr>
        <w:spacing w:after="0" w:line="200" w:lineRule="exact"/>
        <w:rPr>
          <w:sz w:val="20"/>
          <w:szCs w:val="20"/>
          <w:color w:val="auto"/>
        </w:rPr>
      </w:pPr>
    </w:p>
    <w:p>
      <w:pPr>
        <w:spacing w:after="0" w:line="378"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March 31,</w:t>
            </w:r>
          </w:p>
        </w:tc>
        <w:tc>
          <w:tcPr>
            <w:tcW w:w="1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6860" w:type="dxa"/>
            <w:vAlign w:val="bottom"/>
          </w:tcPr>
          <w:p>
            <w:pPr>
              <w:spacing w:after="0"/>
              <w:rPr>
                <w:sz w:val="16"/>
                <w:szCs w:val="16"/>
                <w:color w:val="auto"/>
              </w:rPr>
            </w:pPr>
          </w:p>
        </w:tc>
        <w:tc>
          <w:tcPr>
            <w:tcW w:w="17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2003</w:t>
            </w:r>
          </w:p>
        </w:tc>
        <w:tc>
          <w:tcPr>
            <w:tcW w:w="17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68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3460" w:type="dxa"/>
            <w:vAlign w:val="bottom"/>
            <w:gridSpan w:val="2"/>
          </w:tcPr>
          <w:p>
            <w:pPr>
              <w:jc w:val="right"/>
              <w:ind w:right="916"/>
              <w:spacing w:after="0"/>
              <w:rPr>
                <w:sz w:val="20"/>
                <w:szCs w:val="20"/>
                <w:color w:val="auto"/>
              </w:rPr>
            </w:pPr>
            <w:r>
              <w:rPr>
                <w:rFonts w:ascii="Courier New" w:cs="Courier New" w:eastAsia="Courier New" w:hAnsi="Courier New"/>
                <w:sz w:val="17"/>
                <w:szCs w:val="17"/>
                <w:color w:val="auto"/>
              </w:rPr>
              <w:t>(in millions)</w:t>
            </w:r>
          </w:p>
        </w:tc>
      </w:tr>
      <w:tr>
        <w:trPr>
          <w:trHeight w:val="385"/>
        </w:trPr>
        <w:tc>
          <w:tcPr>
            <w:tcW w:w="6860" w:type="dxa"/>
            <w:vAlign w:val="bottom"/>
          </w:tcPr>
          <w:p>
            <w:pPr>
              <w:jc w:val="right"/>
              <w:ind w:right="5076"/>
              <w:spacing w:after="0"/>
              <w:rPr>
                <w:sz w:val="20"/>
                <w:szCs w:val="20"/>
                <w:color w:val="auto"/>
              </w:rPr>
            </w:pPr>
            <w:r>
              <w:rPr>
                <w:rFonts w:ascii="Courier New" w:cs="Courier New" w:eastAsia="Courier New" w:hAnsi="Courier New"/>
                <w:sz w:val="17"/>
                <w:szCs w:val="17"/>
                <w:color w:val="auto"/>
                <w:w w:val="96"/>
              </w:rPr>
              <w:t>Fair value method</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3"/>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AT&amp;T Corp....................................................</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$110</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$287</w:t>
            </w:r>
          </w:p>
        </w:tc>
      </w:tr>
      <w:tr>
        <w:trPr>
          <w:trHeight w:val="193"/>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Sprint Corp. PCS Group.......................................</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334</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369</w:t>
            </w:r>
          </w:p>
        </w:tc>
      </w:tr>
      <w:tr>
        <w:trPr>
          <w:trHeight w:val="193"/>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Other .......................................................</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72</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3"/>
        </w:trPr>
        <w:tc>
          <w:tcPr>
            <w:tcW w:w="68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516</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730</w:t>
            </w:r>
          </w:p>
        </w:tc>
      </w:tr>
      <w:tr>
        <w:trPr>
          <w:trHeight w:val="385"/>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Equity method.....................................................</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314</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317</w:t>
            </w:r>
          </w:p>
        </w:tc>
      </w:tr>
      <w:tr>
        <w:trPr>
          <w:trHeight w:val="193"/>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Cost method.......................................................</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115</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r>
      <w:tr>
        <w:trPr>
          <w:trHeight w:val="193"/>
        </w:trPr>
        <w:tc>
          <w:tcPr>
            <w:tcW w:w="68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Total investments............................................</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945</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1,152</w:t>
            </w:r>
          </w:p>
        </w:tc>
      </w:tr>
      <w:tr>
        <w:trPr>
          <w:trHeight w:val="193"/>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Less, current investments.........................................</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320</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525</w:t>
            </w:r>
          </w:p>
        </w:tc>
      </w:tr>
      <w:tr>
        <w:trPr>
          <w:trHeight w:val="193"/>
        </w:trPr>
        <w:tc>
          <w:tcPr>
            <w:tcW w:w="68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Non-current investments...........................................</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$625</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$627</w:t>
            </w:r>
          </w:p>
        </w:tc>
      </w:tr>
      <w:tr>
        <w:trPr>
          <w:trHeight w:val="193"/>
        </w:trPr>
        <w:tc>
          <w:tcPr>
            <w:tcW w:w="68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Fair Value Method</w:t>
      </w:r>
    </w:p>
    <w:p>
      <w:pPr>
        <w:spacing w:after="0" w:line="6" w:lineRule="exact"/>
        <w:rPr>
          <w:sz w:val="20"/>
          <w:szCs w:val="20"/>
          <w:color w:val="auto"/>
        </w:rPr>
      </w:pPr>
    </w:p>
    <w:p>
      <w:pPr>
        <w:jc w:val="both"/>
        <w:ind w:left="500" w:right="2800"/>
        <w:spacing w:after="0" w:line="239" w:lineRule="auto"/>
        <w:rPr>
          <w:sz w:val="20"/>
          <w:szCs w:val="20"/>
          <w:color w:val="auto"/>
        </w:rPr>
      </w:pPr>
      <w:r>
        <w:rPr>
          <w:rFonts w:ascii="Courier New" w:cs="Courier New" w:eastAsia="Courier New" w:hAnsi="Courier New"/>
          <w:sz w:val="17"/>
          <w:szCs w:val="17"/>
          <w:color w:val="auto"/>
        </w:rPr>
        <w:t>The Company holds unrestricted equity investments in certain publicly traded companies, which it accounts for as available for sale or trading securities. The net unrealized pre-tax gains on investments accounted for as available for sale securities as of March 31, 2003 and December 31, 2002 of $46 million and $70 million, respectively, have been reported in the Company's consolidated balance sheet principally as a component of accumulated other comprehensive income (loss), net of related deferred income taxes of $16 million and $25 million, respectively.</w:t>
      </w: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820"/>
          </w:cols>
          <w:pgMar w:left="240" w:top="881" w:right="839" w:bottom="552" w:gutter="0" w:footer="0" w:header="0"/>
        </w:sectPr>
      </w:pPr>
    </w:p>
    <w:bookmarkStart w:id="8" w:name="page9"/>
    <w:bookmarkEnd w:id="8"/>
    <w:p>
      <w:pPr>
        <w:spacing w:after="0" w:line="59"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3100"/>
        <w:spacing w:after="0"/>
        <w:rPr>
          <w:sz w:val="20"/>
          <w:szCs w:val="20"/>
          <w:color w:val="auto"/>
        </w:rPr>
      </w:pPr>
      <w:r>
        <w:rPr>
          <w:rFonts w:ascii="Courier New" w:cs="Courier New" w:eastAsia="Courier New" w:hAnsi="Courier New"/>
          <w:sz w:val="17"/>
          <w:szCs w:val="17"/>
          <w:color w:val="auto"/>
        </w:rPr>
        <w:t>FORM 10-Q</w:t>
      </w:r>
    </w:p>
    <w:p>
      <w:pPr>
        <w:jc w:val="center"/>
        <w:ind w:right="3200"/>
        <w:spacing w:after="0"/>
        <w:rPr>
          <w:sz w:val="20"/>
          <w:szCs w:val="20"/>
          <w:color w:val="auto"/>
        </w:rPr>
      </w:pPr>
      <w:r>
        <w:rPr>
          <w:rFonts w:ascii="Courier New" w:cs="Courier New" w:eastAsia="Courier New" w:hAnsi="Courier New"/>
          <w:sz w:val="17"/>
          <w:szCs w:val="17"/>
          <w:color w:val="auto"/>
        </w:rPr>
        <w:t>QUARTER ENDED MARCH 31, 2003</w:t>
      </w:r>
    </w:p>
    <w:p>
      <w:pPr>
        <w:jc w:val="center"/>
        <w:ind w:right="320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3100"/>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spacing w:after="0"/>
        <w:tabs>
          <w:tab w:leader="none" w:pos="3700" w:val="left"/>
          <w:tab w:leader="none" w:pos="4900" w:val="left"/>
        </w:tabs>
        <w:rPr>
          <w:sz w:val="20"/>
          <w:szCs w:val="20"/>
          <w:color w:val="auto"/>
        </w:rPr>
      </w:pPr>
      <w:r>
        <w:rPr>
          <w:rFonts w:ascii="Courier New" w:cs="Courier New" w:eastAsia="Courier New" w:hAnsi="Courier New"/>
          <w:sz w:val="17"/>
          <w:szCs w:val="17"/>
          <w:color w:val="auto"/>
        </w:rPr>
        <w:t>The cost, fair value and gross</w:t>
        <w:tab/>
        <w:t>unrealized</w:t>
      </w:r>
      <w:r>
        <w:rPr>
          <w:sz w:val="20"/>
          <w:szCs w:val="20"/>
          <w:color w:val="auto"/>
        </w:rPr>
        <w:tab/>
      </w:r>
      <w:r>
        <w:rPr>
          <w:rFonts w:ascii="Courier New" w:cs="Courier New" w:eastAsia="Courier New" w:hAnsi="Courier New"/>
          <w:sz w:val="16"/>
          <w:szCs w:val="16"/>
          <w:color w:val="auto"/>
        </w:rPr>
        <w:t>gains and losses related to the</w:t>
      </w:r>
    </w:p>
    <w:p>
      <w:pPr>
        <w:ind w:left="500"/>
        <w:spacing w:after="0"/>
        <w:rPr>
          <w:sz w:val="20"/>
          <w:szCs w:val="20"/>
          <w:color w:val="auto"/>
        </w:rPr>
      </w:pPr>
      <w:r>
        <w:rPr>
          <w:rFonts w:ascii="Courier New" w:cs="Courier New" w:eastAsia="Courier New" w:hAnsi="Courier New"/>
          <w:sz w:val="17"/>
          <w:szCs w:val="17"/>
          <w:color w:val="auto"/>
        </w:rPr>
        <w:t>Company's available for sale securities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820" w:type="dxa"/>
            <w:vAlign w:val="bottom"/>
          </w:tcPr>
          <w:p>
            <w:pPr>
              <w:spacing w:after="0"/>
              <w:rPr>
                <w:sz w:val="16"/>
                <w:szCs w:val="16"/>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March 31,</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6820" w:type="dxa"/>
            <w:vAlign w:val="bottom"/>
          </w:tcPr>
          <w:p>
            <w:pPr>
              <w:spacing w:after="0"/>
              <w:rPr>
                <w:sz w:val="16"/>
                <w:szCs w:val="16"/>
                <w:color w:val="auto"/>
              </w:rPr>
            </w:pPr>
          </w:p>
        </w:tc>
        <w:tc>
          <w:tcPr>
            <w:tcW w:w="18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2003</w:t>
            </w:r>
          </w:p>
        </w:tc>
        <w:tc>
          <w:tcPr>
            <w:tcW w:w="17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6820" w:type="dxa"/>
            <w:vAlign w:val="bottom"/>
          </w:tcPr>
          <w:p>
            <w:pPr>
              <w:spacing w:after="0"/>
              <w:rPr>
                <w:sz w:val="16"/>
                <w:szCs w:val="16"/>
                <w:color w:val="auto"/>
              </w:rPr>
            </w:pP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820" w:type="dxa"/>
            <w:vAlign w:val="bottom"/>
          </w:tcPr>
          <w:p>
            <w:pPr>
              <w:spacing w:after="0"/>
              <w:rPr>
                <w:sz w:val="20"/>
                <w:szCs w:val="20"/>
                <w:color w:val="auto"/>
              </w:rPr>
            </w:pPr>
            <w:r>
              <w:rPr>
                <w:rFonts w:ascii="Courier New" w:cs="Courier New" w:eastAsia="Courier New" w:hAnsi="Courier New"/>
                <w:sz w:val="17"/>
                <w:szCs w:val="17"/>
                <w:color w:val="auto"/>
              </w:rPr>
              <w:t>Cost.............................................................</w:t>
            </w: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$121</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$269</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Gross unrealized gains...........................................</w:t>
            </w: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46</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Gross unrealized losses..........................................</w:t>
            </w:r>
          </w:p>
        </w:tc>
        <w:tc>
          <w:tcPr>
            <w:tcW w:w="18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3"/>
        </w:trPr>
        <w:tc>
          <w:tcPr>
            <w:tcW w:w="6820" w:type="dxa"/>
            <w:vAlign w:val="bottom"/>
          </w:tcPr>
          <w:p>
            <w:pPr>
              <w:spacing w:after="0"/>
              <w:rPr>
                <w:sz w:val="16"/>
                <w:szCs w:val="16"/>
                <w:color w:val="auto"/>
              </w:rPr>
            </w:pP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820" w:type="dxa"/>
            <w:vAlign w:val="bottom"/>
          </w:tcPr>
          <w:p>
            <w:pPr>
              <w:spacing w:after="0"/>
              <w:rPr>
                <w:sz w:val="20"/>
                <w:szCs w:val="20"/>
                <w:color w:val="auto"/>
              </w:rPr>
            </w:pPr>
            <w:r>
              <w:rPr>
                <w:rFonts w:ascii="Courier New" w:cs="Courier New" w:eastAsia="Courier New" w:hAnsi="Courier New"/>
                <w:sz w:val="17"/>
                <w:szCs w:val="17"/>
                <w:color w:val="auto"/>
              </w:rPr>
              <w:t>Fair value.......................................................</w:t>
            </w: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$167</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$339</w:t>
            </w:r>
          </w:p>
        </w:tc>
      </w:tr>
      <w:tr>
        <w:trPr>
          <w:trHeight w:val="193"/>
        </w:trPr>
        <w:tc>
          <w:tcPr>
            <w:tcW w:w="6820" w:type="dxa"/>
            <w:vAlign w:val="bottom"/>
          </w:tcPr>
          <w:p>
            <w:pPr>
              <w:spacing w:after="0"/>
              <w:rPr>
                <w:sz w:val="16"/>
                <w:szCs w:val="16"/>
                <w:color w:val="auto"/>
              </w:rPr>
            </w:pP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 Loss, Net</w:t>
      </w:r>
    </w:p>
    <w:p>
      <w:pPr>
        <w:spacing w:after="0" w:line="6" w:lineRule="exact"/>
        <w:rPr>
          <w:sz w:val="20"/>
          <w:szCs w:val="20"/>
          <w:color w:val="auto"/>
        </w:rPr>
      </w:pPr>
    </w:p>
    <w:p>
      <w:pPr>
        <w:ind w:right="3200" w:firstLine="501"/>
        <w:spacing w:after="0" w:line="236" w:lineRule="auto"/>
        <w:rPr>
          <w:sz w:val="20"/>
          <w:szCs w:val="20"/>
          <w:color w:val="auto"/>
        </w:rPr>
      </w:pPr>
      <w:r>
        <w:rPr>
          <w:rFonts w:ascii="Courier New" w:cs="Courier New" w:eastAsia="Courier New" w:hAnsi="Courier New"/>
          <w:sz w:val="17"/>
          <w:szCs w:val="17"/>
          <w:color w:val="auto"/>
        </w:rPr>
        <w:t>Investment loss, net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7020" w:type="dxa"/>
            <w:vAlign w:val="bottom"/>
          </w:tcPr>
          <w:p>
            <w:pPr>
              <w:spacing w:after="0"/>
              <w:rPr>
                <w:sz w:val="16"/>
                <w:szCs w:val="16"/>
                <w:color w:val="auto"/>
              </w:rPr>
            </w:pPr>
          </w:p>
        </w:tc>
        <w:tc>
          <w:tcPr>
            <w:tcW w:w="33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702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March 31,</w:t>
            </w:r>
          </w:p>
        </w:tc>
        <w:tc>
          <w:tcPr>
            <w:tcW w:w="1200" w:type="dxa"/>
            <w:vAlign w:val="bottom"/>
          </w:tcPr>
          <w:p>
            <w:pPr>
              <w:spacing w:after="0"/>
              <w:rPr>
                <w:sz w:val="16"/>
                <w:szCs w:val="16"/>
                <w:color w:val="auto"/>
              </w:rPr>
            </w:pPr>
          </w:p>
        </w:tc>
      </w:tr>
      <w:tr>
        <w:trPr>
          <w:trHeight w:val="193"/>
        </w:trPr>
        <w:tc>
          <w:tcPr>
            <w:tcW w:w="7020" w:type="dxa"/>
            <w:vAlign w:val="bottom"/>
          </w:tcPr>
          <w:p>
            <w:pPr>
              <w:spacing w:after="0"/>
              <w:rPr>
                <w:sz w:val="16"/>
                <w:szCs w:val="16"/>
                <w:color w:val="auto"/>
              </w:rPr>
            </w:pPr>
          </w:p>
        </w:tc>
        <w:tc>
          <w:tcPr>
            <w:tcW w:w="21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2003</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7020" w:type="dxa"/>
            <w:vAlign w:val="bottom"/>
          </w:tcPr>
          <w:p>
            <w:pPr>
              <w:spacing w:after="0"/>
              <w:rPr>
                <w:sz w:val="16"/>
                <w:szCs w:val="16"/>
                <w:color w:val="auto"/>
              </w:rPr>
            </w:pPr>
          </w:p>
        </w:tc>
        <w:tc>
          <w:tcPr>
            <w:tcW w:w="21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7020" w:type="dxa"/>
            <w:vAlign w:val="bottom"/>
          </w:tcPr>
          <w:p>
            <w:pPr>
              <w:spacing w:after="0"/>
              <w:rPr>
                <w:sz w:val="20"/>
                <w:szCs w:val="20"/>
                <w:color w:val="auto"/>
              </w:rPr>
            </w:pPr>
            <w:r>
              <w:rPr>
                <w:rFonts w:ascii="Courier New" w:cs="Courier New" w:eastAsia="Courier New" w:hAnsi="Courier New"/>
                <w:sz w:val="17"/>
                <w:szCs w:val="17"/>
                <w:color w:val="auto"/>
                <w:w w:val="99"/>
              </w:rPr>
              <w:t>Interest and dividend income.........................................</w:t>
            </w:r>
          </w:p>
        </w:tc>
        <w:tc>
          <w:tcPr>
            <w:tcW w:w="21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Gains on sales and exchanges of investments, net</w:t>
            </w:r>
          </w:p>
        </w:tc>
        <w:tc>
          <w:tcPr>
            <w:tcW w:w="21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w w:val="99"/>
              </w:rPr>
              <w:t>Investment impairment losses.........................................</w:t>
            </w:r>
          </w:p>
        </w:tc>
        <w:tc>
          <w:tcPr>
            <w:tcW w:w="21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(55)</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w w:val="99"/>
              </w:rPr>
              <w:t>Unrealized losses on trading securities..............................</w:t>
            </w:r>
          </w:p>
        </w:tc>
        <w:tc>
          <w:tcPr>
            <w:tcW w:w="21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(1,020)</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Mark to market adjustments on derivatives related</w:t>
            </w:r>
          </w:p>
        </w:tc>
        <w:tc>
          <w:tcPr>
            <w:tcW w:w="2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7020" w:type="dxa"/>
            <w:vAlign w:val="bottom"/>
          </w:tcPr>
          <w:p>
            <w:pPr>
              <w:ind w:left="500"/>
              <w:spacing w:after="0"/>
              <w:rPr>
                <w:sz w:val="20"/>
                <w:szCs w:val="20"/>
                <w:color w:val="auto"/>
              </w:rPr>
            </w:pPr>
            <w:r>
              <w:rPr>
                <w:rFonts w:ascii="Courier New" w:cs="Courier New" w:eastAsia="Courier New" w:hAnsi="Courier New"/>
                <w:sz w:val="17"/>
                <w:szCs w:val="17"/>
                <w:color w:val="auto"/>
                <w:w w:val="99"/>
              </w:rPr>
              <w:t>to trading securities...........................................</w:t>
            </w:r>
          </w:p>
        </w:tc>
        <w:tc>
          <w:tcPr>
            <w:tcW w:w="21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3</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847</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Mark to market adjustments on derivatives and hedged items</w:t>
            </w:r>
          </w:p>
        </w:tc>
        <w:tc>
          <w:tcPr>
            <w:tcW w:w="21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(8)</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r>
      <w:tr>
        <w:trPr>
          <w:trHeight w:val="193"/>
        </w:trPr>
        <w:tc>
          <w:tcPr>
            <w:tcW w:w="7020" w:type="dxa"/>
            <w:vAlign w:val="bottom"/>
          </w:tcPr>
          <w:p>
            <w:pPr>
              <w:spacing w:after="0"/>
              <w:rPr>
                <w:sz w:val="16"/>
                <w:szCs w:val="16"/>
                <w:color w:val="auto"/>
              </w:rPr>
            </w:pPr>
          </w:p>
        </w:tc>
        <w:tc>
          <w:tcPr>
            <w:tcW w:w="21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7020" w:type="dxa"/>
            <w:vAlign w:val="bottom"/>
          </w:tcPr>
          <w:p>
            <w:pPr>
              <w:ind w:left="500"/>
              <w:spacing w:after="0"/>
              <w:rPr>
                <w:sz w:val="20"/>
                <w:szCs w:val="20"/>
                <w:color w:val="auto"/>
              </w:rPr>
            </w:pPr>
            <w:r>
              <w:rPr>
                <w:rFonts w:ascii="Courier New" w:cs="Courier New" w:eastAsia="Courier New" w:hAnsi="Courier New"/>
                <w:sz w:val="17"/>
                <w:szCs w:val="17"/>
                <w:color w:val="auto"/>
                <w:w w:val="99"/>
              </w:rPr>
              <w:t>Investment loss, net............................................</w:t>
            </w:r>
          </w:p>
        </w:tc>
        <w:tc>
          <w:tcPr>
            <w:tcW w:w="21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($35)</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($248)</w:t>
            </w:r>
          </w:p>
        </w:tc>
      </w:tr>
      <w:tr>
        <w:trPr>
          <w:trHeight w:val="193"/>
        </w:trPr>
        <w:tc>
          <w:tcPr>
            <w:tcW w:w="7020" w:type="dxa"/>
            <w:vAlign w:val="bottom"/>
          </w:tcPr>
          <w:p>
            <w:pPr>
              <w:spacing w:after="0"/>
              <w:rPr>
                <w:sz w:val="16"/>
                <w:szCs w:val="16"/>
                <w:color w:val="auto"/>
              </w:rPr>
            </w:pPr>
          </w:p>
        </w:tc>
        <w:tc>
          <w:tcPr>
            <w:tcW w:w="21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bl>
    <w:p>
      <w:pPr>
        <w:spacing w:after="0" w:line="386" w:lineRule="exact"/>
        <w:rPr>
          <w:sz w:val="20"/>
          <w:szCs w:val="20"/>
          <w:color w:val="auto"/>
        </w:rPr>
      </w:pPr>
    </w:p>
    <w:p>
      <w:pPr>
        <w:ind w:left="500" w:hanging="497"/>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GOODWILL</w:t>
      </w:r>
    </w:p>
    <w:p>
      <w:pPr>
        <w:spacing w:after="0" w:line="198" w:lineRule="exact"/>
        <w:rPr>
          <w:rFonts w:ascii="Courier New" w:cs="Courier New" w:eastAsia="Courier New" w:hAnsi="Courier New"/>
          <w:sz w:val="17"/>
          <w:szCs w:val="17"/>
          <w:color w:val="auto"/>
        </w:rPr>
      </w:pPr>
    </w:p>
    <w:p>
      <w:pPr>
        <w:ind w:left="500" w:right="3200"/>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changes in the carrying amount of goodwill by business segment (see Note 9)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Corporate</w:t>
            </w:r>
          </w:p>
        </w:tc>
        <w:tc>
          <w:tcPr>
            <w:tcW w:w="1300" w:type="dxa"/>
            <w:vAlign w:val="bottom"/>
          </w:tcPr>
          <w:p>
            <w:pPr>
              <w:spacing w:after="0"/>
              <w:rPr>
                <w:sz w:val="16"/>
                <w:szCs w:val="16"/>
                <w:color w:val="auto"/>
              </w:rPr>
            </w:pPr>
          </w:p>
        </w:tc>
      </w:tr>
      <w:tr>
        <w:trPr>
          <w:trHeight w:val="193"/>
        </w:trPr>
        <w:tc>
          <w:tcPr>
            <w:tcW w:w="4860" w:type="dxa"/>
            <w:vAlign w:val="bottom"/>
          </w:tcPr>
          <w:p>
            <w:pPr>
              <w:spacing w:after="0"/>
              <w:rPr>
                <w:sz w:val="16"/>
                <w:szCs w:val="16"/>
                <w:color w:val="auto"/>
              </w:rPr>
            </w:pPr>
          </w:p>
        </w:tc>
        <w:tc>
          <w:tcPr>
            <w:tcW w:w="14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Cable</w:t>
            </w:r>
          </w:p>
        </w:tc>
        <w:tc>
          <w:tcPr>
            <w:tcW w:w="1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Commerce</w:t>
            </w:r>
          </w:p>
        </w:tc>
        <w:tc>
          <w:tcPr>
            <w:tcW w:w="15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and Other</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86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w w:val="98"/>
              </w:rPr>
              <w:t>Balance, December 31, 2002......................</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$4,693</w:t>
            </w:r>
          </w:p>
        </w:tc>
        <w:tc>
          <w:tcPr>
            <w:tcW w:w="1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$835</w:t>
            </w:r>
          </w:p>
        </w:tc>
        <w:tc>
          <w:tcPr>
            <w:tcW w:w="1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$918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$6,446</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Intersegment transfers......................</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c>
          <w:tcPr>
            <w:tcW w:w="1560" w:type="dxa"/>
            <w:vAlign w:val="bottom"/>
          </w:tcPr>
          <w:p>
            <w:pPr>
              <w:spacing w:after="0"/>
              <w:rPr>
                <w:sz w:val="16"/>
                <w:szCs w:val="16"/>
                <w:color w:val="auto"/>
              </w:rPr>
            </w:pPr>
          </w:p>
        </w:tc>
        <w:tc>
          <w:tcPr>
            <w:tcW w:w="1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w:t>
            </w:r>
          </w:p>
        </w:tc>
        <w:tc>
          <w:tcPr>
            <w:tcW w:w="1300" w:type="dxa"/>
            <w:vAlign w:val="bottom"/>
          </w:tcPr>
          <w:p>
            <w:pPr>
              <w:spacing w:after="0"/>
              <w:rPr>
                <w:sz w:val="16"/>
                <w:szCs w:val="16"/>
                <w:color w:val="auto"/>
              </w:rPr>
            </w:pPr>
          </w:p>
        </w:tc>
      </w:tr>
      <w:tr>
        <w:trPr>
          <w:trHeight w:val="193"/>
        </w:trPr>
        <w:tc>
          <w:tcPr>
            <w:tcW w:w="486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w w:val="98"/>
              </w:rPr>
              <w:t>Balance, March 31, 2003.........................</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$4,713</w:t>
            </w:r>
          </w:p>
        </w:tc>
        <w:tc>
          <w:tcPr>
            <w:tcW w:w="1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$835</w:t>
            </w:r>
          </w:p>
        </w:tc>
        <w:tc>
          <w:tcPr>
            <w:tcW w:w="1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$6,446</w:t>
            </w:r>
          </w:p>
        </w:tc>
      </w:tr>
      <w:tr>
        <w:trPr>
          <w:trHeight w:val="193"/>
        </w:trPr>
        <w:tc>
          <w:tcPr>
            <w:tcW w:w="486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500" w:hanging="497"/>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Cross-Guarantee Structure</w:t>
      </w:r>
    </w:p>
    <w:p>
      <w:pPr>
        <w:spacing w:after="0" w:line="5" w:lineRule="exact"/>
        <w:rPr>
          <w:rFonts w:ascii="Courier New" w:cs="Courier New" w:eastAsia="Courier New" w:hAnsi="Courier New"/>
          <w:sz w:val="17"/>
          <w:szCs w:val="17"/>
          <w:color w:val="auto"/>
        </w:rPr>
      </w:pPr>
    </w:p>
    <w:p>
      <w:pPr>
        <w:jc w:val="both"/>
        <w:ind w:left="500" w:right="3200"/>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To simplify Comcast's capital structure, effective with its acquisition of AT&amp;T Corp.'s broadband business ("Broadband") on November 18, 2002, Comcast and four of its cable holding company subsidiaries, including the Company's wholly owned subsidiary Comcast Cable Communications, Inc. ("Comcast Cable"), fully and unconditionally guaranteed each other's debt securities (the "Cross-Guarantee Structure"). Comcast Holdings is not a guarantor, and none of its debt is guaranteed. Comcast MO of Delaware, Inc. (formerly, MediaOne of Delaware, Inc. and Continental Cablevision, Inc.) was not originally a part of the Cross-Guarantee Structure. On March 12, 2003, Comcast announced the successful completion of a bondholder consent</w:t>
      </w:r>
    </w:p>
    <w:p>
      <w:pPr>
        <w:sectPr>
          <w:pgSz w:w="11900" w:h="16897" w:orient="portrait"/>
          <w:cols w:equalWidth="0" w:num="1">
            <w:col w:w="11220"/>
          </w:cols>
          <w:pgMar w:left="240" w:top="881" w:right="43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solicitation related to</w:t>
      </w:r>
    </w:p>
    <w:p>
      <w:pPr>
        <w:spacing w:after="0" w:line="193"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719"/>
          </w:cols>
          <w:pgMar w:left="740" w:top="136" w:right="1440" w:bottom="1440" w:gutter="0" w:footer="0" w:header="0"/>
        </w:sectPr>
      </w:pPr>
    </w:p>
    <w:bookmarkStart w:id="10" w:name="page11"/>
    <w:bookmarkEnd w:id="10"/>
    <w:p>
      <w:pPr>
        <w:jc w:val="center"/>
        <w:ind w:right="25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599"/>
        <w:spacing w:after="0"/>
        <w:rPr>
          <w:sz w:val="20"/>
          <w:szCs w:val="20"/>
          <w:color w:val="auto"/>
        </w:rPr>
      </w:pPr>
      <w:r>
        <w:rPr>
          <w:rFonts w:ascii="Courier New" w:cs="Courier New" w:eastAsia="Courier New" w:hAnsi="Courier New"/>
          <w:sz w:val="17"/>
          <w:szCs w:val="17"/>
          <w:color w:val="auto"/>
        </w:rPr>
        <w:t>FORM 10-Q</w:t>
      </w:r>
    </w:p>
    <w:p>
      <w:pPr>
        <w:jc w:val="center"/>
        <w:ind w:right="26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6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599"/>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Comcast MO of Delaware, Inc.'s $1.7 billion aggregate principal amount in debt securities to permit it to become part of the Cross-Guarantee Structure. As of March 31, 2003, $24.432 billion of Comcast's debt securities were entitled to the benefits of the Cross-Guarantee Structure, including $7.093 billion of Comcast Cable's debt securities.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Repayments and Redemptions of Debt</w:t>
      </w:r>
    </w:p>
    <w:p>
      <w:pPr>
        <w:spacing w:after="0" w:line="6" w:lineRule="exact"/>
        <w:rPr>
          <w:sz w:val="20"/>
          <w:szCs w:val="20"/>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On March 31, 2003, in connection with the closing of the restructuring of Time Warner Entertainment Company L.P., an investment accounted for under the cost method by Comcast, Comcast received $2.1 billion in cash which was used to repay debt, including $800 million of amounts outstanding under Comcast Cable's revolving credit facility.</w:t>
      </w:r>
    </w:p>
    <w:p>
      <w:pPr>
        <w:spacing w:after="0" w:line="202" w:lineRule="exact"/>
        <w:rPr>
          <w:sz w:val="20"/>
          <w:szCs w:val="20"/>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On May 9, 2003, the Company redeemed, at its scheduled redemption price, the outstanding principal amount of its 8 1/4% senior subordinated notes due 2008. The Company refinanced the redemption with amounts available under the Company's existing credit facilities. As of March 31, 2003, $150 million of these notes were outstanding.</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ZONES</w:t>
      </w:r>
    </w:p>
    <w:p>
      <w:pPr>
        <w:spacing w:after="0" w:line="6"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At maturity, holders of the Company's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March 31, 2003, the number of Sprint PCS shares held by the Company exceeded the number of ZONES outstanding.</w:t>
      </w:r>
    </w:p>
    <w:p>
      <w:pPr>
        <w:spacing w:after="0" w:line="200" w:lineRule="exact"/>
        <w:rPr>
          <w:sz w:val="20"/>
          <w:szCs w:val="20"/>
          <w:color w:val="auto"/>
        </w:rPr>
      </w:pPr>
    </w:p>
    <w:p>
      <w:pPr>
        <w:jc w:val="both"/>
        <w:ind w:right="2199"/>
        <w:spacing w:after="0" w:line="257" w:lineRule="auto"/>
        <w:rPr>
          <w:sz w:val="20"/>
          <w:szCs w:val="20"/>
          <w:color w:val="auto"/>
        </w:rPr>
      </w:pPr>
      <w:r>
        <w:rPr>
          <w:rFonts w:ascii="Courier New" w:cs="Courier New" w:eastAsia="Courier New" w:hAnsi="Courier New"/>
          <w:sz w:val="16"/>
          <w:szCs w:val="16"/>
          <w:color w:val="auto"/>
        </w:rPr>
        <w:t>The Company split the accounting for the ZONES into derivative and debt components. The Company records the change in the fair value of the derivative component of the ZONES (see Note 3) and the change in the carrying value of the debt component of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9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ZONES</w:t>
            </w:r>
          </w:p>
        </w:tc>
        <w:tc>
          <w:tcPr>
            <w:tcW w:w="1200" w:type="dxa"/>
            <w:vAlign w:val="bottom"/>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3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16"/>
                <w:szCs w:val="16"/>
                <w:color w:val="auto"/>
              </w:rPr>
            </w:pPr>
          </w:p>
        </w:tc>
        <w:tc>
          <w:tcPr>
            <w:tcW w:w="30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4960" w:type="dxa"/>
            <w:vAlign w:val="bottom"/>
          </w:tcPr>
          <w:p>
            <w:pPr>
              <w:spacing w:after="0"/>
              <w:rPr>
                <w:sz w:val="16"/>
                <w:szCs w:val="16"/>
                <w:color w:val="auto"/>
              </w:rPr>
            </w:pPr>
          </w:p>
        </w:tc>
        <w:tc>
          <w:tcPr>
            <w:tcW w:w="3060" w:type="dxa"/>
            <w:vAlign w:val="bottom"/>
            <w:gridSpan w:val="2"/>
          </w:tcPr>
          <w:p>
            <w:pPr>
              <w:jc w:val="right"/>
              <w:ind w:right="9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4960" w:type="dxa"/>
            <w:vAlign w:val="bottom"/>
          </w:tcPr>
          <w:p>
            <w:pPr>
              <w:spacing w:after="0"/>
              <w:rPr>
                <w:sz w:val="16"/>
                <w:szCs w:val="16"/>
                <w:color w:val="auto"/>
              </w:rPr>
            </w:pPr>
          </w:p>
        </w:tc>
        <w:tc>
          <w:tcPr>
            <w:tcW w:w="18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2003</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4960" w:type="dxa"/>
            <w:vAlign w:val="bottom"/>
          </w:tcPr>
          <w:p>
            <w:pPr>
              <w:spacing w:after="0"/>
              <w:rPr>
                <w:sz w:val="16"/>
                <w:szCs w:val="16"/>
                <w:color w:val="auto"/>
              </w:rPr>
            </w:pP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Balance at Beginning of Period:</w:t>
            </w: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Debt component................................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$491</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$468</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Derivative component..........................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208</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1,145</w:t>
            </w:r>
          </w:p>
        </w:tc>
      </w:tr>
      <w:tr>
        <w:trPr>
          <w:trHeight w:val="193"/>
        </w:trPr>
        <w:tc>
          <w:tcPr>
            <w:tcW w:w="4960" w:type="dxa"/>
            <w:vAlign w:val="bottom"/>
          </w:tcPr>
          <w:p>
            <w:pPr>
              <w:spacing w:after="0"/>
              <w:rPr>
                <w:sz w:val="16"/>
                <w:szCs w:val="16"/>
                <w:color w:val="auto"/>
              </w:rPr>
            </w:pP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699</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1,613</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Increase in debt component</w:t>
            </w: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 interest expense...........................</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Decrease in derivative component</w:t>
            </w:r>
          </w:p>
        </w:tc>
        <w:tc>
          <w:tcPr>
            <w:tcW w:w="1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 investment loss, net.......................</w:t>
            </w:r>
          </w:p>
        </w:tc>
        <w:tc>
          <w:tcPr>
            <w:tcW w:w="18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(664)</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Balance at End of Period:</w:t>
            </w: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Debt component................................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497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474</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Derivative component..........................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481</w:t>
            </w:r>
          </w:p>
        </w:tc>
      </w:tr>
      <w:tr>
        <w:trPr>
          <w:trHeight w:val="193"/>
        </w:trPr>
        <w:tc>
          <w:tcPr>
            <w:tcW w:w="4960" w:type="dxa"/>
            <w:vAlign w:val="bottom"/>
          </w:tcPr>
          <w:p>
            <w:pPr>
              <w:spacing w:after="0"/>
              <w:rPr>
                <w:sz w:val="16"/>
                <w:szCs w:val="16"/>
                <w:color w:val="auto"/>
              </w:rPr>
            </w:pP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$704</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$955</w:t>
            </w:r>
          </w:p>
        </w:tc>
      </w:tr>
      <w:tr>
        <w:trPr>
          <w:trHeight w:val="193"/>
        </w:trPr>
        <w:tc>
          <w:tcPr>
            <w:tcW w:w="4960" w:type="dxa"/>
            <w:vAlign w:val="bottom"/>
          </w:tcPr>
          <w:p>
            <w:pPr>
              <w:spacing w:after="0"/>
              <w:rPr>
                <w:sz w:val="16"/>
                <w:szCs w:val="16"/>
                <w:color w:val="auto"/>
              </w:rPr>
            </w:pP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Rates</w:t>
      </w:r>
    </w:p>
    <w:p>
      <w:pPr>
        <w:spacing w:after="0" w:line="6" w:lineRule="exact"/>
        <w:rPr>
          <w:sz w:val="20"/>
          <w:szCs w:val="20"/>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Excluding the derivative component of the ZONES whose changes in fair value are recorded to investment loss, net, the Company's effective weighted average interest rate on its total debt outstanding was 7.51% and 7.07% as of March 31, 2003 and December 31, 2002, respectively.</w:t>
      </w:r>
    </w:p>
    <w:p>
      <w:pPr>
        <w:spacing w:after="0" w:line="200" w:lineRule="exact"/>
        <w:rPr>
          <w:sz w:val="20"/>
          <w:szCs w:val="20"/>
          <w:color w:val="auto"/>
        </w:rPr>
      </w:pPr>
    </w:p>
    <w:p>
      <w:pPr>
        <w:spacing w:after="0" w:line="38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719"/>
          </w:cols>
          <w:pgMar w:left="740" w:top="881" w:right="1440" w:bottom="359" w:gutter="0" w:footer="0" w:header="0"/>
        </w:sectPr>
      </w:pPr>
    </w:p>
    <w:bookmarkStart w:id="11" w:name="page12"/>
    <w:bookmarkEnd w:id="11"/>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Derivatives</w:t>
      </w:r>
    </w:p>
    <w:p>
      <w:pPr>
        <w:spacing w:after="0" w:line="6" w:lineRule="exact"/>
        <w:rPr>
          <w:sz w:val="20"/>
          <w:szCs w:val="20"/>
          <w:color w:val="auto"/>
        </w:rPr>
      </w:pPr>
    </w:p>
    <w:p>
      <w:pPr>
        <w:jc w:val="both"/>
        <w:ind w:left="500" w:right="2199"/>
        <w:spacing w:after="0" w:line="238" w:lineRule="auto"/>
        <w:rPr>
          <w:sz w:val="20"/>
          <w:szCs w:val="20"/>
          <w:color w:val="auto"/>
        </w:rPr>
      </w:pPr>
      <w:r>
        <w:rPr>
          <w:rFonts w:ascii="Courier New" w:cs="Courier New" w:eastAsia="Courier New" w:hAnsi="Courier New"/>
          <w:sz w:val="17"/>
          <w:szCs w:val="17"/>
          <w:color w:val="auto"/>
        </w:rPr>
        <w:t>The Company uses derivative financial instruments to manage its exposure to fluctuations in interest rates and securities prices. The Company has issued indexed debt instruments and prepaid forward sale agreements whose value, in part, is derived from the market value of certain publicly traded common stock.</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Lines and Letters of Credit</w:t>
      </w:r>
    </w:p>
    <w:p>
      <w:pPr>
        <w:spacing w:after="0" w:line="6" w:lineRule="exact"/>
        <w:rPr>
          <w:sz w:val="20"/>
          <w:szCs w:val="20"/>
          <w:color w:val="auto"/>
        </w:rPr>
      </w:pPr>
    </w:p>
    <w:p>
      <w:pPr>
        <w:jc w:val="both"/>
        <w:ind w:left="500" w:right="2199"/>
        <w:spacing w:after="0" w:line="256" w:lineRule="auto"/>
        <w:rPr>
          <w:sz w:val="20"/>
          <w:szCs w:val="20"/>
          <w:color w:val="auto"/>
        </w:rPr>
      </w:pPr>
      <w:r>
        <w:rPr>
          <w:rFonts w:ascii="Courier New" w:cs="Courier New" w:eastAsia="Courier New" w:hAnsi="Courier New"/>
          <w:sz w:val="16"/>
          <w:szCs w:val="16"/>
          <w:color w:val="auto"/>
        </w:rPr>
        <w:t>As of March 31, 2003, certain subsidiaries of the Company had unused lines of credit of $4.397 billion under their respective credit facilities. On May 5, 2003, Comcast borrowed an aggregate of $2.75 billion, representing all amounts available under two new credit agreements. The new credit agreements replaced the Company's 364-day credit facility, which expired in May 2003. As a result of the refinancing, amounts available under the Company's unused lines of credit were reduced to $2.472 billion.</w:t>
      </w:r>
    </w:p>
    <w:p>
      <w:pPr>
        <w:spacing w:after="0" w:line="189" w:lineRule="exact"/>
        <w:rPr>
          <w:sz w:val="20"/>
          <w:szCs w:val="20"/>
          <w:color w:val="auto"/>
        </w:rPr>
      </w:pPr>
    </w:p>
    <w:p>
      <w:pPr>
        <w:jc w:val="both"/>
        <w:ind w:left="500" w:right="2199"/>
        <w:spacing w:after="0" w:line="237" w:lineRule="auto"/>
        <w:rPr>
          <w:sz w:val="20"/>
          <w:szCs w:val="20"/>
          <w:color w:val="auto"/>
        </w:rPr>
      </w:pPr>
      <w:r>
        <w:rPr>
          <w:rFonts w:ascii="Courier New" w:cs="Courier New" w:eastAsia="Courier New" w:hAnsi="Courier New"/>
          <w:sz w:val="17"/>
          <w:szCs w:val="17"/>
          <w:color w:val="auto"/>
        </w:rPr>
        <w:t>As of March 31, 2003, the Company and certain of its subsidiaries had unused irrevocable standby letters of credit totaling $43 million to cover potential fundings under various agreements.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STOCKHOLDERS' EQUITY</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Stock-Based Compensation</w:t>
      </w:r>
    </w:p>
    <w:p>
      <w:pPr>
        <w:spacing w:after="0" w:line="6" w:lineRule="exact"/>
        <w:rPr>
          <w:sz w:val="20"/>
          <w:szCs w:val="20"/>
          <w:color w:val="auto"/>
        </w:rPr>
      </w:pPr>
    </w:p>
    <w:p>
      <w:pPr>
        <w:jc w:val="both"/>
        <w:ind w:left="500" w:right="2199"/>
        <w:spacing w:after="0" w:line="255"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Opinion No. 25, "Accounting for Stock Issued to Employees," and related interpretations, as permitted by SFAS No. 123, "Accounting for Stock-Based Compensation," as amended. Compensation expense for stock options is measured as the excess, if any, of the quoted market price of the stock at the date of the grant over the amount an employee must pay to acquire the stock. The Company records compensation expense for restricted stock awards based on the quoted market price of the stock at the date of the grant and the vesting period. The Company records compensation expense for stock appreciation rights based on the changes in quoted market prices of the stock or other determinants of fair value.</w:t>
      </w:r>
    </w:p>
    <w:p>
      <w:pPr>
        <w:spacing w:after="0" w:line="194" w:lineRule="exact"/>
        <w:rPr>
          <w:sz w:val="20"/>
          <w:szCs w:val="20"/>
          <w:color w:val="auto"/>
        </w:rPr>
      </w:pPr>
    </w:p>
    <w:p>
      <w:pPr>
        <w:jc w:val="both"/>
        <w:ind w:left="500" w:right="2199"/>
        <w:spacing w:after="0" w:line="237" w:lineRule="auto"/>
        <w:rPr>
          <w:sz w:val="20"/>
          <w:szCs w:val="20"/>
          <w:color w:val="auto"/>
        </w:rPr>
      </w:pPr>
      <w:r>
        <w:rPr>
          <w:rFonts w:ascii="Courier New" w:cs="Courier New" w:eastAsia="Courier New" w:hAnsi="Courier New"/>
          <w:sz w:val="17"/>
          <w:szCs w:val="17"/>
          <w:color w:val="auto"/>
        </w:rPr>
        <w:t>The following table illustrates the effect on net income (loss) if the Company had applied the fair value recognition provisions of SFAS No. 123 to stock-based compensation (dollars in millions):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460" w:type="dxa"/>
            <w:vAlign w:val="bottom"/>
          </w:tcPr>
          <w:p>
            <w:pPr>
              <w:spacing w:after="0"/>
              <w:rPr>
                <w:sz w:val="16"/>
                <w:szCs w:val="16"/>
                <w:color w:val="auto"/>
              </w:rPr>
            </w:pPr>
          </w:p>
        </w:tc>
        <w:tc>
          <w:tcPr>
            <w:tcW w:w="2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6460" w:type="dxa"/>
            <w:vAlign w:val="bottom"/>
          </w:tcPr>
          <w:p>
            <w:pPr>
              <w:spacing w:after="0"/>
              <w:rPr>
                <w:sz w:val="16"/>
                <w:szCs w:val="16"/>
                <w:color w:val="auto"/>
              </w:rPr>
            </w:pPr>
          </w:p>
        </w:tc>
        <w:tc>
          <w:tcPr>
            <w:tcW w:w="256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646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2003</w:t>
            </w: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6460" w:type="dxa"/>
            <w:vAlign w:val="bottom"/>
          </w:tcPr>
          <w:p>
            <w:pPr>
              <w:spacing w:after="0"/>
              <w:rPr>
                <w:sz w:val="16"/>
                <w:szCs w:val="16"/>
                <w:color w:val="auto"/>
              </w:rPr>
            </w:pP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60" w:type="dxa"/>
            <w:vAlign w:val="bottom"/>
          </w:tcPr>
          <w:p>
            <w:pPr>
              <w:spacing w:after="0"/>
              <w:rPr>
                <w:sz w:val="20"/>
                <w:szCs w:val="20"/>
                <w:color w:val="auto"/>
              </w:rPr>
            </w:pPr>
            <w:r>
              <w:rPr>
                <w:rFonts w:ascii="Courier New" w:cs="Courier New" w:eastAsia="Courier New" w:hAnsi="Courier New"/>
                <w:sz w:val="17"/>
                <w:szCs w:val="17"/>
                <w:color w:val="auto"/>
                <w:w w:val="98"/>
              </w:rPr>
              <w:t>Net income (loss), as reported..................................</w:t>
            </w: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$115</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r>
        <w:trPr>
          <w:trHeight w:val="385"/>
        </w:trPr>
        <w:tc>
          <w:tcPr>
            <w:tcW w:w="6460" w:type="dxa"/>
            <w:vAlign w:val="bottom"/>
          </w:tcPr>
          <w:p>
            <w:pPr>
              <w:spacing w:after="0"/>
              <w:rPr>
                <w:sz w:val="20"/>
                <w:szCs w:val="20"/>
                <w:color w:val="auto"/>
              </w:rPr>
            </w:pPr>
            <w:r>
              <w:rPr>
                <w:rFonts w:ascii="Courier New" w:cs="Courier New" w:eastAsia="Courier New" w:hAnsi="Courier New"/>
                <w:sz w:val="17"/>
                <w:szCs w:val="17"/>
                <w:color w:val="auto"/>
              </w:rPr>
              <w:t>Deduct: Total stock-based compensation</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6460" w:type="dxa"/>
            <w:vAlign w:val="bottom"/>
          </w:tcPr>
          <w:p>
            <w:pPr>
              <w:ind w:left="500"/>
              <w:spacing w:after="0"/>
              <w:rPr>
                <w:sz w:val="20"/>
                <w:szCs w:val="20"/>
                <w:color w:val="auto"/>
              </w:rPr>
            </w:pPr>
            <w:r>
              <w:rPr>
                <w:rFonts w:ascii="Courier New" w:cs="Courier New" w:eastAsia="Courier New" w:hAnsi="Courier New"/>
                <w:sz w:val="17"/>
                <w:szCs w:val="17"/>
                <w:color w:val="auto"/>
              </w:rPr>
              <w:t>expense determined under fair value based method</w:t>
            </w: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6460" w:type="dxa"/>
            <w:vAlign w:val="bottom"/>
          </w:tcPr>
          <w:p>
            <w:pPr>
              <w:ind w:left="500"/>
              <w:spacing w:after="0"/>
              <w:rPr>
                <w:sz w:val="20"/>
                <w:szCs w:val="20"/>
                <w:color w:val="auto"/>
              </w:rPr>
            </w:pPr>
            <w:r>
              <w:rPr>
                <w:rFonts w:ascii="Courier New" w:cs="Courier New" w:eastAsia="Courier New" w:hAnsi="Courier New"/>
                <w:sz w:val="17"/>
                <w:szCs w:val="17"/>
                <w:color w:val="auto"/>
              </w:rPr>
              <w:t>for all awards, net of related tax effects</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193"/>
        </w:trPr>
        <w:tc>
          <w:tcPr>
            <w:tcW w:w="6460" w:type="dxa"/>
            <w:vAlign w:val="bottom"/>
          </w:tcPr>
          <w:p>
            <w:pPr>
              <w:spacing w:after="0"/>
              <w:rPr>
                <w:sz w:val="16"/>
                <w:szCs w:val="16"/>
                <w:color w:val="auto"/>
              </w:rPr>
            </w:pP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60" w:type="dxa"/>
            <w:vAlign w:val="bottom"/>
          </w:tcPr>
          <w:p>
            <w:pPr>
              <w:spacing w:after="0"/>
              <w:rPr>
                <w:sz w:val="20"/>
                <w:szCs w:val="20"/>
                <w:color w:val="auto"/>
              </w:rPr>
            </w:pPr>
            <w:r>
              <w:rPr>
                <w:rFonts w:ascii="Courier New" w:cs="Courier New" w:eastAsia="Courier New" w:hAnsi="Courier New"/>
                <w:sz w:val="17"/>
                <w:szCs w:val="17"/>
                <w:color w:val="auto"/>
                <w:w w:val="98"/>
              </w:rPr>
              <w:t>Pro forma, net income (loss)....................................</w:t>
            </w: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193"/>
        </w:trPr>
        <w:tc>
          <w:tcPr>
            <w:tcW w:w="6460" w:type="dxa"/>
            <w:vAlign w:val="bottom"/>
          </w:tcPr>
          <w:p>
            <w:pPr>
              <w:spacing w:after="0"/>
              <w:rPr>
                <w:sz w:val="16"/>
                <w:szCs w:val="16"/>
                <w:color w:val="auto"/>
              </w:rPr>
            </w:pP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Total stock-based compensation expense was determined under the fair value method for all awards assuming accelerated vesting of the Company's stock options as permitted under SFAS No. 123. Had the Company applied the fair value recognition provisions of SFAS No. 123 assuming straight-line rather than accelerated vesting of its stock options, total stock-based compensation expense, net of related tax effects, would have been $19 million and $27 million for the interim periods in 2003 and 2002, respectively.</w:t>
      </w:r>
    </w:p>
    <w:p>
      <w:pPr>
        <w:spacing w:after="0" w:line="200" w:lineRule="exact"/>
        <w:rPr>
          <w:sz w:val="20"/>
          <w:szCs w:val="20"/>
          <w:color w:val="auto"/>
        </w:rPr>
      </w:pPr>
    </w:p>
    <w:p>
      <w:pPr>
        <w:jc w:val="both"/>
        <w:ind w:left="500" w:right="2199"/>
        <w:spacing w:after="0" w:line="238" w:lineRule="auto"/>
        <w:rPr>
          <w:sz w:val="20"/>
          <w:szCs w:val="20"/>
          <w:color w:val="auto"/>
        </w:rPr>
      </w:pPr>
      <w:r>
        <w:rPr>
          <w:rFonts w:ascii="Courier New" w:cs="Courier New" w:eastAsia="Courier New" w:hAnsi="Courier New"/>
          <w:sz w:val="17"/>
          <w:szCs w:val="17"/>
          <w:color w:val="auto"/>
        </w:rPr>
        <w:t>The weighted-average fair value at date of grant of a Class A common stock option granted under Comcast's option plans during the 2003 interim period was $11.62. The weighted-average fair value at date of grant of a Class A Special common stock option granted under the option plans during the interim period in 2002 was $16.43. The</w:t>
      </w:r>
    </w:p>
    <w:p>
      <w:pPr>
        <w:spacing w:after="0" w:line="1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81" w:right="1440" w:bottom="0" w:gutter="0" w:footer="0" w:header="0"/>
        </w:sectPr>
      </w:pPr>
    </w:p>
    <w:bookmarkStart w:id="12" w:name="page13"/>
    <w:bookmarkEnd w:id="12"/>
    <w:p>
      <w:pPr>
        <w:spacing w:after="0" w:line="4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left="500" w:right="2199"/>
        <w:spacing w:after="0" w:line="237" w:lineRule="auto"/>
        <w:rPr>
          <w:sz w:val="20"/>
          <w:szCs w:val="20"/>
          <w:color w:val="auto"/>
        </w:rPr>
      </w:pPr>
      <w:r>
        <w:rPr>
          <w:rFonts w:ascii="Courier New" w:cs="Courier New" w:eastAsia="Courier New" w:hAnsi="Courier New"/>
          <w:sz w:val="17"/>
          <w:szCs w:val="17"/>
          <w:color w:val="auto"/>
        </w:rPr>
        <w:t>fair value of each option granted during the interim periods in 2003 and 2002 was estimated on the date of grant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3560" w:type="dxa"/>
            <w:vAlign w:val="bottom"/>
          </w:tcPr>
          <w:p>
            <w:pPr>
              <w:spacing w:after="0"/>
              <w:rPr>
                <w:sz w:val="16"/>
                <w:szCs w:val="16"/>
                <w:color w:val="auto"/>
              </w:rPr>
            </w:pPr>
          </w:p>
        </w:tc>
        <w:tc>
          <w:tcPr>
            <w:tcW w:w="3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Three Months Ended March 31,</w:t>
            </w:r>
          </w:p>
        </w:tc>
      </w:tr>
      <w:tr>
        <w:trPr>
          <w:trHeight w:val="193"/>
        </w:trPr>
        <w:tc>
          <w:tcPr>
            <w:tcW w:w="3560" w:type="dxa"/>
            <w:vAlign w:val="bottom"/>
          </w:tcPr>
          <w:p>
            <w:pPr>
              <w:spacing w:after="0"/>
              <w:rPr>
                <w:sz w:val="16"/>
                <w:szCs w:val="16"/>
                <w:color w:val="auto"/>
              </w:rPr>
            </w:pPr>
          </w:p>
        </w:tc>
        <w:tc>
          <w:tcPr>
            <w:tcW w:w="16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2003</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3560" w:type="dxa"/>
            <w:vAlign w:val="bottom"/>
          </w:tcPr>
          <w:p>
            <w:pPr>
              <w:spacing w:after="0"/>
              <w:rPr>
                <w:sz w:val="16"/>
                <w:szCs w:val="16"/>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3560" w:type="dxa"/>
            <w:vAlign w:val="bottom"/>
          </w:tcPr>
          <w:p>
            <w:pPr>
              <w:spacing w:after="0"/>
              <w:rPr>
                <w:sz w:val="16"/>
                <w:szCs w:val="16"/>
                <w:color w:val="auto"/>
              </w:rPr>
            </w:pP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Class A</w:t>
            </w: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Class A Special</w:t>
            </w:r>
          </w:p>
        </w:tc>
      </w:tr>
      <w:tr>
        <w:trPr>
          <w:trHeight w:val="193"/>
        </w:trPr>
        <w:tc>
          <w:tcPr>
            <w:tcW w:w="3560" w:type="dxa"/>
            <w:vAlign w:val="bottom"/>
          </w:tcPr>
          <w:p>
            <w:pPr>
              <w:spacing w:after="0"/>
              <w:rPr>
                <w:sz w:val="16"/>
                <w:szCs w:val="16"/>
                <w:color w:val="auto"/>
              </w:rPr>
            </w:pPr>
          </w:p>
        </w:tc>
        <w:tc>
          <w:tcPr>
            <w:tcW w:w="16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Common Stock</w:t>
            </w:r>
          </w:p>
        </w:tc>
        <w:tc>
          <w:tcPr>
            <w:tcW w:w="1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Common Stock</w:t>
            </w:r>
          </w:p>
        </w:tc>
      </w:tr>
      <w:tr>
        <w:trPr>
          <w:trHeight w:val="193"/>
        </w:trPr>
        <w:tc>
          <w:tcPr>
            <w:tcW w:w="3560" w:type="dxa"/>
            <w:vAlign w:val="bottom"/>
          </w:tcPr>
          <w:p>
            <w:pPr>
              <w:spacing w:after="0"/>
              <w:rPr>
                <w:sz w:val="16"/>
                <w:szCs w:val="16"/>
                <w:color w:val="auto"/>
              </w:rPr>
            </w:pPr>
          </w:p>
        </w:tc>
        <w:tc>
          <w:tcPr>
            <w:tcW w:w="1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Dividend yield.....................</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Expected volatility................</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29.2%</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29.2%</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Risk-free interest rate............</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3.8%</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5.3%</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Expected option lives (in years)</w:t>
            </w:r>
          </w:p>
        </w:tc>
        <w:tc>
          <w:tcPr>
            <w:tcW w:w="16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8.0</w:t>
            </w:r>
          </w:p>
        </w:tc>
        <w:tc>
          <w:tcPr>
            <w:tcW w:w="17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8.0</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Forfeiture rate....................</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3.0%</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3.0%</w:t>
            </w:r>
          </w:p>
        </w:tc>
      </w:tr>
    </w:tbl>
    <w:p>
      <w:pPr>
        <w:spacing w:after="0" w:line="391" w:lineRule="exact"/>
        <w:rPr>
          <w:sz w:val="20"/>
          <w:szCs w:val="20"/>
          <w:color w:val="auto"/>
        </w:rPr>
      </w:pPr>
    </w:p>
    <w:p>
      <w:pPr>
        <w:jc w:val="both"/>
        <w:ind w:left="500" w:right="2199"/>
        <w:spacing w:after="0" w:line="257" w:lineRule="auto"/>
        <w:rPr>
          <w:sz w:val="20"/>
          <w:szCs w:val="20"/>
          <w:color w:val="auto"/>
        </w:rPr>
      </w:pPr>
      <w:r>
        <w:rPr>
          <w:rFonts w:ascii="Courier New" w:cs="Courier New" w:eastAsia="Courier New" w:hAnsi="Courier New"/>
          <w:sz w:val="16"/>
          <w:szCs w:val="16"/>
          <w:color w:val="auto"/>
        </w:rPr>
        <w:t>The pro forma effect on net income (loss) for the interim periods by applying SFAS No. 123 may not be indicative of the effect on net income or loss in future years since SFAS No. 123 does not take into consideration pro forma compensation expense related to awards made prior to January 1, 1995 and since additional awards in future years are anticipated.</w:t>
      </w:r>
    </w:p>
    <w:p>
      <w:pPr>
        <w:spacing w:after="0" w:line="1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Comprehensive Income (Loss)</w:t>
      </w:r>
    </w:p>
    <w:p>
      <w:pPr>
        <w:spacing w:after="0" w:line="6" w:lineRule="exact"/>
        <w:rPr>
          <w:sz w:val="20"/>
          <w:szCs w:val="20"/>
          <w:color w:val="auto"/>
        </w:rPr>
      </w:pPr>
    </w:p>
    <w:p>
      <w:pPr>
        <w:jc w:val="both"/>
        <w:ind w:left="500" w:right="2199"/>
        <w:spacing w:after="0" w:line="236" w:lineRule="auto"/>
        <w:rPr>
          <w:sz w:val="20"/>
          <w:szCs w:val="20"/>
          <w:color w:val="auto"/>
        </w:rPr>
      </w:pPr>
      <w:r>
        <w:rPr>
          <w:rFonts w:ascii="Courier New" w:cs="Courier New" w:eastAsia="Courier New" w:hAnsi="Courier New"/>
          <w:sz w:val="17"/>
          <w:szCs w:val="17"/>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460" w:type="dxa"/>
            <w:vAlign w:val="bottom"/>
          </w:tcPr>
          <w:p>
            <w:pPr>
              <w:spacing w:after="0"/>
              <w:rPr>
                <w:sz w:val="16"/>
                <w:szCs w:val="16"/>
                <w:color w:val="auto"/>
              </w:rPr>
            </w:pPr>
          </w:p>
        </w:tc>
        <w:tc>
          <w:tcPr>
            <w:tcW w:w="23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5460" w:type="dxa"/>
            <w:vAlign w:val="bottom"/>
          </w:tcPr>
          <w:p>
            <w:pPr>
              <w:spacing w:after="0"/>
              <w:rPr>
                <w:sz w:val="16"/>
                <w:szCs w:val="16"/>
                <w:color w:val="auto"/>
              </w:rPr>
            </w:pPr>
          </w:p>
        </w:tc>
        <w:tc>
          <w:tcPr>
            <w:tcW w:w="23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5460" w:type="dxa"/>
            <w:vAlign w:val="bottom"/>
          </w:tcPr>
          <w:p>
            <w:pPr>
              <w:spacing w:after="0"/>
              <w:rPr>
                <w:sz w:val="16"/>
                <w:szCs w:val="16"/>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7"/>
                <w:szCs w:val="17"/>
                <w:color w:val="auto"/>
              </w:rPr>
              <w:t>2003</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546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$115</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r>
        <w:trPr>
          <w:trHeight w:val="193"/>
        </w:trPr>
        <w:tc>
          <w:tcPr>
            <w:tcW w:w="5460" w:type="dxa"/>
            <w:vAlign w:val="bottom"/>
          </w:tcPr>
          <w:p>
            <w:pPr>
              <w:spacing w:after="0"/>
              <w:rPr>
                <w:sz w:val="20"/>
                <w:szCs w:val="20"/>
                <w:color w:val="auto"/>
              </w:rPr>
            </w:pPr>
            <w:r>
              <w:rPr>
                <w:rFonts w:ascii="Courier New" w:cs="Courier New" w:eastAsia="Courier New" w:hAnsi="Courier New"/>
                <w:sz w:val="17"/>
                <w:szCs w:val="17"/>
                <w:color w:val="auto"/>
              </w:rPr>
              <w:t>Unrealized losses on marketable securities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193"/>
        </w:trPr>
        <w:tc>
          <w:tcPr>
            <w:tcW w:w="5460" w:type="dxa"/>
            <w:vAlign w:val="bottom"/>
          </w:tcPr>
          <w:p>
            <w:pPr>
              <w:spacing w:after="0"/>
              <w:rPr>
                <w:sz w:val="20"/>
                <w:szCs w:val="20"/>
                <w:color w:val="auto"/>
              </w:rPr>
            </w:pPr>
            <w:r>
              <w:rPr>
                <w:rFonts w:ascii="Courier New" w:cs="Courier New" w:eastAsia="Courier New" w:hAnsi="Courier New"/>
                <w:sz w:val="17"/>
                <w:szCs w:val="17"/>
                <w:color w:val="auto"/>
              </w:rPr>
              <w:t>Reclassification adjustments for losses</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4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included in net income (loss)......................</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r>
      <w:tr>
        <w:trPr>
          <w:trHeight w:val="193"/>
        </w:trPr>
        <w:tc>
          <w:tcPr>
            <w:tcW w:w="5460" w:type="dxa"/>
            <w:vAlign w:val="bottom"/>
          </w:tcPr>
          <w:p>
            <w:pPr>
              <w:spacing w:after="0"/>
              <w:rPr>
                <w:sz w:val="20"/>
                <w:szCs w:val="20"/>
                <w:color w:val="auto"/>
              </w:rPr>
            </w:pPr>
            <w:r>
              <w:rPr>
                <w:rFonts w:ascii="Courier New" w:cs="Courier New" w:eastAsia="Courier New" w:hAnsi="Courier New"/>
                <w:sz w:val="17"/>
                <w:szCs w:val="17"/>
                <w:color w:val="auto"/>
              </w:rPr>
              <w:t>Unrealized losses on the effective portion of</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4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9"/>
              </w:rPr>
              <w:t>....................................cash flow hedges</w:t>
            </w:r>
          </w:p>
        </w:tc>
        <w:tc>
          <w:tcPr>
            <w:tcW w:w="1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5460" w:type="dxa"/>
            <w:vAlign w:val="bottom"/>
          </w:tcPr>
          <w:p>
            <w:pPr>
              <w:spacing w:after="0"/>
              <w:rPr>
                <w:sz w:val="20"/>
                <w:szCs w:val="20"/>
                <w:color w:val="auto"/>
              </w:rPr>
            </w:pPr>
            <w:r>
              <w:rPr>
                <w:rFonts w:ascii="Courier New" w:cs="Courier New" w:eastAsia="Courier New" w:hAnsi="Courier New"/>
                <w:sz w:val="17"/>
                <w:szCs w:val="17"/>
                <w:color w:val="auto"/>
              </w:rPr>
              <w:t>Foreign currency translation gains (losses)</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3"/>
        </w:trPr>
        <w:tc>
          <w:tcPr>
            <w:tcW w:w="546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Comprehensive income (loss)..........................</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($241)</w:t>
            </w:r>
          </w:p>
        </w:tc>
      </w:tr>
      <w:tr>
        <w:trPr>
          <w:trHeight w:val="193"/>
        </w:trPr>
        <w:tc>
          <w:tcPr>
            <w:tcW w:w="546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500" w:hanging="497"/>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CASH FLOWS - SUPPLEMENTAL INFORMATION</w:t>
      </w:r>
    </w:p>
    <w:p>
      <w:pPr>
        <w:spacing w:after="0" w:line="198" w:lineRule="exact"/>
        <w:rPr>
          <w:rFonts w:ascii="Courier New" w:cs="Courier New" w:eastAsia="Courier New" w:hAnsi="Courier New"/>
          <w:sz w:val="17"/>
          <w:szCs w:val="17"/>
          <w:color w:val="auto"/>
        </w:rPr>
      </w:pPr>
    </w:p>
    <w:p>
      <w:pPr>
        <w:ind w:left="500" w:right="21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460" w:type="dxa"/>
            <w:vAlign w:val="bottom"/>
          </w:tcPr>
          <w:p>
            <w:pPr>
              <w:spacing w:after="0"/>
              <w:rPr>
                <w:sz w:val="16"/>
                <w:szCs w:val="16"/>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6460" w:type="dxa"/>
            <w:vAlign w:val="bottom"/>
          </w:tcPr>
          <w:p>
            <w:pPr>
              <w:spacing w:after="0"/>
              <w:rPr>
                <w:sz w:val="16"/>
                <w:szCs w:val="16"/>
                <w:color w:val="auto"/>
              </w:rPr>
            </w:pPr>
          </w:p>
        </w:tc>
        <w:tc>
          <w:tcPr>
            <w:tcW w:w="22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6460" w:type="dxa"/>
            <w:vAlign w:val="bottom"/>
          </w:tcPr>
          <w:p>
            <w:pPr>
              <w:spacing w:after="0"/>
              <w:rPr>
                <w:sz w:val="16"/>
                <w:szCs w:val="16"/>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2003</w:t>
            </w:r>
          </w:p>
        </w:tc>
        <w:tc>
          <w:tcPr>
            <w:tcW w:w="11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6460" w:type="dxa"/>
            <w:vAlign w:val="bottom"/>
          </w:tcPr>
          <w:p>
            <w:pPr>
              <w:spacing w:after="0"/>
              <w:rPr>
                <w:sz w:val="16"/>
                <w:szCs w:val="16"/>
                <w:color w:val="auto"/>
              </w:rPr>
            </w:pPr>
          </w:p>
        </w:tc>
        <w:tc>
          <w:tcPr>
            <w:tcW w:w="11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460" w:type="dxa"/>
            <w:vAlign w:val="bottom"/>
          </w:tcPr>
          <w:p>
            <w:pPr>
              <w:spacing w:after="0"/>
              <w:rPr>
                <w:sz w:val="20"/>
                <w:szCs w:val="20"/>
                <w:color w:val="auto"/>
              </w:rPr>
            </w:pPr>
            <w:r>
              <w:rPr>
                <w:rFonts w:ascii="Courier New" w:cs="Courier New" w:eastAsia="Courier New" w:hAnsi="Courier New"/>
                <w:sz w:val="17"/>
                <w:szCs w:val="17"/>
                <w:color w:val="auto"/>
                <w:w w:val="98"/>
              </w:rPr>
              <w:t>Interest........................................................</w:t>
            </w:r>
          </w:p>
        </w:tc>
        <w:tc>
          <w:tcPr>
            <w:tcW w:w="11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$106</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w w:val="98"/>
              </w:rPr>
              <w:t>Income taxes....................................................</w:t>
            </w:r>
          </w:p>
        </w:tc>
        <w:tc>
          <w:tcPr>
            <w:tcW w:w="11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$36</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bl>
    <w:p>
      <w:pPr>
        <w:spacing w:after="0" w:line="386" w:lineRule="exact"/>
        <w:rPr>
          <w:sz w:val="20"/>
          <w:szCs w:val="20"/>
          <w:color w:val="auto"/>
        </w:rPr>
      </w:pPr>
    </w:p>
    <w:p>
      <w:pPr>
        <w:ind w:left="500" w:hanging="497"/>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Contingencies</w:t>
      </w:r>
    </w:p>
    <w:p>
      <w:pPr>
        <w:spacing w:after="0" w:line="5" w:lineRule="exact"/>
        <w:rPr>
          <w:rFonts w:ascii="Courier New" w:cs="Courier New" w:eastAsia="Courier New" w:hAnsi="Courier New"/>
          <w:sz w:val="17"/>
          <w:szCs w:val="17"/>
          <w:color w:val="auto"/>
        </w:rPr>
      </w:pPr>
    </w:p>
    <w:p>
      <w:pPr>
        <w:jc w:val="both"/>
        <w:ind w:left="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March 3, 2003, Comcast announced that Liberty Media Corporation ("Liberty") delivered a notice to it, pursuant to the stockholders agreement between the Company and Liberty, that triggers an exit rights process with respect to Liberty's approximate 42% interest in QVC. An appraisal process will determine the value of QVC. The Company will then</w:t>
      </w:r>
    </w:p>
    <w:p>
      <w:pPr>
        <w:sectPr>
          <w:pgSz w:w="11900" w:h="16882" w:orient="portrait"/>
          <w:cols w:equalWidth="0" w:num="1">
            <w:col w:w="10219"/>
          </w:cols>
          <w:pgMar w:left="240" w:top="881" w:right="1440" w:bottom="0" w:gutter="0" w:footer="0" w:header="0"/>
        </w:sectPr>
      </w:pPr>
    </w:p>
    <w:bookmarkStart w:id="13" w:name="page14"/>
    <w:bookmarkEnd w:id="13"/>
    <w:p>
      <w:pPr>
        <w:ind w:right="2199"/>
        <w:spacing w:after="0" w:line="236" w:lineRule="auto"/>
        <w:rPr>
          <w:sz w:val="20"/>
          <w:szCs w:val="20"/>
          <w:color w:val="auto"/>
        </w:rPr>
      </w:pPr>
      <w:r>
        <w:rPr>
          <w:rFonts w:ascii="Courier New" w:cs="Courier New" w:eastAsia="Courier New" w:hAnsi="Courier New"/>
          <w:sz w:val="17"/>
          <w:szCs w:val="17"/>
          <w:color w:val="auto"/>
        </w:rPr>
        <w:t>have the right to purchase Liberty's interest in QVC based on the determined value. The</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719"/>
          </w:cols>
          <w:pgMar w:left="740" w:top="142" w:right="1440" w:bottom="1440" w:gutter="0" w:footer="0" w:header="0"/>
        </w:sectPr>
      </w:pPr>
    </w:p>
    <w:bookmarkStart w:id="14" w:name="page15"/>
    <w:bookmarkEnd w:id="14"/>
    <w:p>
      <w:pPr>
        <w:spacing w:after="0" w:line="5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599"/>
        <w:spacing w:after="0"/>
        <w:rPr>
          <w:sz w:val="20"/>
          <w:szCs w:val="20"/>
          <w:color w:val="auto"/>
        </w:rPr>
      </w:pPr>
      <w:r>
        <w:rPr>
          <w:rFonts w:ascii="Courier New" w:cs="Courier New" w:eastAsia="Courier New" w:hAnsi="Courier New"/>
          <w:sz w:val="17"/>
          <w:szCs w:val="17"/>
          <w:color w:val="auto"/>
        </w:rPr>
        <w:t>FORM 10-Q</w:t>
      </w:r>
    </w:p>
    <w:p>
      <w:pPr>
        <w:jc w:val="center"/>
        <w:ind w:right="26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6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599"/>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Company may pay Liberty for the QVC stock in cash, in a promissory note maturing not more than three years after issuance, in Comcast's equity securities or in a combination of these, subject to Liberty's right to request payment in all equity securities and the parties' obligation to use reasonable efforts to consummate the purchase in the most tax efficient method available (provided that Comcast is not required to issue securities representing more than 4.9% of the outstanding equity or vote of Comcast's common stock). If the Company elects not to purchase Liberty's interest in QVC, Liberty then will have a similar right to purchase the Company's approximate 57% interest in QVC. If neither the Company nor Liberty elect to purchase the interest of the other, then the Company and Liberty are required to use their best efforts to sell QVC; either company is permitted to be a purchaser in any such sale. The Company and Liberty may agree not to enter into a transaction, or may agree to a transaction other than that specified in the stockholders agreement. Under the current terms of the stockholders agreement between the Company and Liberty, the Company would no longer control QVC if it elects not to purchase Liberty's interest in QVC.</w:t>
      </w:r>
    </w:p>
    <w:p>
      <w:pPr>
        <w:spacing w:after="0" w:line="210" w:lineRule="exact"/>
        <w:rPr>
          <w:sz w:val="20"/>
          <w:szCs w:val="20"/>
          <w:color w:val="auto"/>
        </w:rPr>
      </w:pPr>
    </w:p>
    <w:p>
      <w:pPr>
        <w:jc w:val="both"/>
        <w:ind w:right="2199"/>
        <w:spacing w:after="0" w:line="255" w:lineRule="auto"/>
        <w:rPr>
          <w:sz w:val="20"/>
          <w:szCs w:val="20"/>
          <w:color w:val="auto"/>
        </w:rPr>
      </w:pPr>
      <w:r>
        <w:rPr>
          <w:rFonts w:ascii="Courier New" w:cs="Courier New" w:eastAsia="Courier New" w:hAnsi="Courier New"/>
          <w:sz w:val="16"/>
          <w:szCs w:val="16"/>
          <w:color w:val="auto"/>
        </w:rPr>
        <w:t>Litigation has been filed against the Company as a result of alleged conduct of the Company with respect to its investment in and distribution relationship with At Home Corporation. At Home was a provider of high-speed Internet access and content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90"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The Company denies any wrongdoing in connection with the claims which have been made directly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201"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Some of the entities formerly attributed to Broadband which are now subsidiaries of Comcast are parties to an affiliation term sheet with Starz Encore Group LLC, an affiliate of Liberty Media Corporation, which extends to 2022. The term sheet requires annual fixed price payments, subject to adjustment for various factors, including inflation. The term sheet also requires Comcast to pay two-thirds of Starz Encore's programming costs above levels designated in the term sheet.</w:t>
      </w:r>
    </w:p>
    <w:p>
      <w:pPr>
        <w:spacing w:after="0" w:line="199" w:lineRule="exact"/>
        <w:rPr>
          <w:sz w:val="20"/>
          <w:szCs w:val="20"/>
          <w:color w:val="auto"/>
        </w:rPr>
      </w:pPr>
    </w:p>
    <w:p>
      <w:pPr>
        <w:jc w:val="both"/>
        <w:ind w:right="2199"/>
        <w:spacing w:after="0" w:line="256" w:lineRule="auto"/>
        <w:rPr>
          <w:sz w:val="20"/>
          <w:szCs w:val="20"/>
          <w:color w:val="auto"/>
        </w:rPr>
      </w:pPr>
      <w:r>
        <w:rPr>
          <w:rFonts w:ascii="Courier New" w:cs="Courier New" w:eastAsia="Courier New" w:hAnsi="Courier New"/>
          <w:sz w:val="16"/>
          <w:szCs w:val="16"/>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w:t>
      </w:r>
    </w:p>
    <w:p>
      <w:pPr>
        <w:sectPr>
          <w:pgSz w:w="11900" w:h="16895" w:orient="portrait"/>
          <w:cols w:equalWidth="0" w:num="1">
            <w:col w:w="9719"/>
          </w:cols>
          <w:pgMar w:left="740" w:top="881"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disposition of</w:t>
      </w:r>
    </w:p>
    <w:p>
      <w:pPr>
        <w:spacing w:after="0" w:line="193"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719"/>
          </w:cols>
          <w:pgMar w:left="740" w:top="136" w:right="1440" w:bottom="1440" w:gutter="0" w:footer="0" w:header="0"/>
        </w:sectPr>
      </w:pPr>
    </w:p>
    <w:bookmarkStart w:id="16" w:name="page17"/>
    <w:bookmarkEnd w:id="16"/>
    <w:p>
      <w:pPr>
        <w:jc w:val="center"/>
        <w:ind w:right="25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599"/>
        <w:spacing w:after="0"/>
        <w:rPr>
          <w:sz w:val="20"/>
          <w:szCs w:val="20"/>
          <w:color w:val="auto"/>
        </w:rPr>
      </w:pPr>
      <w:r>
        <w:rPr>
          <w:rFonts w:ascii="Courier New" w:cs="Courier New" w:eastAsia="Courier New" w:hAnsi="Courier New"/>
          <w:sz w:val="17"/>
          <w:szCs w:val="17"/>
          <w:color w:val="auto"/>
        </w:rPr>
        <w:t>FORM 10-Q</w:t>
      </w:r>
    </w:p>
    <w:p>
      <w:pPr>
        <w:jc w:val="center"/>
        <w:ind w:right="26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6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599"/>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210"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On November 18, 2002, the Company and Comcast filed suit against Starz Encore in the United States District Court for the Eastern District of Pennsylvania. The Company and Comcast seek a declaratory judgment that, pursuant to their rights under a March 17, 1999 contract with a predecessor of Starz Encore, upon the completion of the Broadband acquisition that contract now provides the terms under which Starz Encore programming is acquired and transmitted by Comcast's cable systems. On January 8, 2003, Starz Encore filed a motion to dismiss the lawsuit on the grounds that claims asserted by the Company and Comcast raised issues of state law that the United States District Court should decline to decide. The Company and Comcast have responded contesting these assertions. That motion has been submitted to the Court for decision.</w:t>
      </w:r>
    </w:p>
    <w:p>
      <w:pPr>
        <w:spacing w:after="0" w:line="204" w:lineRule="exact"/>
        <w:rPr>
          <w:sz w:val="20"/>
          <w:szCs w:val="20"/>
          <w:color w:val="auto"/>
        </w:rPr>
      </w:pPr>
    </w:p>
    <w:p>
      <w:pPr>
        <w:jc w:val="both"/>
        <w:ind w:right="2199"/>
        <w:spacing w:after="0" w:line="256" w:lineRule="auto"/>
        <w:rPr>
          <w:sz w:val="20"/>
          <w:szCs w:val="20"/>
          <w:color w:val="auto"/>
        </w:rPr>
      </w:pPr>
      <w:r>
        <w:rPr>
          <w:rFonts w:ascii="Courier New" w:cs="Courier New" w:eastAsia="Courier New" w:hAnsi="Courier New"/>
          <w:sz w:val="16"/>
          <w:szCs w:val="16"/>
          <w:color w:val="auto"/>
        </w:rPr>
        <w:t>On January 31, 2003, Starz Encore filed an amended complaint in its lawsuit against Broadband in Colorado state court. The amended complaint adds the Company and Comcast as defendants and adds new claims against the Company, Comcast and Broadband asserting alleged breaches of, and interference with, the standstill agreement relating to the lawsuit filed by the Company and Comcast in federal District Court in Pennsylvania and to the defendants' position that since the completion of the Broadband acquisition, the March 17, 1999 contract now provides the terms under which Starz Encore programming is acquired and transmitted by the Company's cable systems.</w:t>
      </w:r>
    </w:p>
    <w:p>
      <w:pPr>
        <w:spacing w:after="0" w:line="187"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On March 3, 2003, Starz Encore filed a motion for leave to file a second amended complaint that would add allegations that Broadband has breached certain joint-marketing obligations under the term sheet and that the Company and Comcast have breached certain joint-marketing obligations under the March 17, 1999 contract and other agreements. The Company, Comcast and Broadband intend to oppose Starz Encore's motion for leave to file a second amended complaint and, in light of Starz Encore's pending motion for leave to amend, have sought an extension of time from the Court to respond to Starz Encore's amended complaint.</w:t>
      </w:r>
    </w:p>
    <w:p>
      <w:pPr>
        <w:spacing w:after="0" w:line="201" w:lineRule="exact"/>
        <w:rPr>
          <w:sz w:val="20"/>
          <w:szCs w:val="20"/>
          <w:color w:val="auto"/>
        </w:rPr>
      </w:pPr>
    </w:p>
    <w:p>
      <w:pPr>
        <w:jc w:val="both"/>
        <w:ind w:right="2199"/>
        <w:spacing w:after="0" w:line="256" w:lineRule="auto"/>
        <w:rPr>
          <w:sz w:val="20"/>
          <w:szCs w:val="20"/>
          <w:color w:val="auto"/>
        </w:rPr>
      </w:pPr>
      <w:r>
        <w:rPr>
          <w:rFonts w:ascii="Courier New" w:cs="Courier New" w:eastAsia="Courier New" w:hAnsi="Courier New"/>
          <w:sz w:val="16"/>
          <w:szCs w:val="16"/>
          <w:color w:val="auto"/>
        </w:rPr>
        <w:t>On April 3, 2003, the Company and Comcast filed a motion for summary judgment in the federal action in Pennsylvania. On April 16, 2003, Starz Encore filed a motion seeking (i) to strike the affidavit supporting the summary judgment motion or, in the alternative, (ii) a general postponement of Starz Encore's response date (or at a minimum a three week extension). On April 29, 2003, the Company and Comcast filed an opposition to Starz Encore's motion. The Court has not yet ruled on either motion.</w:t>
      </w:r>
    </w:p>
    <w:p>
      <w:pPr>
        <w:spacing w:after="0" w:line="189"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An entity formerly attributed to Broadband, which is now Comcast's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98"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Comcast is now bound by the master agreement to use CSG as its exclusive provider for certain billing and customer care</w:t>
      </w:r>
    </w:p>
    <w:p>
      <w:pPr>
        <w:sectPr>
          <w:pgSz w:w="11900" w:h="16838" w:orient="portrait"/>
          <w:cols w:equalWidth="0" w:num="1">
            <w:col w:w="9719"/>
          </w:cols>
          <w:pgMar w:left="740" w:top="881" w:right="1440" w:bottom="0" w:gutter="0" w:footer="0" w:header="0"/>
        </w:sectPr>
      </w:pPr>
    </w:p>
    <w:bookmarkStart w:id="17" w:name="page18"/>
    <w:bookmarkEnd w:id="17"/>
    <w:p>
      <w:pPr>
        <w:ind w:left="2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142" w:right="1440" w:bottom="1440" w:gutter="0" w:footer="0" w:header="0"/>
        </w:sectPr>
      </w:pPr>
    </w:p>
    <w:bookmarkStart w:id="18" w:name="page19"/>
    <w:bookmarkEnd w:id="18"/>
    <w:p>
      <w:pPr>
        <w:jc w:val="center"/>
        <w:ind w:right="25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599"/>
        <w:spacing w:after="0"/>
        <w:rPr>
          <w:sz w:val="20"/>
          <w:szCs w:val="20"/>
          <w:color w:val="auto"/>
        </w:rPr>
      </w:pPr>
      <w:r>
        <w:rPr>
          <w:rFonts w:ascii="Courier New" w:cs="Courier New" w:eastAsia="Courier New" w:hAnsi="Courier New"/>
          <w:sz w:val="17"/>
          <w:szCs w:val="17"/>
          <w:color w:val="auto"/>
        </w:rPr>
        <w:t>FORM 10-Q</w:t>
      </w:r>
    </w:p>
    <w:p>
      <w:pPr>
        <w:jc w:val="center"/>
        <w:ind w:right="2699"/>
        <w:spacing w:after="0"/>
        <w:rPr>
          <w:sz w:val="20"/>
          <w:szCs w:val="20"/>
          <w:color w:val="auto"/>
        </w:rPr>
      </w:pPr>
      <w:r>
        <w:rPr>
          <w:rFonts w:ascii="Courier New" w:cs="Courier New" w:eastAsia="Courier New" w:hAnsi="Courier New"/>
          <w:sz w:val="17"/>
          <w:szCs w:val="17"/>
          <w:color w:val="auto"/>
        </w:rPr>
        <w:t>QUARTER ENDED MARCH 31, 2003</w:t>
      </w:r>
    </w:p>
    <w:p>
      <w:pPr>
        <w:spacing w:after="0" w:line="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(Unaudited)</w:t>
      </w:r>
    </w:p>
    <w:p>
      <w:pPr>
        <w:sectPr>
          <w:pgSz w:w="11900" w:h="16838" w:orient="portrait"/>
          <w:cols w:equalWidth="0" w:num="1">
            <w:col w:w="9719"/>
          </w:cols>
          <w:pgMar w:left="740" w:top="881" w:right="1440" w:bottom="1440" w:gutter="0" w:footer="0" w:header="0"/>
        </w:sectPr>
      </w:pPr>
    </w:p>
    <w:p>
      <w:pPr>
        <w:spacing w:after="0" w:line="198" w:lineRule="exact"/>
        <w:rPr>
          <w:sz w:val="20"/>
          <w:szCs w:val="20"/>
          <w:color w:val="auto"/>
        </w:rPr>
      </w:pPr>
    </w:p>
    <w:p>
      <w:pPr>
        <w:spacing w:after="0" w:line="236" w:lineRule="auto"/>
        <w:rPr>
          <w:sz w:val="20"/>
          <w:szCs w:val="20"/>
          <w:color w:val="auto"/>
        </w:rPr>
      </w:pPr>
      <w:r>
        <w:rPr>
          <w:rFonts w:ascii="Courier New" w:cs="Courier New" w:eastAsia="Courier New" w:hAnsi="Courier New"/>
          <w:sz w:val="17"/>
          <w:szCs w:val="17"/>
          <w:color w:val="auto"/>
        </w:rPr>
        <w:t>services; (iii) tortious relations; and (iv) civil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interference conspiracy.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with</w:t>
      </w:r>
      <w:r>
        <w:rPr>
          <w:sz w:val="20"/>
          <w:szCs w:val="20"/>
          <w:color w:val="auto"/>
        </w:rPr>
        <w:tab/>
      </w:r>
      <w:r>
        <w:rPr>
          <w:rFonts w:ascii="Courier New" w:cs="Courier New" w:eastAsia="Courier New" w:hAnsi="Courier New"/>
          <w:sz w:val="16"/>
          <w:szCs w:val="16"/>
          <w:color w:val="auto"/>
        </w:rPr>
        <w:t>prospective</w:t>
      </w:r>
    </w:p>
    <w:p>
      <w:pPr>
        <w:ind w:left="200"/>
        <w:spacing w:after="0"/>
        <w:tabs>
          <w:tab w:leader="none" w:pos="1080" w:val="left"/>
          <w:tab w:leader="none" w:pos="1480" w:val="left"/>
        </w:tabs>
        <w:rPr>
          <w:sz w:val="20"/>
          <w:szCs w:val="20"/>
          <w:color w:val="auto"/>
        </w:rPr>
      </w:pPr>
      <w:r>
        <w:rPr>
          <w:rFonts w:ascii="Courier New" w:cs="Courier New" w:eastAsia="Courier New" w:hAnsi="Courier New"/>
          <w:sz w:val="17"/>
          <w:szCs w:val="17"/>
          <w:color w:val="auto"/>
        </w:rPr>
        <w:t>hearing</w:t>
        <w:tab/>
        <w:t>in</w:t>
      </w:r>
      <w:r>
        <w:rPr>
          <w:sz w:val="20"/>
          <w:szCs w:val="20"/>
          <w:color w:val="auto"/>
        </w:rPr>
        <w:tab/>
      </w: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arbitration</w:t>
      </w:r>
    </w:p>
    <w:p>
      <w:pPr>
        <w:spacing w:after="0" w:line="12" w:lineRule="exact"/>
        <w:rPr>
          <w:sz w:val="20"/>
          <w:szCs w:val="20"/>
          <w:color w:val="auto"/>
        </w:rPr>
      </w:pPr>
    </w:p>
    <w:p>
      <w:pPr>
        <w:sectPr>
          <w:pgSz w:w="11900" w:h="16838" w:orient="portrait"/>
          <w:cols w:equalWidth="0" w:num="5">
            <w:col w:w="2820" w:space="200"/>
            <w:col w:w="1200" w:space="100"/>
            <w:col w:w="100" w:space="0"/>
            <w:col w:w="1800" w:space="200"/>
            <w:col w:w="3299"/>
          </w:cols>
          <w:pgMar w:left="740" w:top="8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commenced on May 9, 2003.</w:t>
      </w:r>
    </w:p>
    <w:p>
      <w:pPr>
        <w:sectPr>
          <w:pgSz w:w="11900" w:h="16838" w:orient="portrait"/>
          <w:cols w:equalWidth="0" w:num="1">
            <w:col w:w="9719"/>
          </w:cols>
          <w:pgMar w:left="740" w:top="881" w:right="1440" w:bottom="1440" w:gutter="0" w:footer="0" w:header="0"/>
          <w:type w:val="continuous"/>
        </w:sectPr>
      </w:pPr>
    </w:p>
    <w:p>
      <w:pPr>
        <w:spacing w:after="0" w:line="204" w:lineRule="exact"/>
        <w:rPr>
          <w:sz w:val="20"/>
          <w:szCs w:val="20"/>
          <w:color w:val="auto"/>
        </w:rPr>
      </w:pPr>
    </w:p>
    <w:p>
      <w:pPr>
        <w:jc w:val="both"/>
        <w:ind w:right="2199"/>
        <w:spacing w:after="0" w:line="255" w:lineRule="auto"/>
        <w:rPr>
          <w:sz w:val="20"/>
          <w:szCs w:val="20"/>
          <w:color w:val="auto"/>
        </w:rPr>
      </w:pPr>
      <w:r>
        <w:rPr>
          <w:rFonts w:ascii="Courier New" w:cs="Courier New" w:eastAsia="Courier New" w:hAnsi="Courier New"/>
          <w:sz w:val="16"/>
          <w:szCs w:val="16"/>
          <w:color w:val="auto"/>
        </w:rPr>
        <w:t>On June 21, 2002, CSG filed a lawsuit against the Company in federal court in Denver, Colorado asserting claims related to the master agreement and the pending arbitration. On November 4, 2002, CSG withdrew its complaint against the Company without prejudice. On November 15, 2002, Comcast initiated a lawsuit against CSG in federal court in Philadelphia, Pennsylvania asserting that cable systems owned by the Company are not required to use CSG as a billing service or customer care provider pursuant to the master agreement, and that the former Broadband cable systems owned by Comcast may be added to a billing service agreement between Comcast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195" w:lineRule="exact"/>
        <w:rPr>
          <w:sz w:val="20"/>
          <w:szCs w:val="20"/>
          <w:color w:val="auto"/>
        </w:rPr>
      </w:pPr>
    </w:p>
    <w:p>
      <w:pPr>
        <w:jc w:val="both"/>
        <w:ind w:right="2199"/>
        <w:spacing w:after="0" w:line="257" w:lineRule="auto"/>
        <w:rPr>
          <w:sz w:val="20"/>
          <w:szCs w:val="20"/>
          <w:color w:val="auto"/>
        </w:rPr>
      </w:pPr>
      <w:r>
        <w:rPr>
          <w:rFonts w:ascii="Courier New" w:cs="Courier New" w:eastAsia="Courier New" w:hAnsi="Courier New"/>
          <w:sz w:val="16"/>
          <w:szCs w:val="16"/>
          <w:color w:val="auto"/>
        </w:rPr>
        <w:t>In management's opinion, the final disposition of the Starz Encore and CSG contractual disputes is not expected to have a material adverse effect on the Company's consolidated financial position or results of operations. However, no assurance can be given that any adverse outcome would not be material to such consolidated financial position or results of operations.</w:t>
      </w:r>
    </w:p>
    <w:p>
      <w:pPr>
        <w:spacing w:after="0" w:line="186" w:lineRule="exact"/>
        <w:rPr>
          <w:sz w:val="20"/>
          <w:szCs w:val="20"/>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202"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$165 million; however the Company's current estimate of the amount of expenditures (principally in the form of capital expenditures) that will be made by the affiliate necessary to comply with the performance requirements will not exceed $50 million.</w:t>
      </w:r>
    </w:p>
    <w:p>
      <w:pPr>
        <w:spacing w:after="0" w:line="200" w:lineRule="exact"/>
        <w:rPr>
          <w:sz w:val="20"/>
          <w:szCs w:val="20"/>
          <w:color w:val="auto"/>
        </w:rPr>
      </w:pPr>
    </w:p>
    <w:p>
      <w:pPr>
        <w:spacing w:after="0" w:line="380"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719"/>
          </w:cols>
          <w:pgMar w:left="740" w:top="881" w:right="1440" w:bottom="1440" w:gutter="0" w:footer="0" w:header="0"/>
          <w:type w:val="continuous"/>
        </w:sectPr>
      </w:pPr>
    </w:p>
    <w:bookmarkStart w:id="19" w:name="page20"/>
    <w:bookmarkEnd w:id="19"/>
    <w:p>
      <w:pPr>
        <w:jc w:val="center"/>
        <w:ind w:right="30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3000"/>
        <w:spacing w:after="0"/>
        <w:rPr>
          <w:sz w:val="20"/>
          <w:szCs w:val="20"/>
          <w:color w:val="auto"/>
        </w:rPr>
      </w:pPr>
      <w:r>
        <w:rPr>
          <w:rFonts w:ascii="Courier New" w:cs="Courier New" w:eastAsia="Courier New" w:hAnsi="Courier New"/>
          <w:sz w:val="17"/>
          <w:szCs w:val="17"/>
          <w:color w:val="auto"/>
        </w:rPr>
        <w:t>FORM 10-Q</w:t>
      </w:r>
    </w:p>
    <w:p>
      <w:pPr>
        <w:jc w:val="center"/>
        <w:ind w:right="3100"/>
        <w:spacing w:after="0"/>
        <w:rPr>
          <w:sz w:val="20"/>
          <w:szCs w:val="20"/>
          <w:color w:val="auto"/>
        </w:rPr>
      </w:pPr>
      <w:r>
        <w:rPr>
          <w:rFonts w:ascii="Courier New" w:cs="Courier New" w:eastAsia="Courier New" w:hAnsi="Courier New"/>
          <w:sz w:val="17"/>
          <w:szCs w:val="17"/>
          <w:color w:val="auto"/>
        </w:rPr>
        <w:t>QUARTER ENDED MARCH 31, 2003</w:t>
      </w:r>
    </w:p>
    <w:p>
      <w:pPr>
        <w:jc w:val="center"/>
        <w:ind w:right="310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3000"/>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hanging="497"/>
        <w:spacing w:after="0"/>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BY BUSINESS SEGMENT</w:t>
      </w:r>
    </w:p>
    <w:p>
      <w:pPr>
        <w:spacing w:after="0" w:line="198" w:lineRule="exact"/>
        <w:rPr>
          <w:rFonts w:ascii="Courier New" w:cs="Courier New" w:eastAsia="Courier New" w:hAnsi="Courier New"/>
          <w:sz w:val="17"/>
          <w:szCs w:val="17"/>
          <w:color w:val="auto"/>
        </w:rPr>
      </w:pPr>
    </w:p>
    <w:p>
      <w:pPr>
        <w:jc w:val="both"/>
        <w:ind w:left="500" w:right="3100"/>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before depreciation and amortization are not separately evaluated by the Company's management on a segment basis (in millions).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Corporate and</w:t>
            </w:r>
          </w:p>
        </w:tc>
        <w:tc>
          <w:tcPr>
            <w:tcW w:w="1040" w:type="dxa"/>
            <w:vAlign w:val="bottom"/>
          </w:tcPr>
          <w:p>
            <w:pPr>
              <w:spacing w:after="0"/>
              <w:rPr>
                <w:sz w:val="16"/>
                <w:szCs w:val="16"/>
                <w:color w:val="auto"/>
              </w:rPr>
            </w:pPr>
          </w:p>
        </w:tc>
      </w:tr>
      <w:tr>
        <w:trPr>
          <w:trHeight w:val="193"/>
        </w:trPr>
        <w:tc>
          <w:tcPr>
            <w:tcW w:w="556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Cable</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Commerce</w:t>
            </w:r>
          </w:p>
        </w:tc>
        <w:tc>
          <w:tcPr>
            <w:tcW w:w="1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Other (1)</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556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Three Months Ended March 31, 2003</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Revenues (2).........................................</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$1,645</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$1,062</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$230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$2,937</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and amortization (3)............................</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675</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211</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892</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299</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380</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376</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180</w:t>
            </w:r>
          </w:p>
        </w:tc>
        <w:tc>
          <w:tcPr>
            <w:tcW w:w="1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512</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139</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172</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335</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354</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Three Months Ended March 31, 2002</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Revenues (2).........................................</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$1,469</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$988</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$210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$2,667</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and amortization (3)............................</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597</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192</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808</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293</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27</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387</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304</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165</w:t>
            </w:r>
          </w:p>
        </w:tc>
        <w:tc>
          <w:tcPr>
            <w:tcW w:w="1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421</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146</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187</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358</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32</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399</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As of March 31, 2003</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$29,006</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$3,083</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$4,003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$36,092</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7,103</w:t>
            </w:r>
          </w:p>
        </w:tc>
        <w:tc>
          <w:tcPr>
            <w:tcW w:w="1360" w:type="dxa"/>
            <w:vAlign w:val="bottom"/>
          </w:tcPr>
          <w:p>
            <w:pPr>
              <w:spacing w:after="0"/>
              <w:rPr>
                <w:sz w:val="16"/>
                <w:szCs w:val="16"/>
                <w:color w:val="auto"/>
              </w:rPr>
            </w:pP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1,348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8,451</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As of December 31, 2002</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$29,844</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$2,845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$35,689</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7,908</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w:t>
            </w:r>
          </w:p>
        </w:tc>
        <w:tc>
          <w:tcPr>
            <w:tcW w:w="1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1,348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9,257</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_______________</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391" w:lineRule="exact"/>
        <w:rPr>
          <w:sz w:val="20"/>
          <w:szCs w:val="20"/>
          <w:color w:val="auto"/>
        </w:rPr>
      </w:pPr>
    </w:p>
    <w:p>
      <w:pPr>
        <w:jc w:val="both"/>
        <w:ind w:left="900" w:right="3100" w:hanging="897"/>
        <w:spacing w:after="0" w:line="255" w:lineRule="auto"/>
        <w:tabs>
          <w:tab w:leader="none" w:pos="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operations and elimination entries related to the segments presented. Corporate and other assets consist primarily of the Company's investments and intangible assets related to the Company's content operations (see Notes 3 and 4).</w:t>
      </w:r>
    </w:p>
    <w:p>
      <w:pPr>
        <w:jc w:val="both"/>
        <w:ind w:left="900" w:right="3100" w:hanging="897"/>
        <w:spacing w:after="0" w:line="255" w:lineRule="auto"/>
        <w:tabs>
          <w:tab w:leader="none" w:pos="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$215 million and $140 million during the 2003 and 2002 interim periods, respectively, of non-US revenues, principally related to the Company's commerce segment. No single customer accounted for a significant amount of the Company's revenues in any period.</w:t>
      </w:r>
    </w:p>
    <w:p>
      <w:pPr>
        <w:jc w:val="both"/>
        <w:ind w:left="900" w:right="3100" w:hanging="897"/>
        <w:spacing w:after="0" w:line="255" w:lineRule="auto"/>
        <w:tabs>
          <w:tab w:leader="none" w:pos="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EBITDA. EBITDA is the measure of profit or loss used to evaluate performance of all of the Company's operating segments and operating units within all of the Company's segments. EBITDA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the Company's businesses and intangible assets recognized in business combinations and is unaffected by the Company's capital structure or investment activities. EBITDA is frequently used as one of the bases for comparing the Company's operating performance with other companies in the Company's industries, although the Company's measure of EBITDA may not be directly comparable to similarly titled measures of other companies. EBITDA should not be considered as a substitute for operating income (loss), net income (loss), net cash provided by operating activities or other measures of performance or liquidity reported in accordance with GAAP.</w:t>
      </w:r>
    </w:p>
    <w:p>
      <w:pPr>
        <w:sectPr>
          <w:pgSz w:w="11900" w:h="16838" w:orient="portrait"/>
          <w:cols w:equalWidth="0" w:num="1">
            <w:col w:w="11120"/>
          </w:cols>
          <w:pgMar w:left="240" w:top="881" w:right="539" w:bottom="356" w:gutter="0" w:footer="0" w:header="0"/>
        </w:sectPr>
      </w:pPr>
    </w:p>
    <w:bookmarkStart w:id="20" w:name="page21"/>
    <w:bookmarkEnd w:id="20"/>
    <w:p>
      <w:pPr>
        <w:ind w:left="2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142" w:right="1440" w:bottom="1440" w:gutter="0" w:footer="0" w:header="0"/>
        </w:sectPr>
      </w:pPr>
    </w:p>
    <w:bookmarkStart w:id="21" w:name="page22"/>
    <w:bookmarkEnd w:id="21"/>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386" w:lineRule="exact"/>
        <w:rPr>
          <w:sz w:val="20"/>
          <w:szCs w:val="20"/>
          <w:color w:val="auto"/>
        </w:rPr>
      </w:pPr>
    </w:p>
    <w:p>
      <w:pPr>
        <w:ind w:left="500" w:hanging="497"/>
        <w:spacing w:after="0"/>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PARTY TRANSACTIONS</w:t>
      </w:r>
    </w:p>
    <w:p>
      <w:pPr>
        <w:spacing w:after="0" w:line="198"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QVC has an affiliation agreement with Comcast Cable Communications Holdings, Inc. ("CCCH"), a wholly owned subsidiary of Comcast, to carry QVC's programming. In return for carrying QVC programming, QVC pays CCCH an allocated portion, based upon market share, of a percentage of net sales of merchandise sold to QVC customers located in CCCH's service area. These amounts, which are included in selling, general and administrative expenses in the Company's consolidated statement of operations, totaled $4 million during the 2003 interim period. Amounts related to a similar affiliation agreement between QVC and Comcast Cable are eliminated in the Company's consolidated financial statements.</w:t>
      </w:r>
    </w:p>
    <w:p>
      <w:pPr>
        <w:spacing w:after="0" w:line="202"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content businesses generate a portion of their revenues through the sale of subscriber services to CCCH under affiliation agreements. These amounts, which are included in service revenues in the Company's consolidated statement of operations, totaled $9 million during the 2003 interim period. Amounts related to similar affiliation agreements between the Company's content businesses and Comcast Cable are eliminated in the Company's consolidated financial statements.</w:t>
      </w:r>
    </w:p>
    <w:p>
      <w:pPr>
        <w:spacing w:after="0" w:line="199" w:lineRule="exact"/>
        <w:rPr>
          <w:rFonts w:ascii="Courier New" w:cs="Courier New" w:eastAsia="Courier New" w:hAnsi="Courier New"/>
          <w:sz w:val="17"/>
          <w:szCs w:val="17"/>
          <w:color w:val="auto"/>
        </w:rPr>
      </w:pPr>
    </w:p>
    <w:p>
      <w:pPr>
        <w:jc w:val="both"/>
        <w:ind w:left="500"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Effective January 1, 2003, Comcast has entered into management agreements with the Company's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which are included in selling, general and administrative expenses in the Company's consolidated statement of operations, totaled $37 million during the 2003 interim period. During the 2002 interim period, similar management agreements existed between Comcast Cable and its subsidiaries. Accordingly, amounts related to those agreements were eliminated in the Company's consolidated financial statements during the 2002 interim period.</w:t>
      </w:r>
    </w:p>
    <w:p>
      <w:pPr>
        <w:spacing w:after="0" w:line="194"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January 1, 2003, Comcast Cable reimburses Comcast Cable Communications Management, LLC ("CCCM"), a wholly owned subsidiary of Comcast but not of the Company, for certain costs under a cost sharing agreement. These charges, which are included in selling, general and administrative expenses in the Company's consolidated statement of operations, totaled $33 million during the 2003 interim period. During the 2002 interim period, a similar cost sharing agreement existed between Comcast Cable and its subsidiaries. Accordingly, amounts related to that agreement were eliminated in the Company's consolidated financial statements during the 2002 interim period.</w:t>
      </w:r>
    </w:p>
    <w:p>
      <w:pPr>
        <w:spacing w:after="0" w:line="202" w:lineRule="exact"/>
        <w:rPr>
          <w:rFonts w:ascii="Courier New" w:cs="Courier New" w:eastAsia="Courier New" w:hAnsi="Courier New"/>
          <w:sz w:val="17"/>
          <w:szCs w:val="17"/>
          <w:color w:val="auto"/>
        </w:rPr>
      </w:pPr>
    </w:p>
    <w:p>
      <w:pPr>
        <w:jc w:val="both"/>
        <w:ind w:left="500" w:right="219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Effective upon the closing of Comcast's acquisition of Broadband on November 18, 2002, the Company purchases certain other services, including insurance and employee benefits, from Comcast under cost sharing agreements on terms that reflect Comcast's actual cost. These charges, which are included in selling, general and administrative expenses in the Company's consolidated statement of operations, totaled $38 million during the 2003 interim period. During the 2002 interim period, similar cost sharing agreements existed between Comcast Holdings and Comcast Cable. Accordingly, amounts related to those agreements were eliminated in the Company's consolidated financial statements during the 2002 interim period.</w:t>
      </w:r>
    </w:p>
    <w:p>
      <w:pPr>
        <w:spacing w:after="0" w:line="186"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Financial Agency Corporation ("CFAC"), an indirect wholly owned subsidiary of the Company, provides cash management services to Comcast and CCCH. Under this arrangement, Comcast's and CCCH's cash receipts are deposited with and held by CFAC, as custodian and agent, which invests and disburses such funds at the direction of the Company. Interest income related to cash deposited by Comcast and CCCH in CFAC was not significant during the 2003 interim period.</w:t>
      </w:r>
    </w:p>
    <w:p>
      <w:pPr>
        <w:spacing w:after="0" w:line="199" w:lineRule="exact"/>
        <w:rPr>
          <w:rFonts w:ascii="Courier New" w:cs="Courier New" w:eastAsia="Courier New" w:hAnsi="Courier New"/>
          <w:sz w:val="17"/>
          <w:szCs w:val="17"/>
          <w:color w:val="auto"/>
        </w:rPr>
      </w:pPr>
    </w:p>
    <w:p>
      <w:pPr>
        <w:jc w:val="both"/>
        <w:ind w:left="500" w:right="219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Current due to affiliates in the Company's consolidated balance sheet primarily consists of amounts due to Comcast and its affiliates under the management and cost sharing agreements described above and amounts payable to Comcast and its affiliates as reimbursements for costs incurred, in the ordinary course of business, by such affiliates on behalf of the Company.</w:t>
      </w:r>
    </w:p>
    <w:p>
      <w:pPr>
        <w:spacing w:after="0" w:line="37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881" w:right="1440" w:bottom="166" w:gutter="0" w:footer="0" w:header="0"/>
        </w:sectPr>
      </w:pPr>
    </w:p>
    <w:bookmarkStart w:id="22" w:name="page23"/>
    <w:bookmarkEnd w:id="22"/>
    <w:p>
      <w:pPr>
        <w:jc w:val="center"/>
        <w:ind w:right="25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599"/>
        <w:spacing w:after="0"/>
        <w:rPr>
          <w:sz w:val="20"/>
          <w:szCs w:val="20"/>
          <w:color w:val="auto"/>
        </w:rPr>
      </w:pPr>
      <w:r>
        <w:rPr>
          <w:rFonts w:ascii="Courier New" w:cs="Courier New" w:eastAsia="Courier New" w:hAnsi="Courier New"/>
          <w:sz w:val="17"/>
          <w:szCs w:val="17"/>
          <w:color w:val="auto"/>
        </w:rPr>
        <w:t>FORM 10-Q</w:t>
      </w:r>
    </w:p>
    <w:p>
      <w:pPr>
        <w:jc w:val="center"/>
        <w:ind w:right="2699"/>
        <w:spacing w:after="0"/>
        <w:rPr>
          <w:sz w:val="20"/>
          <w:szCs w:val="20"/>
          <w:color w:val="auto"/>
        </w:rPr>
      </w:pPr>
      <w:r>
        <w:rPr>
          <w:rFonts w:ascii="Courier New" w:cs="Courier New" w:eastAsia="Courier New" w:hAnsi="Courier New"/>
          <w:sz w:val="17"/>
          <w:szCs w:val="17"/>
          <w:color w:val="auto"/>
        </w:rPr>
        <w:t>QUARTER ENDED MARCH 31, 2003</w:t>
      </w:r>
    </w:p>
    <w:p>
      <w:pPr>
        <w:jc w:val="center"/>
        <w:ind w:right="2699"/>
        <w:spacing w:after="0"/>
        <w:rPr>
          <w:sz w:val="20"/>
          <w:szCs w:val="20"/>
          <w:color w:val="auto"/>
        </w:rPr>
      </w:pPr>
      <w:r>
        <w:rPr>
          <w:rFonts w:ascii="Courier New" w:cs="Courier New" w:eastAsia="Courier New" w:hAnsi="Courier New"/>
          <w:sz w:val="17"/>
          <w:szCs w:val="17"/>
          <w:color w:val="auto"/>
        </w:rPr>
        <w:t>NOTES TO CONDENSED CONSOLIDATED FINANCIAL STATEMENTS - CONCLUDED</w:t>
      </w:r>
    </w:p>
    <w:p>
      <w:pPr>
        <w:jc w:val="center"/>
        <w:ind w:right="2599"/>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right="2199"/>
        <w:spacing w:after="0" w:line="255" w:lineRule="auto"/>
        <w:rPr>
          <w:sz w:val="20"/>
          <w:szCs w:val="20"/>
          <w:color w:val="auto"/>
        </w:rPr>
      </w:pPr>
      <w:r>
        <w:rPr>
          <w:rFonts w:ascii="Courier New" w:cs="Courier New" w:eastAsia="Courier New" w:hAnsi="Courier New"/>
          <w:sz w:val="16"/>
          <w:szCs w:val="16"/>
          <w:color w:val="auto"/>
        </w:rPr>
        <w:t>As of March 31, 2003 and December 31, 2002, notes receivable from affiliate consist of an aggregate of $351 million and $191 million principal amount, respectively, of notes receivable from Comcast. The notes receivable bear interest at rates ranging from 5.25% to 7.5% and are due between 2012 and 2013. As of March 31, 2003 and December 31, 2002, notes payable to affiliates consist of an aggregate of $451 million and $22 million principal amount, respectively, of notes payable to Comcast and a subsidiary of CCCH. The notes payable bear interest at rates ranging from 5.25% to 7.5% and are due between 2012 and 2013. Interest relating to such notes as of March 31, 2003 and December 31, 2002 was not significant and is included in due to affiliates in the Company's consolidated balance sheet.</w:t>
      </w:r>
    </w:p>
    <w:p>
      <w:pPr>
        <w:spacing w:after="0" w:line="38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9719"/>
          </w:cols>
          <w:pgMar w:left="740" w:top="881" w:right="1440" w:bottom="1440" w:gutter="0" w:footer="0" w:header="0"/>
        </w:sectPr>
      </w:pPr>
    </w:p>
    <w:bookmarkStart w:id="23" w:name="page24"/>
    <w:bookmarkEnd w:id="23"/>
    <w:p>
      <w:pPr>
        <w:jc w:val="center"/>
        <w:ind w:right="29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900"/>
        <w:spacing w:after="0"/>
        <w:rPr>
          <w:sz w:val="20"/>
          <w:szCs w:val="20"/>
          <w:color w:val="auto"/>
        </w:rPr>
      </w:pPr>
      <w:r>
        <w:rPr>
          <w:rFonts w:ascii="Courier New" w:cs="Courier New" w:eastAsia="Courier New" w:hAnsi="Courier New"/>
          <w:sz w:val="17"/>
          <w:szCs w:val="17"/>
          <w:color w:val="auto"/>
        </w:rPr>
        <w:t>FORM 10-Q</w:t>
      </w:r>
    </w:p>
    <w:p>
      <w:pPr>
        <w:jc w:val="center"/>
        <w:ind w:right="3000"/>
        <w:spacing w:after="0"/>
        <w:rPr>
          <w:sz w:val="20"/>
          <w:szCs w:val="20"/>
          <w:color w:val="auto"/>
        </w:rPr>
      </w:pPr>
      <w:r>
        <w:rPr>
          <w:rFonts w:ascii="Courier New" w:cs="Courier New" w:eastAsia="Courier New" w:hAnsi="Courier New"/>
          <w:sz w:val="17"/>
          <w:szCs w:val="17"/>
          <w:color w:val="auto"/>
        </w:rPr>
        <w:t>QUARTER ENDED MARCH 31, 2003</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MANAGEMENT'S DISCUSSION AND ANALYSIS OF FINANCIAL CONDITION AND RESULTS</w:t>
      </w:r>
    </w:p>
    <w:p>
      <w:pPr>
        <w:ind w:left="800"/>
        <w:spacing w:after="0"/>
        <w:rPr>
          <w:sz w:val="20"/>
          <w:szCs w:val="20"/>
          <w:color w:val="auto"/>
        </w:rPr>
      </w:pPr>
      <w:r>
        <w:rPr>
          <w:rFonts w:ascii="Courier New" w:cs="Courier New" w:eastAsia="Courier New" w:hAnsi="Courier New"/>
          <w:sz w:val="17"/>
          <w:szCs w:val="17"/>
          <w:color w:val="auto"/>
        </w:rPr>
        <w:t>OF OPERATIONS</w:t>
      </w:r>
    </w:p>
    <w:p>
      <w:pPr>
        <w:spacing w:after="0" w:line="198" w:lineRule="exact"/>
        <w:rPr>
          <w:sz w:val="20"/>
          <w:szCs w:val="20"/>
          <w:color w:val="auto"/>
        </w:rPr>
      </w:pPr>
    </w:p>
    <w:p>
      <w:pPr>
        <w:jc w:val="both"/>
        <w:ind w:right="3000" w:firstLine="501"/>
        <w:spacing w:after="0" w:line="236" w:lineRule="auto"/>
        <w:rPr>
          <w:sz w:val="20"/>
          <w:szCs w:val="20"/>
          <w:color w:val="auto"/>
        </w:rPr>
      </w:pPr>
      <w:r>
        <w:rPr>
          <w:rFonts w:ascii="Courier New" w:cs="Courier New" w:eastAsia="Courier New" w:hAnsi="Courier New"/>
          <w:sz w:val="17"/>
          <w:szCs w:val="17"/>
          <w:color w:val="auto"/>
        </w:rPr>
        <w:t>Information for this item is omitted pursuant to SEC General Instruction H to Form 10-Q, except as noted below.</w:t>
      </w:r>
    </w:p>
    <w:p>
      <w:pPr>
        <w:spacing w:after="0" w:line="199" w:lineRule="exact"/>
        <w:rPr>
          <w:sz w:val="20"/>
          <w:szCs w:val="20"/>
          <w:color w:val="auto"/>
        </w:rPr>
      </w:pPr>
    </w:p>
    <w:p>
      <w:pPr>
        <w:jc w:val="both"/>
        <w:ind w:right="3000" w:firstLine="501"/>
        <w:spacing w:after="0" w:line="236" w:lineRule="auto"/>
        <w:rPr>
          <w:sz w:val="20"/>
          <w:szCs w:val="20"/>
          <w:color w:val="auto"/>
        </w:rPr>
      </w:pPr>
      <w:r>
        <w:rPr>
          <w:rFonts w:ascii="Courier New" w:cs="Courier New" w:eastAsia="Courier New" w:hAnsi="Courier New"/>
          <w:sz w:val="17"/>
          <w:szCs w:val="17"/>
          <w:color w:val="auto"/>
        </w:rPr>
        <w:t>We are an indirect wholly owned subsidiary of Comcast Corporation ("Comcast").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8" w:lineRule="exact"/>
        <w:rPr>
          <w:sz w:val="20"/>
          <w:szCs w:val="20"/>
          <w:color w:val="auto"/>
        </w:rPr>
      </w:pPr>
    </w:p>
    <w:p>
      <w:pPr>
        <w:jc w:val="both"/>
        <w:ind w:right="3000" w:firstLine="501"/>
        <w:spacing w:after="0" w:line="256" w:lineRule="auto"/>
        <w:rPr>
          <w:sz w:val="20"/>
          <w:szCs w:val="20"/>
          <w:color w:val="auto"/>
        </w:rPr>
      </w:pPr>
      <w:r>
        <w:rPr>
          <w:rFonts w:ascii="Courier New" w:cs="Courier New" w:eastAsia="Courier New" w:hAnsi="Courier New"/>
          <w:sz w:val="16"/>
          <w:szCs w:val="16"/>
          <w:color w:val="auto"/>
        </w:rPr>
        <w:t>We have grown significantly in recent years through both strategic acquisitions and growth in our existing businesses. 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89" w:lineRule="exact"/>
        <w:rPr>
          <w:sz w:val="20"/>
          <w:szCs w:val="20"/>
          <w:color w:val="auto"/>
        </w:rPr>
      </w:pPr>
    </w:p>
    <w:p>
      <w:pPr>
        <w:jc w:val="both"/>
        <w:ind w:right="3000" w:firstLine="501"/>
        <w:spacing w:after="0" w:line="236" w:lineRule="auto"/>
        <w:rPr>
          <w:sz w:val="20"/>
          <w:szCs w:val="20"/>
          <w:color w:val="auto"/>
        </w:rPr>
      </w:pPr>
      <w:r>
        <w:rPr>
          <w:rFonts w:ascii="Courier New" w:cs="Courier New" w:eastAsia="Courier New" w:hAnsi="Courier New"/>
          <w:sz w:val="17"/>
          <w:szCs w:val="17"/>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16"/>
                <w:szCs w:val="16"/>
                <w:color w:val="auto"/>
              </w:rPr>
            </w:pPr>
          </w:p>
        </w:tc>
        <w:tc>
          <w:tcPr>
            <w:tcW w:w="24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Three Months Ended</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6260" w:type="dxa"/>
            <w:vAlign w:val="bottom"/>
          </w:tcPr>
          <w:p>
            <w:pPr>
              <w:spacing w:after="0"/>
              <w:rPr>
                <w:sz w:val="16"/>
                <w:szCs w:val="16"/>
                <w:color w:val="auto"/>
              </w:rPr>
            </w:pPr>
          </w:p>
        </w:tc>
        <w:tc>
          <w:tcPr>
            <w:tcW w:w="246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March 31,</w:t>
            </w:r>
          </w:p>
        </w:tc>
        <w:tc>
          <w:tcPr>
            <w:tcW w:w="2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Increase / (Decrease)</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2003</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2002</w:t>
            </w:r>
          </w:p>
        </w:tc>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2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$2,937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$2,667</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$270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Cost of goods sold from electronic retailing</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629</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44</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Operating, selling, general and administrative expenses</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1,372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1,230</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142</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421</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21.6</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Investment loss, net.........................................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(85.9)</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Equity in net losses of affiliates...........................</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160.0</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Other expense................................................</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(95.7)</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118</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Minority interest............................................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25.0</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$204</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 and amortization (1)</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$808</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10.4%</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____________</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98" w:lineRule="exact"/>
        <w:rPr>
          <w:sz w:val="20"/>
          <w:szCs w:val="20"/>
          <w:color w:val="auto"/>
        </w:rPr>
      </w:pPr>
    </w:p>
    <w:p>
      <w:pPr>
        <w:jc w:val="both"/>
        <w:ind w:left="900" w:right="3000" w:hanging="897"/>
        <w:spacing w:after="0" w:line="255" w:lineRule="auto"/>
        <w:tabs>
          <w:tab w:leader="none" w:pos="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EBITDA. EBITDA is the measure of profit or loss used to evaluate performance of all of our operating segments and operating units within all of our segments. EBITDA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EBITDA is frequently used as one of the bases for comparing our operating performance with other companies in our industries, although our measure of EBITDA may not be directly comparable to similarly titled measures of other companies. Because we use EBITDA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Therefore, we believe our measure of EBITDA is not a Non-GAAP financial measure as contemplated by Regulation G adopted by the Securities and Exchange Commission. EBITDA should not be considered as a substitute for operating income (loss), net income (loss), net cash provided by operating activities or other measures of performance or liquidity reported in accordance with GAAP.</w:t>
      </w:r>
    </w:p>
    <w:p>
      <w:pPr>
        <w:sectPr>
          <w:pgSz w:w="11900" w:h="16838" w:orient="portrait"/>
          <w:cols w:equalWidth="0" w:num="1">
            <w:col w:w="11020"/>
          </w:cols>
          <w:pgMar w:left="240" w:top="881" w:right="639" w:bottom="743" w:gutter="0" w:footer="0" w:header="0"/>
        </w:sectPr>
      </w:pPr>
    </w:p>
    <w:bookmarkStart w:id="24" w:name="page25"/>
    <w:bookmarkEnd w:id="24"/>
    <w:p>
      <w:pPr>
        <w:ind w:left="2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142" w:right="1440" w:bottom="1440" w:gutter="0" w:footer="0" w:header="0"/>
        </w:sectPr>
      </w:pPr>
    </w:p>
    <w:bookmarkStart w:id="25" w:name="page26"/>
    <w:bookmarkEnd w:id="25"/>
    <w:p>
      <w:pPr>
        <w:jc w:val="center"/>
        <w:ind w:right="5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500"/>
        <w:spacing w:after="0"/>
        <w:rPr>
          <w:sz w:val="20"/>
          <w:szCs w:val="20"/>
          <w:color w:val="auto"/>
        </w:rPr>
      </w:pPr>
      <w:r>
        <w:rPr>
          <w:rFonts w:ascii="Courier New" w:cs="Courier New" w:eastAsia="Courier New" w:hAnsi="Courier New"/>
          <w:sz w:val="17"/>
          <w:szCs w:val="17"/>
          <w:color w:val="auto"/>
        </w:rPr>
        <w:t>FORM 10-Q</w:t>
      </w:r>
    </w:p>
    <w:p>
      <w:pPr>
        <w:jc w:val="center"/>
        <w:ind w:right="600"/>
        <w:spacing w:after="0"/>
        <w:rPr>
          <w:sz w:val="20"/>
          <w:szCs w:val="20"/>
          <w:color w:val="auto"/>
        </w:rPr>
      </w:pPr>
      <w:r>
        <w:rPr>
          <w:rFonts w:ascii="Courier New" w:cs="Courier New" w:eastAsia="Courier New" w:hAnsi="Courier New"/>
          <w:sz w:val="17"/>
          <w:szCs w:val="17"/>
          <w:color w:val="auto"/>
        </w:rPr>
        <w:t>QUARTER ENDED MARCH 31, 2003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Operating Results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Revenues</w:t>
      </w:r>
    </w:p>
    <w:p>
      <w:pPr>
        <w:spacing w:after="0" w:line="198" w:lineRule="exact"/>
        <w:rPr>
          <w:sz w:val="20"/>
          <w:szCs w:val="20"/>
          <w:color w:val="auto"/>
        </w:rPr>
      </w:pPr>
    </w:p>
    <w:p>
      <w:pPr>
        <w:jc w:val="both"/>
        <w:ind w:right="600" w:firstLine="501"/>
        <w:spacing w:after="0" w:line="256" w:lineRule="auto"/>
        <w:rPr>
          <w:sz w:val="20"/>
          <w:szCs w:val="20"/>
          <w:color w:val="auto"/>
        </w:rPr>
      </w:pPr>
      <w:r>
        <w:rPr>
          <w:rFonts w:ascii="Courier New" w:cs="Courier New" w:eastAsia="Courier New" w:hAnsi="Courier New"/>
          <w:sz w:val="16"/>
          <w:szCs w:val="16"/>
          <w:color w:val="auto"/>
        </w:rPr>
        <w:t>The increase in consolidated revenues for the interim period from 2002 to 2003 is primarily attributable to an increase in service revenues in our Cable segment and, to a lesser extent, to an increase in net sales in our Commerce segment (see "Operating Results by Business Segment" below). The remaining increase is primarily the result of increases in revenues from our content operations, principally due to increases in distribution of our cable channels.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Cost of goods sold from electronic retailing</w:t>
      </w:r>
    </w:p>
    <w:p>
      <w:pPr>
        <w:spacing w:after="0" w:line="198" w:lineRule="exact"/>
        <w:rPr>
          <w:sz w:val="20"/>
          <w:szCs w:val="20"/>
          <w:color w:val="auto"/>
        </w:rPr>
      </w:pPr>
    </w:p>
    <w:p>
      <w:pPr>
        <w:jc w:val="both"/>
        <w:ind w:right="600" w:firstLine="501"/>
        <w:spacing w:after="0" w:line="237" w:lineRule="auto"/>
        <w:rPr>
          <w:sz w:val="20"/>
          <w:szCs w:val="20"/>
          <w:color w:val="auto"/>
        </w:rPr>
      </w:pPr>
      <w:r>
        <w:rPr>
          <w:rFonts w:ascii="Courier New" w:cs="Courier New" w:eastAsia="Courier New" w:hAnsi="Courier New"/>
          <w:sz w:val="17"/>
          <w:szCs w:val="17"/>
          <w:color w:val="auto"/>
        </w:rPr>
        <w:t>Refer to the "Commerce" section of "Operating Results by Business Segment" below for a discussion of the increase in cost of goods sold from electronic retailing.</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Operating, selling, general and administrative expenses</w:t>
      </w:r>
    </w:p>
    <w:p>
      <w:pPr>
        <w:spacing w:after="0" w:line="198" w:lineRule="exact"/>
        <w:rPr>
          <w:sz w:val="20"/>
          <w:szCs w:val="20"/>
          <w:color w:val="auto"/>
        </w:rPr>
      </w:pPr>
    </w:p>
    <w:p>
      <w:pPr>
        <w:jc w:val="both"/>
        <w:ind w:right="600" w:firstLine="501"/>
        <w:spacing w:after="0" w:line="239" w:lineRule="auto"/>
        <w:rPr>
          <w:sz w:val="20"/>
          <w:szCs w:val="20"/>
          <w:color w:val="auto"/>
        </w:rPr>
      </w:pPr>
      <w:r>
        <w:rPr>
          <w:rFonts w:ascii="Courier New" w:cs="Courier New" w:eastAsia="Courier New" w:hAnsi="Courier New"/>
          <w:sz w:val="17"/>
          <w:szCs w:val="17"/>
          <w:color w:val="auto"/>
        </w:rPr>
        <w:t>The increase in consolidated operating, selling, general and administrative expenses for the interim period from 2002 to 2003 is primarily attributable to increases in expenses in our Cable segment and, to a lesser extent, to increases in expenses in our Commerce segment (see "Operating Results by Business Segment" below). The remaining increases are primarily the result of increased expenses in our content operations, principally due to growth in our historical operations.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Results by Business Segment</w:t>
      </w:r>
    </w:p>
    <w:p>
      <w:pPr>
        <w:spacing w:after="0" w:line="198" w:lineRule="exact"/>
        <w:rPr>
          <w:sz w:val="20"/>
          <w:szCs w:val="20"/>
          <w:color w:val="auto"/>
        </w:rPr>
      </w:pPr>
    </w:p>
    <w:p>
      <w:pPr>
        <w:jc w:val="both"/>
        <w:ind w:right="600" w:firstLine="501"/>
        <w:spacing w:after="0" w:line="238" w:lineRule="auto"/>
        <w:rPr>
          <w:sz w:val="20"/>
          <w:szCs w:val="20"/>
          <w:color w:val="auto"/>
        </w:rPr>
      </w:pPr>
      <w:r>
        <w:rPr>
          <w:rFonts w:ascii="Courier New" w:cs="Courier New" w:eastAsia="Courier New" w:hAnsi="Courier New"/>
          <w:sz w:val="17"/>
          <w:szCs w:val="17"/>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9 to our financial statements included in Item 1 for a summary of our financial data by business segment.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w:t>
      </w:r>
    </w:p>
    <w:p>
      <w:pPr>
        <w:spacing w:after="0" w:line="198" w:lineRule="exact"/>
        <w:rPr>
          <w:sz w:val="20"/>
          <w:szCs w:val="20"/>
          <w:color w:val="auto"/>
        </w:rPr>
      </w:pPr>
    </w:p>
    <w:p>
      <w:pPr>
        <w:jc w:val="both"/>
        <w:ind w:right="600" w:firstLine="501"/>
        <w:spacing w:after="0" w:line="236" w:lineRule="auto"/>
        <w:rPr>
          <w:sz w:val="20"/>
          <w:szCs w:val="20"/>
          <w:color w:val="auto"/>
        </w:rPr>
      </w:pPr>
      <w:r>
        <w:rPr>
          <w:rFonts w:ascii="Courier New" w:cs="Courier New" w:eastAsia="Courier New" w:hAnsi="Courier New"/>
          <w:sz w:val="17"/>
          <w:szCs w:val="17"/>
          <w:color w:val="auto"/>
        </w:rPr>
        <w:t>The following table presents financial information for our Cable segment (dollars in millions).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2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6320" w:type="dxa"/>
            <w:vAlign w:val="bottom"/>
          </w:tcPr>
          <w:p>
            <w:pPr>
              <w:spacing w:after="0"/>
              <w:rPr>
                <w:sz w:val="16"/>
                <w:szCs w:val="16"/>
                <w:color w:val="auto"/>
              </w:rPr>
            </w:pPr>
          </w:p>
        </w:tc>
        <w:tc>
          <w:tcPr>
            <w:tcW w:w="23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632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2003</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632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tcPr>
          <w:p>
            <w:pPr>
              <w:spacing w:after="0"/>
              <w:rPr>
                <w:sz w:val="20"/>
                <w:szCs w:val="20"/>
                <w:color w:val="auto"/>
              </w:rPr>
            </w:pPr>
            <w:r>
              <w:rPr>
                <w:rFonts w:ascii="Courier New" w:cs="Courier New" w:eastAsia="Courier New" w:hAnsi="Courier New"/>
                <w:sz w:val="17"/>
                <w:szCs w:val="17"/>
                <w:color w:val="auto"/>
              </w:rPr>
              <w:t>Video........................................................</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$1,230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$1,150</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High-speed Internet..........................................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119</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Advertising sales............................................</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68</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Franchise fees...............................................</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r>
      <w:tr>
        <w:trPr>
          <w:trHeight w:val="193"/>
        </w:trPr>
        <w:tc>
          <w:tcPr>
            <w:tcW w:w="632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Revenues................................................</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1,645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1,469</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Operating, selling, general and administrative expenses .....</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970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872</w:t>
            </w:r>
          </w:p>
        </w:tc>
      </w:tr>
      <w:tr>
        <w:trPr>
          <w:trHeight w:val="193"/>
        </w:trPr>
        <w:tc>
          <w:tcPr>
            <w:tcW w:w="632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and amortization (a)....................................</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$675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$597</w:t>
            </w:r>
          </w:p>
        </w:tc>
      </w:tr>
      <w:tr>
        <w:trPr>
          <w:trHeight w:val="193"/>
        </w:trPr>
        <w:tc>
          <w:tcPr>
            <w:tcW w:w="632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_______________</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See footnote (1) on page 17.</w:t>
      </w:r>
    </w:p>
    <w:p>
      <w:pPr>
        <w:spacing w:after="0" w:line="200" w:lineRule="exact"/>
        <w:rPr>
          <w:sz w:val="20"/>
          <w:szCs w:val="20"/>
          <w:color w:val="auto"/>
        </w:rPr>
      </w:pPr>
    </w:p>
    <w:p>
      <w:pPr>
        <w:spacing w:after="0" w:line="384" w:lineRule="exact"/>
        <w:rPr>
          <w:sz w:val="20"/>
          <w:szCs w:val="20"/>
          <w:color w:val="auto"/>
        </w:rPr>
      </w:pPr>
    </w:p>
    <w:p>
      <w:pPr>
        <w:jc w:val="both"/>
        <w:ind w:right="600" w:firstLine="501"/>
        <w:spacing w:after="0" w:line="256" w:lineRule="auto"/>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cable services. The $80 million increase in video revenues for the interim period from 2002 to 2003 is attributable to the effects of subscriber growth, driven principally by growth in digital subscribers, and rate increases. From March 31, 2002 to March 31, 2003, we added approximately 466,000 digital subscribers or a 25.1% increase in digital subscribers. During the 2003 interim period, we added approximately 76,000 digital subscribers.</w:t>
      </w:r>
    </w:p>
    <w:p>
      <w:pPr>
        <w:spacing w:after="0" w:line="189" w:lineRule="exact"/>
        <w:rPr>
          <w:sz w:val="20"/>
          <w:szCs w:val="20"/>
          <w:color w:val="auto"/>
        </w:rPr>
      </w:pPr>
    </w:p>
    <w:p>
      <w:pPr>
        <w:jc w:val="both"/>
        <w:ind w:right="600" w:firstLine="501"/>
        <w:spacing w:after="0" w:line="238" w:lineRule="auto"/>
        <w:rPr>
          <w:sz w:val="20"/>
          <w:szCs w:val="20"/>
          <w:color w:val="auto"/>
        </w:rPr>
      </w:pPr>
      <w:r>
        <w:rPr>
          <w:rFonts w:ascii="Courier New" w:cs="Courier New" w:eastAsia="Courier New" w:hAnsi="Courier New"/>
          <w:sz w:val="17"/>
          <w:szCs w:val="17"/>
          <w:color w:val="auto"/>
        </w:rPr>
        <w:t>The increase in high-speed Internet revenue for the interim period from 2002 to 2003 is primarily due to growth in high-speed Internet subscribers. From March 31, 2002 to March 31, 2003, we added approximately 678,000 high-speed Internet subscribers or a 65.1%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Increase</w:t>
      </w:r>
    </w:p>
    <w:p>
      <w:pPr>
        <w:ind w:left="1600" w:hanging="1197"/>
        <w:spacing w:after="0"/>
        <w:tabs>
          <w:tab w:leader="none" w:pos="16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spacing w:after="0" w:line="193" w:lineRule="exact"/>
        <w:rPr>
          <w:sz w:val="20"/>
          <w:szCs w:val="20"/>
          <w:color w:val="auto"/>
        </w:rPr>
      </w:pPr>
    </w:p>
    <w:p>
      <w:pPr>
        <w:jc w:val="right"/>
        <w:spacing w:after="0"/>
        <w:tabs>
          <w:tab w:leader="none" w:pos="380" w:val="left"/>
        </w:tabs>
        <w:rPr>
          <w:sz w:val="20"/>
          <w:szCs w:val="20"/>
          <w:color w:val="auto"/>
        </w:rPr>
      </w:pPr>
      <w:r>
        <w:rPr>
          <w:rFonts w:ascii="Courier New" w:cs="Courier New" w:eastAsia="Courier New" w:hAnsi="Courier New"/>
          <w:sz w:val="17"/>
          <w:szCs w:val="17"/>
          <w:color w:val="auto"/>
        </w:rPr>
        <w:t>$80</w:t>
      </w:r>
      <w:r>
        <w:rPr>
          <w:sz w:val="20"/>
          <w:szCs w:val="20"/>
          <w:color w:val="auto"/>
        </w:rPr>
        <w:tab/>
      </w:r>
      <w:r>
        <w:rPr>
          <w:rFonts w:ascii="Courier New" w:cs="Courier New" w:eastAsia="Courier New" w:hAnsi="Courier New"/>
          <w:sz w:val="16"/>
          <w:szCs w:val="16"/>
          <w:color w:val="auto"/>
        </w:rPr>
        <w:t>7.0%</w:t>
      </w:r>
    </w:p>
    <w:p>
      <w:pPr>
        <w:ind w:left="1700" w:hanging="996"/>
        <w:spacing w:after="0"/>
        <w:tabs>
          <w:tab w:leader="none" w:pos="1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71.3</w:t>
      </w:r>
    </w:p>
    <w:p>
      <w:pPr>
        <w:ind w:left="1700" w:hanging="996"/>
        <w:spacing w:after="0"/>
        <w:tabs>
          <w:tab w:leader="none" w:pos="1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13.9</w:t>
      </w:r>
    </w:p>
    <w:p>
      <w:pPr>
        <w:spacing w:after="0" w:line="38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ind w:left="1700" w:hanging="1096"/>
        <w:spacing w:after="0"/>
        <w:tabs>
          <w:tab w:leader="none" w:pos="1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12.0</w:t>
      </w:r>
    </w:p>
    <w:p>
      <w:pPr>
        <w:ind w:left="1700" w:hanging="996"/>
        <w:spacing w:after="0"/>
        <w:tabs>
          <w:tab w:leader="none" w:pos="17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11.3</w:t>
      </w:r>
    </w:p>
    <w:p>
      <w:pPr>
        <w:spacing w:after="0"/>
        <w:tabs>
          <w:tab w:leader="none" w:pos="1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3" w:lineRule="exact"/>
        <w:rPr>
          <w:sz w:val="20"/>
          <w:szCs w:val="20"/>
          <w:color w:val="auto"/>
        </w:rPr>
      </w:pPr>
    </w:p>
    <w:p>
      <w:pPr>
        <w:jc w:val="right"/>
        <w:spacing w:after="0"/>
        <w:tabs>
          <w:tab w:leader="none" w:pos="480" w:val="left"/>
        </w:tabs>
        <w:rPr>
          <w:sz w:val="20"/>
          <w:szCs w:val="20"/>
          <w:color w:val="auto"/>
        </w:rPr>
      </w:pPr>
      <w:r>
        <w:rPr>
          <w:rFonts w:ascii="Courier New" w:cs="Courier New" w:eastAsia="Courier New" w:hAnsi="Courier New"/>
          <w:sz w:val="17"/>
          <w:szCs w:val="17"/>
          <w:color w:val="auto"/>
        </w:rPr>
        <w:t>$78</w:t>
      </w:r>
      <w:r>
        <w:rPr>
          <w:sz w:val="20"/>
          <w:szCs w:val="20"/>
          <w:color w:val="auto"/>
        </w:rPr>
        <w:tab/>
      </w:r>
      <w:r>
        <w:rPr>
          <w:rFonts w:ascii="Courier New" w:cs="Courier New" w:eastAsia="Courier New" w:hAnsi="Courier New"/>
          <w:sz w:val="16"/>
          <w:szCs w:val="16"/>
          <w:color w:val="auto"/>
        </w:rPr>
        <w:t>12.9%</w:t>
      </w:r>
    </w:p>
    <w:p>
      <w:pPr>
        <w:spacing w:after="0"/>
        <w:tabs>
          <w:tab w:leader="none" w:pos="1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38" w:orient="portrait"/>
          <w:cols w:equalWidth="0" w:num="2">
            <w:col w:w="8620" w:space="400"/>
            <w:col w:w="2200"/>
          </w:cols>
          <w:pgMar w:left="240" w:top="881" w:right="439" w:bottom="0" w:gutter="0" w:footer="0" w:header="0"/>
        </w:sectPr>
      </w:pPr>
    </w:p>
    <w:bookmarkStart w:id="26" w:name="page27"/>
    <w:bookmarkEnd w:id="26"/>
    <w:p>
      <w:pPr>
        <w:ind w:left="2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142" w:right="1440" w:bottom="1440" w:gutter="0" w:footer="0" w:header="0"/>
        </w:sectPr>
      </w:pPr>
    </w:p>
    <w:bookmarkStart w:id="27" w:name="page28"/>
    <w:bookmarkEnd w:id="27"/>
    <w:p>
      <w:pPr>
        <w:spacing w:after="0" w:line="46"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3100"/>
        <w:spacing w:after="0"/>
        <w:rPr>
          <w:sz w:val="20"/>
          <w:szCs w:val="20"/>
          <w:color w:val="auto"/>
        </w:rPr>
      </w:pPr>
      <w:r>
        <w:rPr>
          <w:rFonts w:ascii="Courier New" w:cs="Courier New" w:eastAsia="Courier New" w:hAnsi="Courier New"/>
          <w:sz w:val="17"/>
          <w:szCs w:val="17"/>
          <w:color w:val="auto"/>
        </w:rPr>
        <w:t>FORM 10-Q</w:t>
      </w:r>
    </w:p>
    <w:p>
      <w:pPr>
        <w:jc w:val="center"/>
        <w:ind w:right="3200"/>
        <w:spacing w:after="0"/>
        <w:rPr>
          <w:sz w:val="20"/>
          <w:szCs w:val="20"/>
          <w:color w:val="auto"/>
        </w:rPr>
      </w:pPr>
      <w:r>
        <w:rPr>
          <w:rFonts w:ascii="Courier New" w:cs="Courier New" w:eastAsia="Courier New" w:hAnsi="Courier New"/>
          <w:sz w:val="17"/>
          <w:szCs w:val="17"/>
          <w:color w:val="auto"/>
        </w:rPr>
        <w:t>QUARTER ENDED MARCH 31, 2003</w:t>
      </w:r>
    </w:p>
    <w:p>
      <w:pPr>
        <w:spacing w:after="0" w:line="391" w:lineRule="exact"/>
        <w:rPr>
          <w:sz w:val="20"/>
          <w:szCs w:val="20"/>
          <w:color w:val="auto"/>
        </w:rPr>
      </w:pPr>
    </w:p>
    <w:p>
      <w:pPr>
        <w:jc w:val="both"/>
        <w:ind w:right="3200"/>
        <w:spacing w:after="0" w:line="236" w:lineRule="auto"/>
        <w:rPr>
          <w:sz w:val="20"/>
          <w:szCs w:val="20"/>
          <w:color w:val="auto"/>
        </w:rPr>
      </w:pPr>
      <w:r>
        <w:rPr>
          <w:rFonts w:ascii="Courier New" w:cs="Courier New" w:eastAsia="Courier New" w:hAnsi="Courier New"/>
          <w:sz w:val="17"/>
          <w:szCs w:val="17"/>
          <w:color w:val="auto"/>
        </w:rPr>
        <w:t>increase in high-speed Internet subscribers. During the 2003 interim period, we added approximately 192,000 high-speed Internet subscribers.</w:t>
      </w:r>
    </w:p>
    <w:p>
      <w:pPr>
        <w:spacing w:after="0" w:line="199" w:lineRule="exact"/>
        <w:rPr>
          <w:sz w:val="20"/>
          <w:szCs w:val="20"/>
          <w:color w:val="auto"/>
        </w:rPr>
      </w:pPr>
    </w:p>
    <w:p>
      <w:pPr>
        <w:jc w:val="both"/>
        <w:ind w:right="3200" w:firstLine="501"/>
        <w:spacing w:after="0" w:line="237" w:lineRule="auto"/>
        <w:rPr>
          <w:sz w:val="20"/>
          <w:szCs w:val="20"/>
          <w:color w:val="auto"/>
        </w:rPr>
      </w:pPr>
      <w:r>
        <w:rPr>
          <w:rFonts w:ascii="Courier New" w:cs="Courier New" w:eastAsia="Courier New" w:hAnsi="Courier New"/>
          <w:sz w:val="17"/>
          <w:szCs w:val="17"/>
          <w:color w:val="auto"/>
        </w:rPr>
        <w:t>The increase in advertising sales revenue for the interim period from 2002 to 2003 is primarily due to the effects of a stronger advertising market and the continued leveraging of our market-wide fiber interconnects.</w:t>
      </w:r>
    </w:p>
    <w:p>
      <w:pPr>
        <w:spacing w:after="0" w:line="200" w:lineRule="exact"/>
        <w:rPr>
          <w:sz w:val="20"/>
          <w:szCs w:val="20"/>
          <w:color w:val="auto"/>
        </w:rPr>
      </w:pPr>
    </w:p>
    <w:p>
      <w:pPr>
        <w:jc w:val="both"/>
        <w:ind w:right="3200" w:firstLine="501"/>
        <w:spacing w:after="0" w:line="237" w:lineRule="auto"/>
        <w:rPr>
          <w:sz w:val="20"/>
          <w:szCs w:val="20"/>
          <w:color w:val="auto"/>
        </w:rPr>
      </w:pPr>
      <w:r>
        <w:rPr>
          <w:rFonts w:ascii="Courier New" w:cs="Courier New" w:eastAsia="Courier New" w:hAnsi="Courier New"/>
          <w:sz w:val="17"/>
          <w:szCs w:val="17"/>
          <w:color w:val="auto"/>
        </w:rPr>
        <w:t>Other revenue includes phone revenues, installation revenues, guide revenues, commissions from electronic retailing, revenues of our regional sports programming networks and revenue from other product offerings.</w:t>
      </w:r>
    </w:p>
    <w:p>
      <w:pPr>
        <w:spacing w:after="0" w:line="200" w:lineRule="exact"/>
        <w:rPr>
          <w:sz w:val="20"/>
          <w:szCs w:val="20"/>
          <w:color w:val="auto"/>
        </w:rPr>
      </w:pPr>
    </w:p>
    <w:p>
      <w:pPr>
        <w:jc w:val="both"/>
        <w:ind w:right="3200" w:firstLine="501"/>
        <w:spacing w:after="0" w:line="238" w:lineRule="auto"/>
        <w:rPr>
          <w:sz w:val="20"/>
          <w:szCs w:val="20"/>
          <w:color w:val="auto"/>
        </w:rPr>
      </w:pPr>
      <w:r>
        <w:rPr>
          <w:rFonts w:ascii="Courier New" w:cs="Courier New" w:eastAsia="Courier New" w:hAnsi="Courier New"/>
          <w:sz w:val="17"/>
          <w:szCs w:val="17"/>
          <w:color w:val="auto"/>
        </w:rPr>
        <w:t>The increase in operating, selling, general and administrative expense for the interim period from 2002 to 2003 is primarily due to the effects of increases in the costs of cable programming, high-speed Internet subscriber growth, and, to a lesser extent, increases in labor costs and other volume related expenses.</w:t>
      </w:r>
    </w:p>
    <w:p>
      <w:pPr>
        <w:spacing w:after="0" w:line="202" w:lineRule="exact"/>
        <w:rPr>
          <w:sz w:val="20"/>
          <w:szCs w:val="20"/>
          <w:color w:val="auto"/>
        </w:rPr>
      </w:pPr>
    </w:p>
    <w:p>
      <w:pPr>
        <w:jc w:val="both"/>
        <w:ind w:right="3200" w:firstLine="501"/>
        <w:spacing w:after="0" w:line="238" w:lineRule="auto"/>
        <w:rPr>
          <w:sz w:val="20"/>
          <w:szCs w:val="20"/>
          <w:color w:val="auto"/>
        </w:rPr>
      </w:pPr>
      <w:r>
        <w:rPr>
          <w:rFonts w:ascii="Courier New" w:cs="Courier New" w:eastAsia="Courier New" w:hAnsi="Courier New"/>
          <w:sz w:val="17"/>
          <w:szCs w:val="17"/>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Commerce (QVC, Inc. and Subsidiaries)</w:t>
            </w:r>
          </w:p>
        </w:tc>
        <w:tc>
          <w:tcPr>
            <w:tcW w:w="25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Three Months Ended</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spacing w:after="0"/>
              <w:rPr>
                <w:sz w:val="16"/>
                <w:szCs w:val="16"/>
                <w:color w:val="auto"/>
              </w:rPr>
            </w:pPr>
          </w:p>
        </w:tc>
        <w:tc>
          <w:tcPr>
            <w:tcW w:w="256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March 31,</w:t>
            </w:r>
          </w:p>
        </w:tc>
        <w:tc>
          <w:tcPr>
            <w:tcW w:w="234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Increase</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2003</w:t>
            </w: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2002</w:t>
            </w: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tcPr>
          <w:p>
            <w:pPr>
              <w:spacing w:after="0"/>
              <w:rPr>
                <w:sz w:val="20"/>
                <w:szCs w:val="20"/>
                <w:color w:val="auto"/>
              </w:rPr>
            </w:pPr>
            <w:r>
              <w:rPr>
                <w:rFonts w:ascii="Courier New" w:cs="Courier New" w:eastAsia="Courier New" w:hAnsi="Courier New"/>
                <w:sz w:val="17"/>
                <w:szCs w:val="17"/>
                <w:color w:val="auto"/>
              </w:rPr>
              <w:t>Net sales from electronic retailing..........................</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$1,062</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$988</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Cost of goods sold from electronic retailing</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673</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629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Operating, selling, general and administrative</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expenses................................................</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178</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and amortization (a)....................................</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$211</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Gross margin.................................................</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36.6%</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36.4%</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_______________</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See footnote (1) on page 17.</w:t>
      </w:r>
    </w:p>
    <w:p>
      <w:pPr>
        <w:spacing w:after="0" w:line="200" w:lineRule="exact"/>
        <w:rPr>
          <w:sz w:val="20"/>
          <w:szCs w:val="20"/>
          <w:color w:val="auto"/>
        </w:rPr>
      </w:pPr>
    </w:p>
    <w:p>
      <w:pPr>
        <w:spacing w:after="0" w:line="384" w:lineRule="exact"/>
        <w:rPr>
          <w:sz w:val="20"/>
          <w:szCs w:val="20"/>
          <w:color w:val="auto"/>
        </w:rPr>
      </w:pPr>
    </w:p>
    <w:p>
      <w:pPr>
        <w:jc w:val="both"/>
        <w:ind w:right="3200" w:firstLine="501"/>
        <w:spacing w:after="0" w:line="239" w:lineRule="auto"/>
        <w:rPr>
          <w:sz w:val="20"/>
          <w:szCs w:val="20"/>
          <w:color w:val="auto"/>
        </w:rPr>
      </w:pPr>
      <w:r>
        <w:rPr>
          <w:rFonts w:ascii="Courier New" w:cs="Courier New" w:eastAsia="Courier New" w:hAnsi="Courier New"/>
          <w:sz w:val="17"/>
          <w:szCs w:val="17"/>
          <w:color w:val="auto"/>
        </w:rPr>
        <w:t>The $74 million increase in net sales from electronic retailing for the interim period from 2002 to 2003 is attributable to increases in net sales in Germany, Japan, and the United Kingdom, and to the effects of fluctuations in foreign currency exchange rates during the interim periods. Net sales from electronic retailing in the United States for the interim period in 2003 were flat as compared to the prior year period, principally as a result of a decrease in net sales per home. Changes in the average number of homes receiving QVC services and net sales per home as compared to the prior year interim period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8"/>
              </w:rPr>
              <w:t>Three Months Ended</w:t>
            </w:r>
          </w:p>
        </w:tc>
      </w:tr>
      <w:tr>
        <w:trPr>
          <w:trHeight w:val="193"/>
        </w:trPr>
        <w:tc>
          <w:tcPr>
            <w:tcW w:w="52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8"/>
              </w:rPr>
              <w:t>March 31, 2003</w:t>
            </w:r>
          </w:p>
        </w:tc>
      </w:tr>
      <w:tr>
        <w:trPr>
          <w:trHeight w:val="193"/>
        </w:trPr>
        <w:tc>
          <w:tcPr>
            <w:tcW w:w="526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578"/>
        </w:trPr>
        <w:tc>
          <w:tcPr>
            <w:tcW w:w="5260" w:type="dxa"/>
            <w:vAlign w:val="bottom"/>
          </w:tcPr>
          <w:p>
            <w:pPr>
              <w:spacing w:after="0"/>
              <w:rPr>
                <w:sz w:val="20"/>
                <w:szCs w:val="20"/>
                <w:color w:val="auto"/>
              </w:rPr>
            </w:pPr>
            <w:r>
              <w:rPr>
                <w:rFonts w:ascii="Courier New" w:cs="Courier New" w:eastAsia="Courier New" w:hAnsi="Courier New"/>
                <w:sz w:val="17"/>
                <w:szCs w:val="17"/>
                <w:color w:val="auto"/>
                <w:w w:val="98"/>
              </w:rPr>
              <w:t>Increase in average number of homes.................</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3.1%</w:t>
            </w:r>
          </w:p>
        </w:tc>
      </w:tr>
      <w:tr>
        <w:trPr>
          <w:trHeight w:val="385"/>
        </w:trPr>
        <w:tc>
          <w:tcPr>
            <w:tcW w:w="5260" w:type="dxa"/>
            <w:vAlign w:val="bottom"/>
          </w:tcPr>
          <w:p>
            <w:pPr>
              <w:spacing w:after="0"/>
              <w:rPr>
                <w:sz w:val="20"/>
                <w:szCs w:val="20"/>
                <w:color w:val="auto"/>
              </w:rPr>
            </w:pPr>
            <w:r>
              <w:rPr>
                <w:rFonts w:ascii="Courier New" w:cs="Courier New" w:eastAsia="Courier New" w:hAnsi="Courier New"/>
                <w:sz w:val="17"/>
                <w:szCs w:val="17"/>
                <w:color w:val="auto"/>
                <w:w w:val="98"/>
              </w:rPr>
              <w:t>Decrease in net sales per home......................</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2.6%</w:t>
            </w:r>
          </w:p>
        </w:tc>
      </w:tr>
    </w:tbl>
    <w:p>
      <w:pPr>
        <w:spacing w:after="0" w:line="391" w:lineRule="exact"/>
        <w:rPr>
          <w:sz w:val="20"/>
          <w:szCs w:val="20"/>
          <w:color w:val="auto"/>
        </w:rPr>
      </w:pPr>
    </w:p>
    <w:p>
      <w:pPr>
        <w:jc w:val="both"/>
        <w:ind w:right="3200" w:firstLine="501"/>
        <w:spacing w:after="0" w:line="239" w:lineRule="auto"/>
        <w:rPr>
          <w:sz w:val="20"/>
          <w:szCs w:val="20"/>
          <w:color w:val="auto"/>
        </w:rPr>
      </w:pPr>
      <w:r>
        <w:rPr>
          <w:rFonts w:ascii="Courier New" w:cs="Courier New" w:eastAsia="Courier New" w:hAnsi="Courier New"/>
          <w:sz w:val="17"/>
          <w:szCs w:val="17"/>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 Future growth in sales will depend increasingly on continued additions of new customers from homes already receiving the QVC service and growth in repeat sales to existing customers.</w:t>
      </w:r>
    </w:p>
    <w:p>
      <w:pPr>
        <w:spacing w:after="0" w:line="199" w:lineRule="exact"/>
        <w:rPr>
          <w:sz w:val="20"/>
          <w:szCs w:val="20"/>
          <w:color w:val="auto"/>
        </w:rPr>
      </w:pPr>
    </w:p>
    <w:p>
      <w:pPr>
        <w:jc w:val="both"/>
        <w:ind w:right="3200" w:firstLine="501"/>
        <w:spacing w:after="0" w:line="236" w:lineRule="auto"/>
        <w:rPr>
          <w:sz w:val="20"/>
          <w:szCs w:val="20"/>
          <w:color w:val="auto"/>
        </w:rPr>
      </w:pPr>
      <w:r>
        <w:rPr>
          <w:rFonts w:ascii="Courier New" w:cs="Courier New" w:eastAsia="Courier New" w:hAnsi="Courier New"/>
          <w:sz w:val="17"/>
          <w:szCs w:val="17"/>
          <w:color w:val="auto"/>
        </w:rPr>
        <w:t>The increase in cost of goods sold is primarily related to the growth in net sales. The increase in gross margin is primarily due to the effects of a</w:t>
      </w:r>
    </w:p>
    <w:p>
      <w:pPr>
        <w:sectPr>
          <w:pgSz w:w="11900" w:h="16884" w:orient="portrait"/>
          <w:cols w:equalWidth="0" w:num="1">
            <w:col w:w="11220"/>
          </w:cols>
          <w:pgMar w:left="240" w:top="881" w:right="439"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shift in sales mix.</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The increase in operating, selling, general and administrative expenses is primarily attributable to higher variable costs and personnel costs associated with the increase in sales volume.</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36" w:right="1440" w:bottom="1440" w:gutter="0" w:footer="0" w:header="0"/>
        </w:sectPr>
      </w:pPr>
    </w:p>
    <w:bookmarkStart w:id="29" w:name="page30"/>
    <w:bookmarkEnd w:id="29"/>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Analysis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Interest Expense</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The decrease in interest expense for the interim period from 2002 to 2003 is primarily attributable to the effects of our lower amount of outstanding debt as a result of our net debt repayments.</w:t>
      </w:r>
    </w:p>
    <w:p>
      <w:pPr>
        <w:spacing w:after="0" w:line="200"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We anticipate that, for the foreseeable future, interest expense will be significant. We believe we will continue to be able to meet our obligations through our ability both to generate cash flow from operations and to obtain external financing.</w:t>
      </w:r>
    </w:p>
    <w:p>
      <w:pPr>
        <w:spacing w:after="0" w:line="2"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_______________________</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 Loss, Net</w:t>
      </w:r>
    </w:p>
    <w:p>
      <w:pPr>
        <w:spacing w:after="0" w:line="6" w:lineRule="exact"/>
        <w:rPr>
          <w:sz w:val="20"/>
          <w:szCs w:val="20"/>
          <w:color w:val="auto"/>
        </w:rPr>
      </w:pPr>
    </w:p>
    <w:p>
      <w:pPr>
        <w:jc w:val="both"/>
        <w:ind w:right="2199" w:firstLine="501"/>
        <w:spacing w:after="0" w:line="236" w:lineRule="auto"/>
        <w:rPr>
          <w:sz w:val="20"/>
          <w:szCs w:val="20"/>
          <w:color w:val="auto"/>
        </w:rPr>
      </w:pPr>
      <w:r>
        <w:rPr>
          <w:rFonts w:ascii="Courier New" w:cs="Courier New" w:eastAsia="Courier New" w:hAnsi="Courier New"/>
          <w:sz w:val="17"/>
          <w:szCs w:val="17"/>
          <w:color w:val="auto"/>
        </w:rPr>
        <w:t>Investment loss, net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6320" w:type="dxa"/>
            <w:vAlign w:val="bottom"/>
          </w:tcPr>
          <w:p>
            <w:pPr>
              <w:spacing w:after="0"/>
              <w:rPr>
                <w:sz w:val="16"/>
                <w:szCs w:val="16"/>
                <w:color w:val="auto"/>
              </w:rPr>
            </w:pPr>
          </w:p>
        </w:tc>
        <w:tc>
          <w:tcPr>
            <w:tcW w:w="22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632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2003</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63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tcPr>
          <w:p>
            <w:pPr>
              <w:spacing w:after="0"/>
              <w:rPr>
                <w:sz w:val="20"/>
                <w:szCs w:val="20"/>
                <w:color w:val="auto"/>
              </w:rPr>
            </w:pPr>
            <w:r>
              <w:rPr>
                <w:rFonts w:ascii="Courier New" w:cs="Courier New" w:eastAsia="Courier New" w:hAnsi="Courier New"/>
                <w:sz w:val="17"/>
                <w:szCs w:val="17"/>
                <w:color w:val="auto"/>
                <w:w w:val="98"/>
              </w:rPr>
              <w:t>Interest and dividend income...................................</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Gains on sales and exchanges of investments, net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w w:val="98"/>
              </w:rPr>
              <w:t>Investment impairment losses...................................</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w w:val="98"/>
              </w:rPr>
              <w:t>Unrealized losses on trading securities........................</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(1,020)</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Mark to market adjustments on derivatives</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w w:val="98"/>
              </w:rPr>
              <w:t>related to trading securities.............................</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847</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Mark to market adjustments on derivatives and hedged items</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r>
      <w:tr>
        <w:trPr>
          <w:trHeight w:val="193"/>
        </w:trPr>
        <w:tc>
          <w:tcPr>
            <w:tcW w:w="63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w w:val="98"/>
              </w:rPr>
              <w:t>Investment loss, net......................................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($248)</w:t>
            </w:r>
          </w:p>
        </w:tc>
      </w:tr>
      <w:tr>
        <w:trPr>
          <w:trHeight w:val="193"/>
        </w:trPr>
        <w:tc>
          <w:tcPr>
            <w:tcW w:w="63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Other Expense</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The decrease in other expense for the interim period from 2002 to 2003 is attributable to the loss on the sale of one of our equity method investees in the 2002 interim period.</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Income Tax Expense</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The change in income tax expense for the interim period from 2002 to 2003 is primarily the result of the effects of changes in our income (loss) before taxes and minority interest.</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Minority Interest</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The increase in minority interest for the interim period from 2002 to 2003 is attributable to the effects of changes in the net income or loss of our less than wholly owned consolidated subsidiaries.</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believe that our operations are not materially affected by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881" w:right="1440" w:bottom="1440" w:gutter="0" w:footer="0" w:header="0"/>
        </w:sectPr>
      </w:pPr>
    </w:p>
    <w:bookmarkStart w:id="30" w:name="page31"/>
    <w:bookmarkEnd w:id="30"/>
    <w:p>
      <w:pPr>
        <w:spacing w:after="0" w:line="6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CONTROLS AND PROCEDURES</w:t>
      </w:r>
    </w:p>
    <w:p>
      <w:pPr>
        <w:spacing w:after="0" w:line="198" w:lineRule="exact"/>
        <w:rPr>
          <w:sz w:val="20"/>
          <w:szCs w:val="20"/>
          <w:color w:val="auto"/>
        </w:rPr>
      </w:pPr>
    </w:p>
    <w:p>
      <w:pPr>
        <w:jc w:val="both"/>
        <w:ind w:left="1000" w:right="2199" w:hanging="496"/>
        <w:spacing w:after="0" w:line="239" w:lineRule="auto"/>
        <w:tabs>
          <w:tab w:leader="none" w:pos="10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controls and procedures. Our chief executive officer and our co-chief financial officers, after evaluating the effectiveness of our "disclosure controls and procedures" (as defined in the Securities Exchange Act of 1934 Rules 13a-14(c) and 15d-14(c)) as of a date (the "Evaluation Date") within 90 days before the filing date of this quarterly report, have concluded that as of the Evaluation Date, our disclosure controls and procedures were adequate and designed to ensure that material information relating to us and our consolidated subsidiaries would be made known to them by others within those entities.</w:t>
      </w:r>
    </w:p>
    <w:p>
      <w:pPr>
        <w:spacing w:after="0" w:line="202" w:lineRule="exact"/>
        <w:rPr>
          <w:rFonts w:ascii="Courier New" w:cs="Courier New" w:eastAsia="Courier New" w:hAnsi="Courier New"/>
          <w:sz w:val="17"/>
          <w:szCs w:val="17"/>
          <w:color w:val="auto"/>
        </w:rPr>
      </w:pPr>
    </w:p>
    <w:p>
      <w:pPr>
        <w:jc w:val="both"/>
        <w:ind w:left="1000" w:right="2199" w:hanging="496"/>
        <w:spacing w:after="0" w:line="238" w:lineRule="auto"/>
        <w:tabs>
          <w:tab w:leader="none" w:pos="10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internal controls. There were no significant changes in our internal controls or to our knowledge, in other factors that could significantly affect our internal controls and procedures subsequent to the Evaluation Date.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ind w:left="200" w:hanging="197"/>
        <w:spacing w:after="0"/>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ITEM 1. LEGAL PROCEEDINGS</w:t>
      </w:r>
    </w:p>
    <w:p>
      <w:pPr>
        <w:spacing w:after="0" w:line="198" w:lineRule="exact"/>
        <w:rPr>
          <w:sz w:val="20"/>
          <w:szCs w:val="20"/>
          <w:color w:val="auto"/>
        </w:rPr>
      </w:pPr>
    </w:p>
    <w:p>
      <w:pPr>
        <w:jc w:val="both"/>
        <w:ind w:left="500" w:right="2199"/>
        <w:spacing w:after="0" w:line="255" w:lineRule="auto"/>
        <w:rPr>
          <w:sz w:val="20"/>
          <w:szCs w:val="20"/>
          <w:color w:val="auto"/>
        </w:rPr>
      </w:pPr>
      <w:r>
        <w:rPr>
          <w:rFonts w:ascii="Courier New" w:cs="Courier New" w:eastAsia="Courier New" w:hAnsi="Courier New"/>
          <w:sz w:val="16"/>
          <w:szCs w:val="16"/>
          <w:color w:val="auto"/>
        </w:rPr>
        <w:t>Litigation has been filed against us as a result of our alleged conduct with respect to our investment in and distribution relationship with At Home Corporation. At Home was a provider of high-speed Internet access and content services which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90"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We deny any wrongdoing in connection with the claims which have been made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200"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Some of the entities formerly attributed to Broadband which are now subsidiaries of Comcast are parties to an affiliation term sheet with Starz Encore Group LLC, an affiliate of Liberty Media Corporation, which extends to 2022. The term sheet requires annual fixed price payments, subject to adjustment for various factors, including inflation. The term sheet also requires Comcast to pay two-thirds of Starz Encore's programming costs above levels designated in the term sheet.</w:t>
      </w:r>
    </w:p>
    <w:p>
      <w:pPr>
        <w:spacing w:after="0" w:line="199" w:lineRule="exact"/>
        <w:rPr>
          <w:sz w:val="20"/>
          <w:szCs w:val="20"/>
          <w:color w:val="auto"/>
        </w:rPr>
      </w:pPr>
    </w:p>
    <w:p>
      <w:pPr>
        <w:jc w:val="both"/>
        <w:ind w:left="500" w:right="2199"/>
        <w:spacing w:after="0" w:line="257" w:lineRule="auto"/>
        <w:rPr>
          <w:sz w:val="20"/>
          <w:szCs w:val="20"/>
          <w:color w:val="auto"/>
        </w:rPr>
      </w:pPr>
      <w:r>
        <w:rPr>
          <w:rFonts w:ascii="Courier New" w:cs="Courier New" w:eastAsia="Courier New" w:hAnsi="Courier New"/>
          <w:sz w:val="16"/>
          <w:szCs w:val="16"/>
          <w:color w:val="auto"/>
        </w:rPr>
        <w:t>By letter dated May 29, 2001, Broadband disputed the enforceability of the excess programming pass through provisions of the Starz Encore term sheet and questioned the validity of the term sheet as a whole. Broadband also has raised certain issues concerning the uncertainty of the provisions of the term sheet and the contractual interpretation and application of</w:t>
      </w:r>
    </w:p>
    <w:p>
      <w:pPr>
        <w:sectPr>
          <w:pgSz w:w="11900" w:h="16898" w:orient="portrait"/>
          <w:cols w:equalWidth="0" w:num="1">
            <w:col w:w="10219"/>
          </w:cols>
          <w:pgMar w:left="240" w:top="881" w:right="1440" w:bottom="0" w:gutter="0" w:footer="0" w:header="0"/>
        </w:sectPr>
      </w:pPr>
    </w:p>
    <w:bookmarkStart w:id="31" w:name="page32"/>
    <w:bookmarkEnd w:id="31"/>
    <w:p>
      <w:pPr>
        <w:ind w:right="2199"/>
        <w:spacing w:after="0" w:line="236" w:lineRule="auto"/>
        <w:rPr>
          <w:sz w:val="20"/>
          <w:szCs w:val="20"/>
          <w:color w:val="auto"/>
        </w:rPr>
      </w:pPr>
      <w:r>
        <w:rPr>
          <w:rFonts w:ascii="Courier New" w:cs="Courier New" w:eastAsia="Courier New" w:hAnsi="Courier New"/>
          <w:sz w:val="17"/>
          <w:szCs w:val="17"/>
          <w:color w:val="auto"/>
        </w:rPr>
        <w:t>certain of its provisions to, among other things, the acquisition and disposition of</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9719"/>
          </w:cols>
          <w:pgMar w:left="740" w:top="142" w:right="1440" w:bottom="1440" w:gutter="0" w:footer="0" w:header="0"/>
        </w:sectPr>
      </w:pPr>
    </w:p>
    <w:bookmarkStart w:id="32" w:name="page33"/>
    <w:bookmarkEnd w:id="32"/>
    <w:p>
      <w:pPr>
        <w:jc w:val="center"/>
        <w:ind w:right="25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599"/>
        <w:spacing w:after="0"/>
        <w:rPr>
          <w:sz w:val="20"/>
          <w:szCs w:val="20"/>
          <w:color w:val="auto"/>
        </w:rPr>
      </w:pPr>
      <w:r>
        <w:rPr>
          <w:rFonts w:ascii="Courier New" w:cs="Courier New" w:eastAsia="Courier New" w:hAnsi="Courier New"/>
          <w:sz w:val="17"/>
          <w:szCs w:val="17"/>
          <w:color w:val="auto"/>
        </w:rPr>
        <w:t>FORM 10-Q</w:t>
      </w:r>
    </w:p>
    <w:p>
      <w:pPr>
        <w:jc w:val="center"/>
        <w:ind w:right="2699"/>
        <w:spacing w:after="0"/>
        <w:rPr>
          <w:sz w:val="20"/>
          <w:szCs w:val="20"/>
          <w:color w:val="auto"/>
        </w:rPr>
      </w:pPr>
      <w:r>
        <w:rPr>
          <w:rFonts w:ascii="Courier New" w:cs="Courier New" w:eastAsia="Courier New" w:hAnsi="Courier New"/>
          <w:sz w:val="17"/>
          <w:szCs w:val="17"/>
          <w:color w:val="auto"/>
        </w:rPr>
        <w:t>QUARTER ENDED MARCH 31, 2003</w:t>
      </w:r>
    </w:p>
    <w:p>
      <w:pPr>
        <w:spacing w:after="0" w:line="391"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210" w:lineRule="exact"/>
        <w:rPr>
          <w:sz w:val="20"/>
          <w:szCs w:val="20"/>
          <w:color w:val="auto"/>
        </w:rPr>
      </w:pPr>
    </w:p>
    <w:p>
      <w:pPr>
        <w:jc w:val="both"/>
        <w:ind w:right="2199"/>
        <w:spacing w:after="0" w:line="255" w:lineRule="auto"/>
        <w:rPr>
          <w:sz w:val="20"/>
          <w:szCs w:val="20"/>
          <w:color w:val="auto"/>
        </w:rPr>
      </w:pPr>
      <w:r>
        <w:rPr>
          <w:rFonts w:ascii="Courier New" w:cs="Courier New" w:eastAsia="Courier New" w:hAnsi="Courier New"/>
          <w:sz w:val="16"/>
          <w:szCs w:val="16"/>
          <w:color w:val="auto"/>
        </w:rPr>
        <w:t>On November 18, 2002, Comcast filed suit against Starz Encore Group LLC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programming is acquired and transmitted by Comcast's cable systems. On January 8, 2003, Starz Encore filed a motion to dismiss the lawsuit on the grounds that claims asserted by Comcast raised issues of state law that the United States District Court should decline to decide. We and Comcast have responded, contesting these assertions. That motion has been submitted to the Court for decision.</w:t>
      </w:r>
    </w:p>
    <w:p>
      <w:pPr>
        <w:spacing w:after="0" w:line="194"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On January 31, 2003, Starz Encore filed an amended complaint in its lawsuit against Broadband in Colorado state court. The amended complaint adds us and Comcast as defendants and adds new claims against us, Comcast and Broadband asserting alleged breaches of, and interference with, the standstill agreement relating to the lawsuit filed by us and Comcast in federal District Court in Pennsylvania and to the defendants' position that since the completion of the Broadband acquisition the March 17, 1999 contract now provides the terms under which Starz Encore programming is acquired and transmitted by our cable systems.</w:t>
      </w:r>
    </w:p>
    <w:p>
      <w:pPr>
        <w:spacing w:after="0" w:line="201"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On March 3, 2003, Starz Encore filed a motion for leave to file a second amended complaint that would add allegations that Broadband has breached certain joint-marketing obligations under the term sheet and that we and Comcast have breached certain joint-marketing obligations under the March 17, 1999 contract and other agreements. We, Comcast and Broadband intend to oppose Starz Encore's motion for leave to file a second amended complaint and, in light of Starz Encore's pending motion for leave to amend, have sought an extension of time from the Court to respond to Starz Encore's amended complaint.</w:t>
      </w:r>
    </w:p>
    <w:p>
      <w:pPr>
        <w:spacing w:after="0" w:line="201"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On April 3, 2003, we and Comcast filed a motion for summary judgment in the federal action in Pennsylvania. On April 16, 2003, Starz Encore filed a motion seeking (i) to strike the affidavit supporting the summary judgment or, in the alternative, (ii) a general postponement of Starz Encore's response date (or at a minimum a three week extension). On April 29, 2003, we and Comcast filed an opposition to Starz Encore's motion. The Court has not yet ruled on either motion.</w:t>
      </w:r>
    </w:p>
    <w:p>
      <w:pPr>
        <w:spacing w:after="0" w:line="199"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An entity formerly attributed to Broadband, which is now Comcast's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98" w:lineRule="exact"/>
        <w:rPr>
          <w:sz w:val="20"/>
          <w:szCs w:val="20"/>
          <w:color w:val="auto"/>
        </w:rPr>
      </w:pPr>
    </w:p>
    <w:p>
      <w:pPr>
        <w:jc w:val="both"/>
        <w:ind w:right="2199"/>
        <w:spacing w:after="0" w:line="256" w:lineRule="auto"/>
        <w:rPr>
          <w:sz w:val="20"/>
          <w:szCs w:val="20"/>
          <w:color w:val="auto"/>
        </w:rPr>
      </w:pPr>
      <w:r>
        <w:rPr>
          <w:rFonts w:ascii="Courier New" w:cs="Courier New" w:eastAsia="Courier New" w:hAnsi="Courier New"/>
          <w:sz w:val="16"/>
          <w:szCs w:val="16"/>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Comcast is now bound by the master agreement to use CSG as its exclusive provider for certain billing and customer care services; (iii) tortious interference with prospective contractual relations; and (iv) civil conspiracy. A hearing in the arbitration commenced on May 9, 2003.</w:t>
      </w:r>
    </w:p>
    <w:p>
      <w:pPr>
        <w:sectPr>
          <w:pgSz w:w="11900" w:h="16838" w:orient="portrait"/>
          <w:cols w:equalWidth="0" w:num="1">
            <w:col w:w="9719"/>
          </w:cols>
          <w:pgMar w:left="740" w:top="881" w:right="1440" w:bottom="0" w:gutter="0" w:footer="0" w:header="0"/>
        </w:sectPr>
      </w:pPr>
    </w:p>
    <w:bookmarkStart w:id="33" w:name="page34"/>
    <w:bookmarkEnd w:id="33"/>
    <w:p>
      <w:pPr>
        <w:ind w:left="2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142" w:right="1440" w:bottom="1440" w:gutter="0" w:footer="0" w:header="0"/>
        </w:sectPr>
      </w:pPr>
    </w:p>
    <w:bookmarkStart w:id="34" w:name="page35"/>
    <w:bookmarkEnd w:id="34"/>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spacing w:after="0" w:line="391"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On June 21, 2002, CSG filed a lawsuit against us in federal court in Denver, Colorado asserting claims related to the master agreement and the pending arbitration. On November 4, 2002, CSG withdrew its complaint against us without prejudice. On November 15, 2002, Comcast initiated a lawsuit against CSG in federal court in Philadelphia, Pennsylvania asserting that cable systems owned by us are not required to use CSG as a billing service or customer care provider pursuant to the master agreement, and that the former Broadband cable systems owned by Comcast may be added to a billing service agreement between Comcast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205" w:lineRule="exact"/>
        <w:rPr>
          <w:sz w:val="20"/>
          <w:szCs w:val="20"/>
          <w:color w:val="auto"/>
        </w:rPr>
      </w:pPr>
    </w:p>
    <w:p>
      <w:pPr>
        <w:jc w:val="both"/>
        <w:ind w:left="500" w:right="2199"/>
        <w:spacing w:after="0" w:line="257" w:lineRule="auto"/>
        <w:rPr>
          <w:sz w:val="20"/>
          <w:szCs w:val="20"/>
          <w:color w:val="auto"/>
        </w:rPr>
      </w:pPr>
      <w:r>
        <w:rPr>
          <w:rFonts w:ascii="Courier New" w:cs="Courier New" w:eastAsia="Courier New" w:hAnsi="Courier New"/>
          <w:sz w:val="16"/>
          <w:szCs w:val="16"/>
          <w:color w:val="auto"/>
        </w:rPr>
        <w:t>In management's opinion, the final disposition of the Starz Encore and CSG contractual disputes is not expected to have a material adverse effect on our consolidated financial position or results of operations. However, no assurance can be given that any adverse outcome would not be material to such consolidated financial position or results of operations.</w:t>
      </w:r>
    </w:p>
    <w:p>
      <w:pPr>
        <w:spacing w:after="0" w:line="186" w:lineRule="exact"/>
        <w:rPr>
          <w:sz w:val="20"/>
          <w:szCs w:val="20"/>
          <w:color w:val="auto"/>
        </w:rPr>
      </w:pPr>
    </w:p>
    <w:p>
      <w:pPr>
        <w:jc w:val="both"/>
        <w:ind w:left="500" w:right="2199"/>
        <w:spacing w:after="0" w:line="238" w:lineRule="auto"/>
        <w:rPr>
          <w:sz w:val="20"/>
          <w:szCs w:val="20"/>
          <w:color w:val="auto"/>
        </w:rPr>
      </w:pPr>
      <w:r>
        <w:rPr>
          <w:rFonts w:ascii="Courier New" w:cs="Courier New" w:eastAsia="Courier New" w:hAnsi="Courier New"/>
          <w:sz w:val="17"/>
          <w:szCs w:val="17"/>
          <w:color w:val="auto"/>
        </w:rPr>
        <w:t>We are subject to other legal proceedings and claims which arise in the ordinary course of our business. In the opinion of our management, the amount of ultimate liability with respect to such actions is not expected to materially affect our financial condition, results of operations or liquidity.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198" w:lineRule="exact"/>
        <w:rPr>
          <w:sz w:val="20"/>
          <w:szCs w:val="20"/>
          <w:color w:val="auto"/>
        </w:rPr>
      </w:pPr>
    </w:p>
    <w:p>
      <w:pPr>
        <w:ind w:left="800" w:right="3299" w:hanging="296"/>
        <w:spacing w:after="0" w:line="473" w:lineRule="auto"/>
        <w:tabs>
          <w:tab w:leader="none" w:pos="9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required to be filed by Item 601 of Regulation S-K: None.</w:t>
      </w:r>
    </w:p>
    <w:p>
      <w:pPr>
        <w:spacing w:after="0" w:line="6"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881" w:right="1440" w:bottom="1440" w:gutter="0" w:footer="0" w:header="0"/>
        </w:sectPr>
      </w:pPr>
    </w:p>
    <w:bookmarkStart w:id="35" w:name="page36"/>
    <w:bookmarkEnd w:id="35"/>
    <w:p>
      <w:pPr>
        <w:jc w:val="center"/>
        <w:ind w:right="2099"/>
        <w:spacing w:after="0"/>
        <w:rPr>
          <w:sz w:val="20"/>
          <w:szCs w:val="20"/>
          <w:color w:val="auto"/>
        </w:rPr>
      </w:pPr>
      <w:r>
        <w:rPr>
          <w:rFonts w:ascii="Courier New" w:cs="Courier New" w:eastAsia="Courier New" w:hAnsi="Courier New"/>
          <w:sz w:val="17"/>
          <w:szCs w:val="17"/>
          <w:color w:val="auto"/>
        </w:rPr>
        <w:t>COMCAST HOLDINGS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2003</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right="2199" w:firstLine="9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COMCAST HOLDINGS CORPORATION</w:t>
      </w:r>
    </w:p>
    <w:p>
      <w:pPr>
        <w:ind w:left="3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 LAWRENCE J. SALVA</w:t>
      </w:r>
    </w:p>
    <w:p>
      <w:pPr>
        <w:ind w:left="3820"/>
        <w:spacing w:after="0"/>
        <w:rPr>
          <w:sz w:val="20"/>
          <w:szCs w:val="20"/>
          <w:color w:val="auto"/>
        </w:rPr>
      </w:pPr>
      <w:r>
        <w:rPr>
          <w:rFonts w:ascii="Courier New" w:cs="Courier New" w:eastAsia="Courier New" w:hAnsi="Courier New"/>
          <w:sz w:val="17"/>
          <w:szCs w:val="17"/>
          <w:color w:val="auto"/>
        </w:rPr>
        <w:t>----------------------------------------</w:t>
      </w:r>
    </w:p>
    <w:p>
      <w:pPr>
        <w:ind w:left="3820"/>
        <w:spacing w:after="0"/>
        <w:rPr>
          <w:sz w:val="20"/>
          <w:szCs w:val="20"/>
          <w:color w:val="auto"/>
        </w:rPr>
      </w:pPr>
      <w:r>
        <w:rPr>
          <w:rFonts w:ascii="Courier New" w:cs="Courier New" w:eastAsia="Courier New" w:hAnsi="Courier New"/>
          <w:sz w:val="17"/>
          <w:szCs w:val="17"/>
          <w:color w:val="auto"/>
        </w:rPr>
        <w:t>Lawrence J. Salva</w:t>
      </w:r>
    </w:p>
    <w:p>
      <w:pPr>
        <w:ind w:left="3820"/>
        <w:spacing w:after="0"/>
        <w:rPr>
          <w:sz w:val="20"/>
          <w:szCs w:val="20"/>
          <w:color w:val="auto"/>
        </w:rPr>
      </w:pPr>
      <w:r>
        <w:rPr>
          <w:rFonts w:ascii="Courier New" w:cs="Courier New" w:eastAsia="Courier New" w:hAnsi="Courier New"/>
          <w:sz w:val="17"/>
          <w:szCs w:val="17"/>
          <w:color w:val="auto"/>
        </w:rPr>
        <w:t>Senior Vice President and Controller</w:t>
      </w:r>
    </w:p>
    <w:p>
      <w:pPr>
        <w:ind w:left="3820"/>
        <w:spacing w:after="0"/>
        <w:rPr>
          <w:sz w:val="20"/>
          <w:szCs w:val="20"/>
          <w:color w:val="auto"/>
        </w:rPr>
      </w:pPr>
      <w:r>
        <w:rPr>
          <w:rFonts w:ascii="Courier New" w:cs="Courier New" w:eastAsia="Courier New" w:hAnsi="Courier New"/>
          <w:sz w:val="17"/>
          <w:szCs w:val="17"/>
          <w:color w:val="auto"/>
        </w:rPr>
        <w:t>(Principal Accounting Officer)</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15,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881" w:right="1440" w:bottom="1440" w:gutter="0" w:footer="0" w:header="0"/>
        </w:sectPr>
      </w:pPr>
    </w:p>
    <w:bookmarkStart w:id="36" w:name="page37"/>
    <w:bookmarkEnd w:id="36"/>
    <w:p>
      <w:pPr>
        <w:ind w:left="3320"/>
        <w:spacing w:after="0"/>
        <w:rPr>
          <w:sz w:val="20"/>
          <w:szCs w:val="20"/>
          <w:color w:val="auto"/>
        </w:rPr>
      </w:pPr>
      <w:r>
        <w:rPr>
          <w:rFonts w:ascii="Courier New" w:cs="Courier New" w:eastAsia="Courier New" w:hAnsi="Courier New"/>
          <w:sz w:val="17"/>
          <w:szCs w:val="17"/>
          <w:color w:val="auto"/>
        </w:rPr>
        <w:t>CERTIFICATIONS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Brian L. Roberts, certify that:</w:t>
      </w:r>
    </w:p>
    <w:p>
      <w:pPr>
        <w:spacing w:after="0" w:line="198" w:lineRule="exact"/>
        <w:rPr>
          <w:sz w:val="20"/>
          <w:szCs w:val="20"/>
          <w:color w:val="auto"/>
        </w:rPr>
      </w:pPr>
    </w:p>
    <w:p>
      <w:pPr>
        <w:ind w:left="500" w:right="2199" w:hanging="497"/>
        <w:spacing w:after="0" w:line="236" w:lineRule="auto"/>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Comcast Holdings Corporation;</w:t>
      </w:r>
    </w:p>
    <w:p>
      <w:pPr>
        <w:spacing w:after="0" w:line="199"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1"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1" w:lineRule="exact"/>
        <w:rPr>
          <w:rFonts w:ascii="Courier New" w:cs="Courier New" w:eastAsia="Courier New" w:hAnsi="Courier New"/>
          <w:sz w:val="17"/>
          <w:szCs w:val="17"/>
          <w:color w:val="auto"/>
        </w:rPr>
      </w:pPr>
    </w:p>
    <w:p>
      <w:pPr>
        <w:jc w:val="both"/>
        <w:ind w:left="500" w:right="2199" w:hanging="497"/>
        <w:spacing w:after="0" w:line="259" w:lineRule="auto"/>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4" w:lineRule="exact"/>
        <w:rPr>
          <w:rFonts w:ascii="Courier New" w:cs="Courier New" w:eastAsia="Courier New" w:hAnsi="Courier New"/>
          <w:sz w:val="16"/>
          <w:szCs w:val="16"/>
          <w:color w:val="auto"/>
        </w:rPr>
      </w:pPr>
    </w:p>
    <w:p>
      <w:pPr>
        <w:jc w:val="both"/>
        <w:ind w:left="900" w:right="2199" w:hanging="396"/>
        <w:spacing w:after="0" w:line="238" w:lineRule="auto"/>
        <w:tabs>
          <w:tab w:leader="none" w:pos="9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date of this quarterly report (the "Evaluation Date"); and</w:t>
      </w:r>
    </w:p>
    <w:p>
      <w:pPr>
        <w:spacing w:after="0" w:line="200"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the disclosure controls and procedures based on our evaluation as of the Evaluation Date;</w:t>
      </w:r>
    </w:p>
    <w:p>
      <w:pPr>
        <w:spacing w:after="0" w:line="200"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99" w:lineRule="exact"/>
        <w:rPr>
          <w:rFonts w:ascii="Courier New" w:cs="Courier New" w:eastAsia="Courier New" w:hAnsi="Courier New"/>
          <w:sz w:val="17"/>
          <w:szCs w:val="17"/>
          <w:color w:val="auto"/>
        </w:rPr>
      </w:pPr>
    </w:p>
    <w:p>
      <w:pPr>
        <w:jc w:val="both"/>
        <w:ind w:left="900" w:right="2199" w:hanging="396"/>
        <w:spacing w:after="0" w:line="238" w:lineRule="auto"/>
        <w:tabs>
          <w:tab w:leader="none" w:pos="9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1"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200" w:lineRule="exact"/>
        <w:rPr>
          <w:rFonts w:ascii="Courier New" w:cs="Courier New" w:eastAsia="Courier New" w:hAnsi="Courier New"/>
          <w:sz w:val="17"/>
          <w:szCs w:val="17"/>
          <w:color w:val="auto"/>
        </w:rPr>
      </w:pPr>
    </w:p>
    <w:p>
      <w:pPr>
        <w:jc w:val="both"/>
        <w:ind w:left="500" w:right="2199" w:hanging="497"/>
        <w:spacing w:after="0" w:line="239" w:lineRule="auto"/>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15, 2003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BRIAN L. ROBERTS</w:t>
      </w:r>
    </w:p>
    <w:p>
      <w:pPr>
        <w:ind w:left="200" w:hanging="197"/>
        <w:spacing w:after="0"/>
        <w:tabs>
          <w:tab w:leader="none" w:pos="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791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074" w:right="1440" w:bottom="113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I, Lawrence S. Smith, certify that:</w:t>
      </w:r>
    </w:p>
    <w:p>
      <w:pPr>
        <w:spacing w:after="0" w:line="198" w:lineRule="exact"/>
        <w:rPr>
          <w:sz w:val="20"/>
          <w:szCs w:val="20"/>
          <w:color w:val="auto"/>
        </w:rPr>
      </w:pPr>
    </w:p>
    <w:p>
      <w:pPr>
        <w:ind w:left="500" w:right="2199" w:hanging="497"/>
        <w:spacing w:after="0" w:line="236"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Comcast Holdings Corporation;</w:t>
      </w:r>
    </w:p>
    <w:p>
      <w:pPr>
        <w:spacing w:after="0" w:line="199"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1"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1" w:lineRule="exact"/>
        <w:rPr>
          <w:rFonts w:ascii="Courier New" w:cs="Courier New" w:eastAsia="Courier New" w:hAnsi="Courier New"/>
          <w:sz w:val="17"/>
          <w:szCs w:val="17"/>
          <w:color w:val="auto"/>
        </w:rPr>
      </w:pPr>
    </w:p>
    <w:p>
      <w:pPr>
        <w:jc w:val="both"/>
        <w:ind w:left="500" w:right="2199" w:hanging="497"/>
        <w:spacing w:after="0" w:line="259" w:lineRule="auto"/>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4" w:lineRule="exact"/>
        <w:rPr>
          <w:rFonts w:ascii="Courier New" w:cs="Courier New" w:eastAsia="Courier New" w:hAnsi="Courier New"/>
          <w:sz w:val="16"/>
          <w:szCs w:val="16"/>
          <w:color w:val="auto"/>
        </w:rPr>
      </w:pPr>
    </w:p>
    <w:p>
      <w:pPr>
        <w:jc w:val="both"/>
        <w:ind w:left="900" w:right="2199" w:hanging="396"/>
        <w:spacing w:after="0" w:line="238" w:lineRule="auto"/>
        <w:tabs>
          <w:tab w:leader="none" w:pos="90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date of this quarterly report (the "Evaluation Date"); and</w:t>
      </w:r>
    </w:p>
    <w:p>
      <w:pPr>
        <w:spacing w:after="0" w:line="200"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the disclosure controls and procedures based on our evaluation as of the Evaluation Date;</w:t>
      </w:r>
    </w:p>
    <w:p>
      <w:pPr>
        <w:spacing w:after="0" w:line="200"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99" w:lineRule="exact"/>
        <w:rPr>
          <w:rFonts w:ascii="Courier New" w:cs="Courier New" w:eastAsia="Courier New" w:hAnsi="Courier New"/>
          <w:sz w:val="17"/>
          <w:szCs w:val="17"/>
          <w:color w:val="auto"/>
        </w:rPr>
      </w:pPr>
    </w:p>
    <w:p>
      <w:pPr>
        <w:jc w:val="both"/>
        <w:ind w:left="900" w:right="2199" w:hanging="396"/>
        <w:spacing w:after="0" w:line="238" w:lineRule="auto"/>
        <w:tabs>
          <w:tab w:leader="none" w:pos="90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1"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200" w:lineRule="exact"/>
        <w:rPr>
          <w:rFonts w:ascii="Courier New" w:cs="Courier New" w:eastAsia="Courier New" w:hAnsi="Courier New"/>
          <w:sz w:val="17"/>
          <w:szCs w:val="17"/>
          <w:color w:val="auto"/>
        </w:rPr>
      </w:pPr>
    </w:p>
    <w:p>
      <w:pPr>
        <w:jc w:val="both"/>
        <w:ind w:left="500" w:right="2199" w:hanging="497"/>
        <w:spacing w:after="0" w:line="239"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15, 2003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S. SMITH</w:t>
      </w:r>
    </w:p>
    <w:p>
      <w:pPr>
        <w:ind w:left="200" w:hanging="197"/>
        <w:spacing w:after="0"/>
        <w:tabs>
          <w:tab w:leader="none" w:pos="2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761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Name: Lawrence S. Smith Co-Chief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1074" w:right="1440" w:bottom="937"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rPr>
        <w:t>I, John R. Alchin, certify that:</w:t>
      </w:r>
    </w:p>
    <w:p>
      <w:pPr>
        <w:spacing w:after="0" w:line="198" w:lineRule="exact"/>
        <w:rPr>
          <w:sz w:val="20"/>
          <w:szCs w:val="20"/>
          <w:color w:val="auto"/>
        </w:rPr>
      </w:pPr>
    </w:p>
    <w:p>
      <w:pPr>
        <w:ind w:left="500" w:right="2199" w:hanging="497"/>
        <w:spacing w:after="0" w:line="236"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Comcast Holdings Corporation;</w:t>
      </w:r>
    </w:p>
    <w:p>
      <w:pPr>
        <w:spacing w:after="0" w:line="199"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1"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1" w:lineRule="exact"/>
        <w:rPr>
          <w:rFonts w:ascii="Courier New" w:cs="Courier New" w:eastAsia="Courier New" w:hAnsi="Courier New"/>
          <w:sz w:val="17"/>
          <w:szCs w:val="17"/>
          <w:color w:val="auto"/>
        </w:rPr>
      </w:pPr>
    </w:p>
    <w:p>
      <w:pPr>
        <w:jc w:val="both"/>
        <w:ind w:left="500" w:right="2199" w:hanging="497"/>
        <w:spacing w:after="0" w:line="259"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4" w:lineRule="exact"/>
        <w:rPr>
          <w:rFonts w:ascii="Courier New" w:cs="Courier New" w:eastAsia="Courier New" w:hAnsi="Courier New"/>
          <w:sz w:val="16"/>
          <w:szCs w:val="16"/>
          <w:color w:val="auto"/>
        </w:rPr>
      </w:pPr>
    </w:p>
    <w:p>
      <w:pPr>
        <w:jc w:val="both"/>
        <w:ind w:left="900" w:right="2199" w:hanging="396"/>
        <w:spacing w:after="0" w:line="238" w:lineRule="auto"/>
        <w:tabs>
          <w:tab w:leader="none" w:pos="90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date of this quarterly report (the "Evaluation Date"); and</w:t>
      </w:r>
    </w:p>
    <w:p>
      <w:pPr>
        <w:spacing w:after="0" w:line="200"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the disclosure controls and procedures based on our evaluation as of the Evaluation Date;</w:t>
      </w:r>
    </w:p>
    <w:p>
      <w:pPr>
        <w:spacing w:after="0" w:line="200" w:lineRule="exact"/>
        <w:rPr>
          <w:rFonts w:ascii="Courier New" w:cs="Courier New" w:eastAsia="Courier New" w:hAnsi="Courier New"/>
          <w:sz w:val="17"/>
          <w:szCs w:val="17"/>
          <w:color w:val="auto"/>
        </w:rPr>
      </w:pPr>
    </w:p>
    <w:p>
      <w:pPr>
        <w:jc w:val="both"/>
        <w:ind w:left="500" w:right="2199" w:hanging="497"/>
        <w:spacing w:after="0" w:line="238"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99" w:lineRule="exact"/>
        <w:rPr>
          <w:rFonts w:ascii="Courier New" w:cs="Courier New" w:eastAsia="Courier New" w:hAnsi="Courier New"/>
          <w:sz w:val="17"/>
          <w:szCs w:val="17"/>
          <w:color w:val="auto"/>
        </w:rPr>
      </w:pPr>
    </w:p>
    <w:p>
      <w:pPr>
        <w:jc w:val="both"/>
        <w:ind w:left="900" w:right="2199" w:hanging="396"/>
        <w:spacing w:after="0" w:line="238" w:lineRule="auto"/>
        <w:tabs>
          <w:tab w:leader="none" w:pos="90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1" w:lineRule="exact"/>
        <w:rPr>
          <w:rFonts w:ascii="Courier New" w:cs="Courier New" w:eastAsia="Courier New" w:hAnsi="Courier New"/>
          <w:sz w:val="17"/>
          <w:szCs w:val="17"/>
          <w:color w:val="auto"/>
        </w:rPr>
      </w:pPr>
    </w:p>
    <w:p>
      <w:pPr>
        <w:jc w:val="both"/>
        <w:ind w:left="900" w:right="2199" w:hanging="396"/>
        <w:spacing w:after="0" w:line="237" w:lineRule="auto"/>
        <w:tabs>
          <w:tab w:leader="none" w:pos="90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200" w:lineRule="exact"/>
        <w:rPr>
          <w:rFonts w:ascii="Courier New" w:cs="Courier New" w:eastAsia="Courier New" w:hAnsi="Courier New"/>
          <w:sz w:val="17"/>
          <w:szCs w:val="17"/>
          <w:color w:val="auto"/>
        </w:rPr>
      </w:pPr>
    </w:p>
    <w:p>
      <w:pPr>
        <w:jc w:val="both"/>
        <w:ind w:left="500" w:right="2199" w:hanging="497"/>
        <w:spacing w:after="0" w:line="239"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15, 2003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R. ALCHIN</w:t>
      </w:r>
    </w:p>
    <w:p>
      <w:pPr>
        <w:ind w:left="200" w:hanging="197"/>
        <w:spacing w:after="0"/>
        <w:tabs>
          <w:tab w:leader="none" w:pos="2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761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Name: John R. Alchin Co-Chief Financial Officer</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27</w:t>
      </w:r>
    </w:p>
    <w:sectPr>
      <w:pgSz w:w="11900" w:h="16838" w:orient="portrait"/>
      <w:cols w:equalWidth="0" w:num="1">
        <w:col w:w="10219"/>
      </w:cols>
      <w:pgMar w:left="240" w:top="8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o"/>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lvl w:ilvl="1">
      <w:lvlJc w:val="left"/>
      <w:lvlText w:val="%2"/>
      <w:numFmt w:val="decimal"/>
      <w:start w:val="45"/>
    </w:lvl>
  </w:abstractNum>
  <w:abstractNum w:abstractNumId="6">
    <w:nsid w:val="3F2DBA31"/>
    <w:multiLevelType w:val="hybridMultilevel"/>
    <w:lvl w:ilvl="0">
      <w:lvlJc w:val="left"/>
      <w:lvlText w:val="%1"/>
      <w:numFmt w:val="decimal"/>
      <w:start w:val="1"/>
    </w:lvl>
    <w:lvl w:ilvl="1">
      <w:lvlJc w:val="left"/>
      <w:lvlText w:val="%2"/>
      <w:numFmt w:val="decimal"/>
      <w:start w:val="45"/>
    </w:lvl>
  </w:abstractNum>
  <w:abstractNum w:abstractNumId="7">
    <w:nsid w:val="7C83E458"/>
    <w:multiLevelType w:val="hybridMultilevel"/>
    <w:lvl w:ilvl="0">
      <w:lvlJc w:val="left"/>
      <w:lvlText w:val="%1."/>
      <w:numFmt w:val="decimal"/>
      <w:start w:val="3"/>
    </w:lvl>
    <w:lvl w:ilvl="1">
      <w:lvlJc w:val="left"/>
      <w:lvlText w:val="%2"/>
      <w:numFmt w:val="decimal"/>
      <w:start w:val="1"/>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85"/>
    </w:lvl>
  </w:abstractNum>
  <w:abstractNum w:abstractNumId="18">
    <w:nsid w:val="8EDBDAB"/>
    <w:multiLevelType w:val="hybridMultilevel"/>
    <w:lvl w:ilvl="0">
      <w:lvlJc w:val="left"/>
      <w:lvlText w:val="%1"/>
      <w:numFmt w:val="decimal"/>
      <w:start w:val="11"/>
    </w:lvl>
  </w:abstractNum>
  <w:abstractNum w:abstractNumId="19">
    <w:nsid w:val="79838CB2"/>
    <w:multiLevelType w:val="hybridMultilevel"/>
    <w:lvl w:ilvl="0">
      <w:lvlJc w:val="left"/>
      <w:lvlText w:val="%1"/>
      <w:numFmt w:val="decimal"/>
      <w:start w:val="176"/>
    </w:lvl>
  </w:abstractNum>
  <w:abstractNum w:abstractNumId="20">
    <w:nsid w:val="4353D0CD"/>
    <w:multiLevelType w:val="hybridMultilevel"/>
    <w:lvl w:ilvl="0">
      <w:lvlJc w:val="left"/>
      <w:lvlText w:val="%1"/>
      <w:numFmt w:val="decimal"/>
      <w:start w:val="98"/>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2019-12-12T08:53:20Z</dcterms:created>
  <dcterms:modified xsi:type="dcterms:W3CDTF">2019-12-12T08:53:20Z</dcterms:modified>
</cp:coreProperties>
</file>