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6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ANNUAL REPORT</w:t>
      </w:r>
    </w:p>
    <w:p>
      <w:pPr>
        <w:spacing w:after="0" w:line="152"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Pursuant to Section 15(d) of the</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287655</wp:posOffset>
            </wp:positionV>
            <wp:extent cx="3147060" cy="805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706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2920"/>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17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COMCAST SPECTACOR 401(k) PLAN</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230" w:right="7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SPECTACOR 401(k) PLAN</w:t>
      </w:r>
    </w:p>
    <w:p>
      <w:pPr>
        <w:spacing w:after="0" w:line="96" w:lineRule="exact"/>
        <w:rPr>
          <w:sz w:val="20"/>
          <w:szCs w:val="20"/>
          <w:color w:val="auto"/>
        </w:rPr>
      </w:pPr>
    </w:p>
    <w:p>
      <w:pPr>
        <w:ind w:right="3119"/>
        <w:spacing w:after="0" w:line="254" w:lineRule="auto"/>
        <w:rPr>
          <w:sz w:val="20"/>
          <w:szCs w:val="20"/>
          <w:color w:val="auto"/>
        </w:rPr>
      </w:pPr>
      <w:r>
        <w:rPr>
          <w:rFonts w:ascii="Arial" w:cs="Arial" w:eastAsia="Arial" w:hAnsi="Arial"/>
          <w:sz w:val="18"/>
          <w:szCs w:val="18"/>
          <w:color w:val="auto"/>
        </w:rPr>
        <w:t>Financial Statements as of December 31, 2007 and 2006 and for the Year Ended December 31, 2007; Supplemental Schedule as of December 31, 2007;</w:t>
      </w:r>
    </w:p>
    <w:p>
      <w:pPr>
        <w:spacing w:after="0"/>
        <w:rPr>
          <w:sz w:val="20"/>
          <w:szCs w:val="20"/>
          <w:color w:val="auto"/>
        </w:rPr>
      </w:pPr>
      <w:r>
        <w:rPr>
          <w:rFonts w:ascii="Arial" w:cs="Arial" w:eastAsia="Arial" w:hAnsi="Arial"/>
          <w:sz w:val="18"/>
          <w:szCs w:val="18"/>
          <w:color w:val="auto"/>
        </w:rPr>
        <w:t>and Report of Independent Registered Public Accounting Firm</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8"/>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56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548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20" w:type="dxa"/>
            <w:vAlign w:val="bottom"/>
          </w:tcPr>
          <w:p>
            <w:pPr>
              <w:spacing w:after="0"/>
              <w:rPr>
                <w:sz w:val="24"/>
                <w:szCs w:val="24"/>
                <w:color w:val="auto"/>
              </w:rPr>
            </w:pPr>
          </w:p>
        </w:tc>
        <w:tc>
          <w:tcPr>
            <w:tcW w:w="1092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at December 31, 2007 and 2006</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52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1092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2007</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Financial Statements</w:t>
              </w:r>
            </w:hyperlink>
          </w:p>
        </w:tc>
        <w:tc>
          <w:tcPr>
            <w:tcW w:w="4760" w:type="dxa"/>
            <w:vAlign w:val="bottom"/>
            <w:tcBorders>
              <w:top w:val="single" w:sz="8" w:color="0000EE"/>
            </w:tcBorders>
            <w:gridSpan w:val="4"/>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343"/>
        </w:trPr>
        <w:tc>
          <w:tcPr>
            <w:tcW w:w="11140" w:type="dxa"/>
            <w:vAlign w:val="bottom"/>
            <w:gridSpan w:val="8"/>
          </w:tcPr>
          <w:p>
            <w:pPr>
              <w:spacing w:after="0"/>
              <w:rPr>
                <w:sz w:val="20"/>
                <w:szCs w:val="20"/>
                <w:color w:val="auto"/>
              </w:rPr>
            </w:pPr>
            <w:r>
              <w:rPr>
                <w:rFonts w:ascii="Arial" w:cs="Arial" w:eastAsia="Arial" w:hAnsi="Arial"/>
                <w:sz w:val="18"/>
                <w:szCs w:val="18"/>
                <w:color w:val="auto"/>
              </w:rPr>
              <w:t>SUPPLEMENTAL SCHEDULE: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20" w:type="dxa"/>
            <w:vAlign w:val="bottom"/>
          </w:tcPr>
          <w:p>
            <w:pPr>
              <w:spacing w:after="0"/>
              <w:rPr>
                <w:sz w:val="24"/>
                <w:szCs w:val="24"/>
                <w:color w:val="auto"/>
              </w:rPr>
            </w:pPr>
          </w:p>
        </w:tc>
        <w:tc>
          <w:tcPr>
            <w:tcW w:w="10920" w:type="dxa"/>
            <w:vAlign w:val="bottom"/>
            <w:gridSpan w:val="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Schedule H—Line 4i—Schedule of Assets (Held at End of Year) at December 31, 2007</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6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2">
              <w:r>
                <w:rPr>
                  <w:rFonts w:ascii="Arial" w:cs="Arial" w:eastAsia="Arial" w:hAnsi="Arial"/>
                  <w:sz w:val="18"/>
                  <w:szCs w:val="18"/>
                  <w:color w:val="0000EE"/>
                  <w:w w:val="93"/>
                </w:rPr>
                <w:t>CONSENT OF INDEPENDENT REGISTERED PUBLIC ACCOUNTING FIRM</w:t>
              </w:r>
            </w:hyperlink>
          </w:p>
        </w:tc>
        <w:tc>
          <w:tcPr>
            <w:tcW w:w="530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11140" w:type="dxa"/>
            <w:vAlign w:val="bottom"/>
            <w:gridSpan w:val="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SIGNATURE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audited the accompanying statements of net assets available for benefits of the Comcast Spectacor 401(k) Plan (the “Plan”) as of December 31, 2007 and 2006, and the related statement of changes in net assets available for benefits for the year ended December 31, 2007. These financial statements are the responsibility of the Plan’s management. Our responsibility is to express an opinion on these financial statements based on our audits.</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purposes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our audits provide a reasonable basis for our opinion.</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2007 and 2006, and the changes in net assets available for benefits for the year ended December 31, 2007 in conformity with accounting principles generally accepted in the United States.</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audits were conducted for the purpose of forming an opinion on the Plan’s financial statements taken as a whole. The accompanying supplemental schedule of assets (held at end of year) as of December 31, 2007 (Schedule H—Line 4i) is presented for the purpose of additional analysis and is not a required part of the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the audits of the financial statements and, in our opinion, is fairly stated in all material respects, in relation to the financial statements taken as a whole.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17,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ind w:lef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Contributions receivable</w:t>
            </w:r>
          </w:p>
        </w:tc>
        <w:tc>
          <w:tcPr>
            <w:tcW w:w="3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83,457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at fair value</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37,333,415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32,271,359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Loans receivable from participants</w:t>
            </w:r>
          </w:p>
        </w:tc>
        <w:tc>
          <w:tcPr>
            <w:tcW w:w="3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584,781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502,595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3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37,918,196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32,857,411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4040" w:type="dxa"/>
            <w:vAlign w:val="bottom"/>
            <w:gridSpan w:val="2"/>
          </w:tcPr>
          <w:p>
            <w:pPr>
              <w:jc w:val="center"/>
              <w:ind w:left="3054"/>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ATTRIBUTED TO:</w:t>
            </w:r>
          </w:p>
        </w:tc>
        <w:tc>
          <w:tcPr>
            <w:tcW w:w="31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3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depreciation in fair value of investments</w:t>
            </w:r>
          </w:p>
        </w:tc>
        <w:tc>
          <w:tcPr>
            <w:tcW w:w="4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(1,496,289)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860"/>
              <w:spacing w:after="0"/>
              <w:rPr>
                <w:sz w:val="20"/>
                <w:szCs w:val="20"/>
                <w:color w:val="auto"/>
              </w:rPr>
            </w:pPr>
            <w:r>
              <w:rPr>
                <w:rFonts w:ascii="Arial" w:cs="Arial" w:eastAsia="Arial" w:hAnsi="Arial"/>
                <w:sz w:val="18"/>
                <w:szCs w:val="18"/>
                <w:color w:val="auto"/>
              </w:rPr>
              <w:t>Interest and dividends</w:t>
            </w:r>
          </w:p>
        </w:tc>
        <w:tc>
          <w:tcPr>
            <w:tcW w:w="3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1,307,224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3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Participant</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3,640,244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60"/>
              <w:spacing w:after="0"/>
              <w:rPr>
                <w:sz w:val="20"/>
                <w:szCs w:val="20"/>
                <w:color w:val="auto"/>
              </w:rPr>
            </w:pPr>
            <w:r>
              <w:rPr>
                <w:rFonts w:ascii="Arial" w:cs="Arial" w:eastAsia="Arial" w:hAnsi="Arial"/>
                <w:sz w:val="18"/>
                <w:szCs w:val="18"/>
                <w:color w:val="auto"/>
              </w:rPr>
              <w:t>Employer</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2,288,449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Rollover</w:t>
            </w:r>
          </w:p>
        </w:tc>
        <w:tc>
          <w:tcPr>
            <w:tcW w:w="3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6,390,491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additions</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7,697,715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320" w:type="dxa"/>
            <w:vAlign w:val="bottom"/>
            <w:gridSpan w:val="2"/>
          </w:tcPr>
          <w:p>
            <w:pPr>
              <w:spacing w:after="0"/>
              <w:rPr>
                <w:sz w:val="20"/>
                <w:szCs w:val="20"/>
                <w:color w:val="auto"/>
              </w:rPr>
            </w:pPr>
            <w:r>
              <w:rPr>
                <w:rFonts w:ascii="Arial" w:cs="Arial" w:eastAsia="Arial" w:hAnsi="Arial"/>
                <w:sz w:val="18"/>
                <w:szCs w:val="18"/>
                <w:color w:val="auto"/>
              </w:rPr>
              <w:t>DEDUCTIONS FROM NET ASSETS ATTRIBUTED TO:</w:t>
            </w:r>
          </w:p>
        </w:tc>
        <w:tc>
          <w:tcPr>
            <w:tcW w:w="31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 to participants</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2,576,246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Administrative expenses</w:t>
            </w:r>
          </w:p>
        </w:tc>
        <w:tc>
          <w:tcPr>
            <w:tcW w:w="3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deductions</w:t>
            </w:r>
          </w:p>
        </w:tc>
        <w:tc>
          <w:tcPr>
            <w:tcW w:w="3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2,636,930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20" w:type="dxa"/>
            <w:vAlign w:val="bottom"/>
            <w:gridSpan w:val="2"/>
          </w:tcPr>
          <w:p>
            <w:pPr>
              <w:spacing w:after="0"/>
              <w:rPr>
                <w:sz w:val="20"/>
                <w:szCs w:val="20"/>
                <w:color w:val="auto"/>
              </w:rPr>
            </w:pPr>
            <w:r>
              <w:rPr>
                <w:rFonts w:ascii="Arial" w:cs="Arial" w:eastAsia="Arial" w:hAnsi="Arial"/>
                <w:sz w:val="18"/>
                <w:szCs w:val="18"/>
                <w:color w:val="auto"/>
              </w:rPr>
              <w:t>Net increase</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5,060,785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3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3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32,857,411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year</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37,918,196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PLAN DESCRIPTION</w:t>
      </w:r>
    </w:p>
    <w:p>
      <w:pPr>
        <w:spacing w:after="0" w:line="96"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color w:val="auto"/>
        </w:rPr>
        <w:t>The following description of the Comcast Spectacor 401(k) Plan (the Plan) provides only general information. Participants should refer to the official Plan document for a complete description of the Plan’s provisions.</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90" w:lineRule="exact"/>
        <w:rPr>
          <w:rFonts w:ascii="Arial" w:cs="Arial" w:eastAsia="Arial" w:hAnsi="Arial"/>
          <w:sz w:val="18"/>
          <w:szCs w:val="18"/>
          <w:color w:val="auto"/>
        </w:rPr>
      </w:pPr>
    </w:p>
    <w:p>
      <w:pPr>
        <w:ind w:left="460" w:right="160"/>
        <w:spacing w:after="0" w:line="306" w:lineRule="auto"/>
        <w:rPr>
          <w:rFonts w:ascii="Arial" w:cs="Arial" w:eastAsia="Arial" w:hAnsi="Arial"/>
          <w:sz w:val="18"/>
          <w:szCs w:val="18"/>
          <w:color w:val="auto"/>
        </w:rPr>
      </w:pPr>
      <w:r>
        <w:rPr>
          <w:rFonts w:ascii="Arial" w:cs="Arial" w:eastAsia="Arial" w:hAnsi="Arial"/>
          <w:sz w:val="16"/>
          <w:szCs w:val="16"/>
          <w:color w:val="auto"/>
        </w:rPr>
        <w:t>The effective date of the Plan is January 1, 1992. The Plan is a defined contribution plan and is subject to the provisions of the Employee Retirement Income Security Act of 1974. The Plan covers “eligible employees,” who have completed the requisite hours of service, as defined in the Plan document, and have attained age 21. The following entities participate in the Plan, referred to collectively as “the Company”:</w:t>
      </w:r>
    </w:p>
    <w:p>
      <w:pPr>
        <w:spacing w:after="0" w:line="25"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Comcast Spectacor, L.P. (Plan Sponsor)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CSLP Shorebirds Club LLC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Spectrum Arena Limited Partnership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Philadelphia Flyers,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Philadelphia 76ers,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Philadelphia Phantoms,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Comcast-Spectacor Foundation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Flyers Skate Zone,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Global Spectrum,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Spectacor,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Patron Solutions,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FPS Rink,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Disson Skating, LLC</w:t>
      </w:r>
    </w:p>
    <w:p>
      <w:pPr>
        <w:spacing w:after="0" w:line="90" w:lineRule="exact"/>
        <w:rPr>
          <w:sz w:val="20"/>
          <w:szCs w:val="20"/>
          <w:color w:val="auto"/>
        </w:rPr>
      </w:pPr>
    </w:p>
    <w:p>
      <w:pPr>
        <w:ind w:left="460" w:right="1660"/>
        <w:spacing w:after="0" w:line="391" w:lineRule="auto"/>
        <w:rPr>
          <w:sz w:val="20"/>
          <w:szCs w:val="20"/>
          <w:color w:val="auto"/>
        </w:rPr>
      </w:pPr>
      <w:r>
        <w:rPr>
          <w:rFonts w:ascii="Arial" w:cs="Arial" w:eastAsia="Arial" w:hAnsi="Arial"/>
          <w:sz w:val="18"/>
          <w:szCs w:val="18"/>
          <w:color w:val="auto"/>
        </w:rPr>
        <w:t xml:space="preserve">The Trustee and Record-keeper for the Plan is Citigroup Institutional Trust Company (the Trustee) and CitiStreet LLC, respectively. </w:t>
      </w:r>
      <w:r>
        <w:rPr>
          <w:rFonts w:ascii="Arial" w:cs="Arial" w:eastAsia="Arial" w:hAnsi="Arial"/>
          <w:sz w:val="18"/>
          <w:szCs w:val="18"/>
          <w:u w:val="single" w:color="auto"/>
          <w:color w:val="auto"/>
        </w:rPr>
        <w:t>Contributions and Related Party Transactions</w:t>
      </w:r>
    </w:p>
    <w:p>
      <w:pPr>
        <w:spacing w:after="0" w:line="1"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Each participant may make a pretax contribution deferring not less than 1% or more than 100% of eligible compensation (as defined in the Plan document), subject to applicable Internal Revenue Service (IRS) limitations.</w:t>
      </w:r>
    </w:p>
    <w:p>
      <w:pPr>
        <w:spacing w:after="0" w:line="51" w:lineRule="exact"/>
        <w:rPr>
          <w:sz w:val="20"/>
          <w:szCs w:val="20"/>
          <w:color w:val="auto"/>
        </w:rPr>
      </w:pPr>
    </w:p>
    <w:p>
      <w:pPr>
        <w:jc w:val="both"/>
        <w:ind w:left="460" w:right="20"/>
        <w:spacing w:after="0" w:line="306" w:lineRule="auto"/>
        <w:rPr>
          <w:sz w:val="20"/>
          <w:szCs w:val="20"/>
          <w:color w:val="auto"/>
        </w:rPr>
      </w:pPr>
      <w:r>
        <w:rPr>
          <w:rFonts w:ascii="Arial" w:cs="Arial" w:eastAsia="Arial" w:hAnsi="Arial"/>
          <w:sz w:val="16"/>
          <w:szCs w:val="16"/>
          <w:color w:val="auto"/>
        </w:rPr>
        <w:t>Effective January 1, 2005, the Company matching contribution formula provides a safe-harbor matching contribution on behalf of each participant who has made salary deferrals in the Plan year. This contribution is equal to 100% of the first 4% and 50% of the next 2% of the participant’s annual salary deferral contributions. This contribution shall be determined on an annual basis and shall be adjusted to the extent necessary after the end of each Plan year.</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also provides for discretionary profit sharing contributions.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Participant Accounts</w:t>
      </w:r>
    </w:p>
    <w:p>
      <w:pPr>
        <w:spacing w:after="0" w:line="90" w:lineRule="exact"/>
        <w:rPr>
          <w:sz w:val="20"/>
          <w:szCs w:val="20"/>
          <w:color w:val="auto"/>
        </w:rPr>
      </w:pPr>
    </w:p>
    <w:p>
      <w:pPr>
        <w:jc w:val="both"/>
        <w:ind w:left="460" w:right="340"/>
        <w:spacing w:after="0" w:line="256" w:lineRule="auto"/>
        <w:rPr>
          <w:sz w:val="20"/>
          <w:szCs w:val="20"/>
          <w:color w:val="auto"/>
        </w:rPr>
      </w:pPr>
      <w:r>
        <w:rPr>
          <w:rFonts w:ascii="Arial" w:cs="Arial" w:eastAsia="Arial" w:hAnsi="Arial"/>
          <w:sz w:val="18"/>
          <w:szCs w:val="18"/>
          <w:color w:val="auto"/>
        </w:rPr>
        <w:t>Each participant’s account is credited with the participant’s elective deferral contribution, an allocation of the Company’s contribution, if any, and Plan earnings, net of expenses. Allocations of Company matching contributions are based on participant elective deferrals to the Plan. Allocations of profit sharing contributions are in proportion to total compensation. The benefit to which a participant is entitled is the benefit that can be provided from the participant’s account.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PLAN DESCRIPTION (continued)</w:t>
      </w:r>
    </w:p>
    <w:p>
      <w:pPr>
        <w:spacing w:after="0" w:line="16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Vesting</w:t>
      </w:r>
    </w:p>
    <w:p>
      <w:pPr>
        <w:spacing w:after="0" w:line="90" w:lineRule="exact"/>
        <w:rPr>
          <w:rFonts w:ascii="Arial" w:cs="Arial" w:eastAsia="Arial" w:hAnsi="Arial"/>
          <w:sz w:val="18"/>
          <w:szCs w:val="18"/>
          <w:color w:val="auto"/>
        </w:rPr>
      </w:pPr>
    </w:p>
    <w:p>
      <w:pPr>
        <w:ind w:left="460" w:right="100"/>
        <w:spacing w:after="0" w:line="294" w:lineRule="auto"/>
        <w:rPr>
          <w:rFonts w:ascii="Arial" w:cs="Arial" w:eastAsia="Arial" w:hAnsi="Arial"/>
          <w:sz w:val="18"/>
          <w:szCs w:val="18"/>
          <w:color w:val="auto"/>
        </w:rPr>
      </w:pPr>
      <w:r>
        <w:rPr>
          <w:rFonts w:ascii="Arial" w:cs="Arial" w:eastAsia="Arial" w:hAnsi="Arial"/>
          <w:sz w:val="16"/>
          <w:szCs w:val="16"/>
          <w:color w:val="auto"/>
        </w:rPr>
        <w:t>Participants are immediately vested in their elective deferral contributions plus actual earnings thereon. Participants shall have a fully (100%) vested and nonforfeitable interest in Company matching contributions for Plan years beginning on or after January 1, 2005. Matching contributions attributable to periods prior to January 1, 2005 will continue to vest according to their original schedule based on years of service. A participant is 100% vested after five years of credited service. Vesting can be accelerated under certain other conditions defined in the Plan document. All forfeited amounts may be applied to Plan expenses including legal, consulting, education materials, etc. or to reduce Company contributions.</w:t>
      </w:r>
    </w:p>
    <w:p>
      <w:pPr>
        <w:spacing w:after="0" w:line="3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In the event of whole or partial termination of the Plan, there will be full and immediate vesting of each affected employee’s account balance.</w:t>
      </w:r>
    </w:p>
    <w:p>
      <w:pPr>
        <w:spacing w:after="0" w:line="19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Payment of Benefits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benefits under the Plan are paid as lump-sum distributions. In-kind distributions are not provided for under the Plan.</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Loans to Participants</w:t>
      </w:r>
    </w:p>
    <w:p>
      <w:pPr>
        <w:spacing w:after="0" w:line="90"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The Trustee may make loans from the Plan to participants in accordance with the Plan document. All loans to participants are considered investments of the participant’s account and accrue interest at the prime rate plus 2%. All loans are to be repaid within five years unless the loan is used to acquire a principal residence, in which case the term may be longer.</w:t>
      </w:r>
    </w:p>
    <w:p>
      <w:pPr>
        <w:spacing w:after="0" w:line="14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Income Tax Status</w:t>
      </w:r>
    </w:p>
    <w:p>
      <w:pPr>
        <w:spacing w:after="0" w:line="90" w:lineRule="exact"/>
        <w:rPr>
          <w:rFonts w:ascii="Arial" w:cs="Arial" w:eastAsia="Arial" w:hAnsi="Arial"/>
          <w:sz w:val="18"/>
          <w:szCs w:val="18"/>
          <w:color w:val="auto"/>
        </w:rPr>
      </w:pPr>
    </w:p>
    <w:p>
      <w:pPr>
        <w:ind w:left="460" w:right="60"/>
        <w:spacing w:after="0" w:line="298" w:lineRule="auto"/>
        <w:rPr>
          <w:rFonts w:ascii="Arial" w:cs="Arial" w:eastAsia="Arial" w:hAnsi="Arial"/>
          <w:sz w:val="18"/>
          <w:szCs w:val="18"/>
          <w:color w:val="auto"/>
        </w:rPr>
      </w:pPr>
      <w:r>
        <w:rPr>
          <w:rFonts w:ascii="Arial" w:cs="Arial" w:eastAsia="Arial" w:hAnsi="Arial"/>
          <w:sz w:val="16"/>
          <w:szCs w:val="16"/>
          <w:color w:val="auto"/>
        </w:rPr>
        <w:t>The IRS issued a determination letter to the Plan, dated April 29, 2003, stating that the Plan was qualified under Section 401(a) of the Internal Revenue Code (the Code) and, therefore, is exempt from federal income tax under Section 501(a) of the Code. The Plan has been amended since receiving the determination letter. The Plan Administrator and the Plan’s tax counsel believe that the Plan is designed and is currently being operated in compliance with the applicable requirements of the Code. Therefore, no provision for income taxes has been included in the Plan’s financial statements.</w:t>
      </w:r>
    </w:p>
    <w:p>
      <w:pPr>
        <w:spacing w:after="0" w:line="1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Forfeited Accounts</w:t>
      </w:r>
    </w:p>
    <w:p>
      <w:pPr>
        <w:spacing w:after="0" w:line="90" w:lineRule="exact"/>
        <w:rPr>
          <w:rFonts w:ascii="Arial" w:cs="Arial" w:eastAsia="Arial" w:hAnsi="Arial"/>
          <w:sz w:val="18"/>
          <w:szCs w:val="18"/>
          <w:color w:val="auto"/>
        </w:rPr>
      </w:pPr>
    </w:p>
    <w:p>
      <w:pPr>
        <w:ind w:left="460" w:right="80"/>
        <w:spacing w:after="0" w:line="255" w:lineRule="auto"/>
        <w:rPr>
          <w:rFonts w:ascii="Arial" w:cs="Arial" w:eastAsia="Arial" w:hAnsi="Arial"/>
          <w:sz w:val="18"/>
          <w:szCs w:val="18"/>
          <w:color w:val="auto"/>
        </w:rPr>
      </w:pPr>
      <w:r>
        <w:rPr>
          <w:rFonts w:ascii="Arial" w:cs="Arial" w:eastAsia="Arial" w:hAnsi="Arial"/>
          <w:sz w:val="18"/>
          <w:szCs w:val="18"/>
          <w:color w:val="auto"/>
        </w:rPr>
        <w:t>Amounts contributed by the Company which are forfeited by participants as a result of the participants’ separation from service prior to becoming 100% vested may be used to pay Plan expenses and/or reduce the Company’s required contributions. Pending application of the forfeitures, the Company may direct the Trustee to hold the forfeitures in cash or under investment in a suspense account. Forfeitures applied to reduce Plan administrative expenses for the years ended December 31, 2007 and 2006 amounted to $3,100 and $44,000, respectively. Forfeitures pending application as of December 31, 2007 and 2006 were $250,064 and $208,470,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380" w:hanging="452"/>
        <w:spacing w:after="0" w:line="391" w:lineRule="auto"/>
        <w:tabs>
          <w:tab w:leader="none" w:pos="449"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u w:val="single" w:color="auto"/>
          <w:color w:val="auto"/>
        </w:rPr>
        <w:t>Valuation of Investments and Income Recognition</w:t>
      </w:r>
    </w:p>
    <w:p>
      <w:pPr>
        <w:ind w:left="460"/>
        <w:spacing w:after="0" w:line="256" w:lineRule="auto"/>
        <w:rPr>
          <w:rFonts w:ascii="Arial" w:cs="Arial" w:eastAsia="Arial" w:hAnsi="Arial"/>
          <w:sz w:val="16"/>
          <w:szCs w:val="16"/>
          <w:color w:val="auto"/>
        </w:rPr>
      </w:pPr>
      <w:r>
        <w:rPr>
          <w:rFonts w:ascii="Arial" w:cs="Arial" w:eastAsia="Arial" w:hAnsi="Arial"/>
          <w:sz w:val="18"/>
          <w:szCs w:val="18"/>
          <w:color w:val="auto"/>
        </w:rPr>
        <w:t>Plan assets are stated at fair value. The fair value of mutual funds is determined by quoted market price. The change in fair value of assets during the year is measured by the difference between the fair value at year-end and the fair value at the beginning of the year and the impact of any purchases and/or sales during the year and is reflected in the statement of changes in net assets available for benefits as net appreciation or depreciation in fair value of investments.</w:t>
      </w:r>
    </w:p>
    <w:p>
      <w:pPr>
        <w:spacing w:after="0" w:line="62" w:lineRule="exact"/>
        <w:rPr>
          <w:rFonts w:ascii="Arial" w:cs="Arial" w:eastAsia="Arial" w:hAnsi="Arial"/>
          <w:sz w:val="16"/>
          <w:szCs w:val="16"/>
          <w:color w:val="auto"/>
        </w:rPr>
      </w:pPr>
    </w:p>
    <w:p>
      <w:pPr>
        <w:jc w:val="both"/>
        <w:ind w:left="460" w:right="180"/>
        <w:spacing w:after="0" w:line="256" w:lineRule="auto"/>
        <w:rPr>
          <w:rFonts w:ascii="Arial" w:cs="Arial" w:eastAsia="Arial" w:hAnsi="Arial"/>
          <w:sz w:val="16"/>
          <w:szCs w:val="16"/>
          <w:color w:val="auto"/>
        </w:rPr>
      </w:pPr>
      <w:r>
        <w:rPr>
          <w:rFonts w:ascii="Arial" w:cs="Arial" w:eastAsia="Arial" w:hAnsi="Arial"/>
          <w:sz w:val="18"/>
          <w:szCs w:val="18"/>
          <w:color w:val="auto"/>
        </w:rPr>
        <w:t>In September 2006, the Financial Accounting Standards Board issued Statement No. 157, “Fair Value Measurements” (“SFAS No. 157”). SFAS No. 157 defines fair value, establishes a framework for measuring fair value and expands disclosure about fair value measurements. SFAS No. 157 is effective for financial assets and liabilities in fiscal years beginning after November 15, 2007. The Plan’s management is currently evaluating the pending adoption of SFAS No. 157 on the Plan’s financial statements.</w:t>
      </w:r>
    </w:p>
    <w:p>
      <w:pPr>
        <w:spacing w:after="0" w:line="62" w:lineRule="exact"/>
        <w:rPr>
          <w:rFonts w:ascii="Arial" w:cs="Arial" w:eastAsia="Arial" w:hAnsi="Arial"/>
          <w:sz w:val="16"/>
          <w:szCs w:val="16"/>
          <w:color w:val="auto"/>
        </w:rPr>
      </w:pPr>
    </w:p>
    <w:p>
      <w:pPr>
        <w:ind w:left="460" w:right="160"/>
        <w:spacing w:after="0" w:line="306" w:lineRule="auto"/>
        <w:rPr>
          <w:rFonts w:ascii="Arial" w:cs="Arial" w:eastAsia="Arial" w:hAnsi="Arial"/>
          <w:sz w:val="16"/>
          <w:szCs w:val="16"/>
          <w:color w:val="auto"/>
        </w:rPr>
      </w:pPr>
      <w:r>
        <w:rPr>
          <w:rFonts w:ascii="Arial" w:cs="Arial" w:eastAsia="Arial" w:hAnsi="Arial"/>
          <w:sz w:val="16"/>
          <w:szCs w:val="16"/>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amounts reported in the Statements of Net Assets Available for Benefits.</w:t>
      </w:r>
    </w:p>
    <w:p>
      <w:pPr>
        <w:spacing w:after="0" w:line="2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Participant loans are stated at their outstanding balances, which approximates fair value.</w:t>
      </w:r>
    </w:p>
    <w:p>
      <w:pPr>
        <w:spacing w:after="0" w:line="90" w:lineRule="exact"/>
        <w:rPr>
          <w:rFonts w:ascii="Arial" w:cs="Arial" w:eastAsia="Arial" w:hAnsi="Arial"/>
          <w:sz w:val="16"/>
          <w:szCs w:val="16"/>
          <w:color w:val="auto"/>
        </w:rPr>
      </w:pPr>
    </w:p>
    <w:p>
      <w:pPr>
        <w:ind w:left="460" w:right="380"/>
        <w:spacing w:after="0" w:line="268" w:lineRule="auto"/>
        <w:rPr>
          <w:rFonts w:ascii="Arial" w:cs="Arial" w:eastAsia="Arial" w:hAnsi="Arial"/>
          <w:sz w:val="16"/>
          <w:szCs w:val="16"/>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13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Use of Estimates</w:t>
      </w:r>
    </w:p>
    <w:p>
      <w:pPr>
        <w:spacing w:after="0" w:line="90" w:lineRule="exact"/>
        <w:rPr>
          <w:rFonts w:ascii="Arial" w:cs="Arial" w:eastAsia="Arial" w:hAnsi="Arial"/>
          <w:sz w:val="16"/>
          <w:szCs w:val="16"/>
          <w:color w:val="auto"/>
        </w:rPr>
      </w:pPr>
    </w:p>
    <w:p>
      <w:pPr>
        <w:ind w:left="460" w:right="300"/>
        <w:spacing w:after="0" w:line="335" w:lineRule="auto"/>
        <w:rPr>
          <w:rFonts w:ascii="Arial" w:cs="Arial" w:eastAsia="Arial" w:hAnsi="Arial"/>
          <w:sz w:val="16"/>
          <w:szCs w:val="16"/>
          <w:color w:val="auto"/>
        </w:rPr>
      </w:pPr>
      <w:r>
        <w:rPr>
          <w:rFonts w:ascii="Arial" w:cs="Arial" w:eastAsia="Arial" w:hAnsi="Arial"/>
          <w:sz w:val="15"/>
          <w:szCs w:val="15"/>
          <w:color w:val="auto"/>
        </w:rPr>
        <w:t>In preparing financial statements in conformity with accounting principles generally accepted in the United States, management is required to make estimates and assumptions that affect the reported amounts of assets and liabilities, the disclosure of contingent assets and liabilities at the date of the financial statements, and the reported amounts of additions and deductions during the reporting period. Actual results could differ from those estimates.</w:t>
      </w:r>
    </w:p>
    <w:p>
      <w:pPr>
        <w:spacing w:after="0" w:line="8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Payment of Benefits</w:t>
      </w:r>
    </w:p>
    <w:p>
      <w:pPr>
        <w:spacing w:after="0" w:line="9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Benefits are recorded when paid.</w:t>
      </w:r>
    </w:p>
    <w:p>
      <w:pPr>
        <w:spacing w:after="0" w:line="286"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INVESTMENTS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fair market value of investments held by the Plan representing 5% or more of the Plan’s assets are identified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10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5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Comcast Common Stock</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$ 3,272,250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$ 4,593,509</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EuroPacific Growth Fund—F Share</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4,671,581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3,754,640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Washington Mutual Investors Fund—F Share</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4,990,267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4,360,985</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The Growth Fund of America—F Share</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6,845,784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5,686,502</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Baron Growth Fund</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2,290,741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1,871,907</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Dreyfus Premier Emerging Markets Fund</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2,601,499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Janus Balanced Fund</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2,862,077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2,231,293</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Strong Government Securities Fund</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2,600,144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1,908,900</w:t>
            </w: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Royce Total Return Fund</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1,928,246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1,803,590</w:t>
            </w:r>
          </w:p>
        </w:tc>
      </w:tr>
      <w:tr>
        <w:trPr>
          <w:trHeight w:val="356"/>
        </w:trPr>
        <w:tc>
          <w:tcPr>
            <w:tcW w:w="4440" w:type="dxa"/>
            <w:vAlign w:val="bottom"/>
          </w:tcPr>
          <w:p>
            <w:pPr>
              <w:spacing w:after="0"/>
              <w:rPr>
                <w:sz w:val="24"/>
                <w:szCs w:val="24"/>
                <w:color w:val="auto"/>
              </w:rPr>
            </w:pPr>
          </w:p>
        </w:tc>
        <w:tc>
          <w:tcPr>
            <w:tcW w:w="5120" w:type="dxa"/>
            <w:vAlign w:val="bottom"/>
          </w:tcPr>
          <w:p>
            <w:pPr>
              <w:jc w:val="right"/>
              <w:ind w:right="3712"/>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During 2007, the Plan’s investments, including investments purchased and sold, as well as held during the year, appreciated (depreciated) in fair value as follows:</w:t>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-111125</wp:posOffset>
            </wp:positionV>
            <wp:extent cx="666369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24130</wp:posOffset>
            </wp:positionV>
            <wp:extent cx="666369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400"/>
        <w:spacing w:after="0"/>
        <w:rPr>
          <w:sz w:val="20"/>
          <w:szCs w:val="20"/>
          <w:color w:val="auto"/>
        </w:rPr>
      </w:pPr>
      <w:r>
        <w:rPr>
          <w:rFonts w:ascii="Arial" w:cs="Arial" w:eastAsia="Arial" w:hAnsi="Arial"/>
          <w:sz w:val="14"/>
          <w:szCs w:val="14"/>
          <w:b w:val="1"/>
          <w:bCs w:val="1"/>
          <w:color w:val="auto"/>
        </w:rPr>
        <w:t>Net realized</w:t>
      </w:r>
    </w:p>
    <w:p>
      <w:pPr>
        <w:spacing w:after="0" w:line="2" w:lineRule="exact"/>
        <w:rPr>
          <w:sz w:val="20"/>
          <w:szCs w:val="20"/>
          <w:color w:val="auto"/>
        </w:rPr>
      </w:pPr>
    </w:p>
    <w:p>
      <w:pPr>
        <w:jc w:val="center"/>
        <w:ind w:right="400"/>
        <w:spacing w:after="0"/>
        <w:rPr>
          <w:sz w:val="20"/>
          <w:szCs w:val="20"/>
          <w:color w:val="auto"/>
        </w:rPr>
      </w:pPr>
      <w:r>
        <w:rPr>
          <w:rFonts w:ascii="Arial" w:cs="Arial" w:eastAsia="Arial" w:hAnsi="Arial"/>
          <w:sz w:val="12"/>
          <w:szCs w:val="12"/>
          <w:b w:val="1"/>
          <w:bCs w:val="1"/>
          <w:color w:val="auto"/>
        </w:rPr>
        <w:t>and unrealized</w:t>
      </w:r>
    </w:p>
    <w:p>
      <w:pPr>
        <w:jc w:val="center"/>
        <w:ind w:right="400"/>
        <w:spacing w:after="0" w:line="237" w:lineRule="auto"/>
        <w:rPr>
          <w:sz w:val="20"/>
          <w:szCs w:val="20"/>
          <w:color w:val="auto"/>
        </w:rPr>
      </w:pPr>
      <w:r>
        <w:rPr>
          <w:rFonts w:ascii="Arial" w:cs="Arial" w:eastAsia="Arial" w:hAnsi="Arial"/>
          <w:sz w:val="14"/>
          <w:szCs w:val="14"/>
          <w:b w:val="1"/>
          <w:bCs w:val="1"/>
          <w:color w:val="auto"/>
        </w:rPr>
        <w:t>appreciation</w:t>
      </w:r>
    </w:p>
    <w:p>
      <w:pPr>
        <w:jc w:val="center"/>
        <w:ind w:right="400"/>
        <w:spacing w:after="0"/>
        <w:rPr>
          <w:sz w:val="20"/>
          <w:szCs w:val="20"/>
          <w:color w:val="auto"/>
        </w:rPr>
      </w:pPr>
      <w:r>
        <w:rPr>
          <w:rFonts w:ascii="Arial" w:cs="Arial" w:eastAsia="Arial" w:hAnsi="Arial"/>
          <w:sz w:val="12"/>
          <w:szCs w:val="12"/>
          <w:b w:val="1"/>
          <w:bCs w:val="1"/>
          <w:color w:val="auto"/>
        </w:rPr>
        <w:t>(depreciation)</w:t>
      </w:r>
    </w:p>
    <w:p>
      <w:pPr>
        <w:spacing w:after="0" w:line="11" w:lineRule="exact"/>
        <w:rPr>
          <w:sz w:val="20"/>
          <w:szCs w:val="20"/>
          <w:color w:val="auto"/>
        </w:rPr>
      </w:pPr>
    </w:p>
    <w:p>
      <w:pPr>
        <w:jc w:val="center"/>
        <w:ind w:right="400"/>
        <w:spacing w:after="0"/>
        <w:rPr>
          <w:sz w:val="20"/>
          <w:szCs w:val="20"/>
          <w:color w:val="auto"/>
        </w:rPr>
      </w:pPr>
      <w:r>
        <w:rPr>
          <w:rFonts w:ascii="Arial" w:cs="Arial" w:eastAsia="Arial" w:hAnsi="Arial"/>
          <w:sz w:val="12"/>
          <w:szCs w:val="12"/>
          <w:b w:val="1"/>
          <w:bCs w:val="1"/>
          <w:color w:val="auto"/>
        </w:rPr>
        <w:t>in fair value of</w:t>
      </w:r>
    </w:p>
    <w:p>
      <w:pPr>
        <w:spacing w:after="0" w:line="10" w:lineRule="exact"/>
        <w:rPr>
          <w:sz w:val="20"/>
          <w:szCs w:val="20"/>
          <w:color w:val="auto"/>
        </w:rPr>
      </w:pPr>
    </w:p>
    <w:p>
      <w:pPr>
        <w:jc w:val="center"/>
        <w:ind w:right="400"/>
        <w:spacing w:after="0"/>
        <w:rPr>
          <w:sz w:val="20"/>
          <w:szCs w:val="20"/>
          <w:color w:val="auto"/>
        </w:rPr>
      </w:pPr>
      <w:r>
        <w:rPr>
          <w:rFonts w:ascii="Arial" w:cs="Arial" w:eastAsia="Arial" w:hAnsi="Arial"/>
          <w:sz w:val="14"/>
          <w:szCs w:val="14"/>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5486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120" w:hanging="111"/>
        <w:spacing w:after="0"/>
        <w:tabs>
          <w:tab w:leader="none" w:pos="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(1,649,524)</w:t>
      </w:r>
    </w:p>
    <w:p>
      <w:pPr>
        <w:spacing w:after="0" w:line="30"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6"/>
          <w:szCs w:val="16"/>
          <w:color w:val="auto"/>
        </w:rPr>
        <w:t>153,235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5486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$(1,496,289</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5486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80"/>
          </w:cols>
          <w:pgMar w:left="240" w:top="459" w:right="359" w:bottom="1440" w:gutter="0" w:footer="0" w:header="0"/>
          <w:type w:val="continuous"/>
        </w:sectPr>
      </w:pPr>
    </w:p>
    <w:p>
      <w:pPr>
        <w:spacing w:after="0" w:line="16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TRUST AGREEMENT</w:t>
      </w:r>
    </w:p>
    <w:p>
      <w:pPr>
        <w:spacing w:after="0" w:line="96"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Comcast Spectacor, L.P., as Plan Sponsor, entered into a trust agreement with Citigroup Institutional Trust Company (formerly known as Smith Barney Corporate Trust Company), a party-in-interest. Under the terms of this agreement, the Trustee will hold, invest and reinvest the funds. Comcast Spectacor, L.P. has no right, title or interest in or to the trust fund maintained under this agreement.</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PLAN TERMINATION</w:t>
      </w:r>
    </w:p>
    <w:p>
      <w:pPr>
        <w:spacing w:after="0" w:line="96" w:lineRule="exact"/>
        <w:rPr>
          <w:rFonts w:ascii="Arial" w:cs="Arial" w:eastAsia="Arial" w:hAnsi="Arial"/>
          <w:sz w:val="18"/>
          <w:szCs w:val="18"/>
          <w:color w:val="auto"/>
        </w:rPr>
      </w:pPr>
    </w:p>
    <w:p>
      <w:pPr>
        <w:ind w:left="460" w:right="100"/>
        <w:spacing w:after="0" w:line="259" w:lineRule="auto"/>
        <w:rPr>
          <w:rFonts w:ascii="Arial" w:cs="Arial" w:eastAsia="Arial" w:hAnsi="Arial"/>
          <w:sz w:val="18"/>
          <w:szCs w:val="18"/>
          <w:color w:val="auto"/>
        </w:rPr>
      </w:pPr>
      <w:r>
        <w:rPr>
          <w:rFonts w:ascii="Arial" w:cs="Arial" w:eastAsia="Arial" w:hAnsi="Arial"/>
          <w:sz w:val="18"/>
          <w:szCs w:val="18"/>
          <w:color w:val="auto"/>
        </w:rPr>
        <w:t>Although no participating employer has expressed any intent to do so, each participating employer has the right under the Plan to discontinue its contributions and to terminate the Plan with the respect to its employees. Additionally, Comcast Spectacor, L.P. has the right to terminate the Plan. In the event of Plan termination, participants will become 100% vested in their accounts.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459" w:right="3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H—LINE 4i—SCHEDULE OF ASSETS (HELD AT END OF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4"/>
              </w:rPr>
              <w:t>EIN 23-2303756</w:t>
            </w:r>
          </w:p>
        </w:tc>
      </w:tr>
      <w:tr>
        <w:trPr>
          <w:trHeight w:val="228"/>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PLAN NO. 004</w:t>
            </w:r>
          </w:p>
        </w:tc>
      </w:tr>
      <w:tr>
        <w:trPr>
          <w:trHeight w:val="340"/>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(c) Description of Investment Including Maturity Date,</w:t>
            </w:r>
          </w:p>
        </w:tc>
      </w:tr>
      <w:tr>
        <w:trPr>
          <w:trHeight w:val="175"/>
        </w:trPr>
        <w:tc>
          <w:tcPr>
            <w:tcW w:w="4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w w:val="81"/>
              </w:rPr>
              <w:t>(a)</w:t>
            </w:r>
          </w:p>
        </w:tc>
        <w:tc>
          <w:tcPr>
            <w:tcW w:w="220" w:type="dxa"/>
            <w:vAlign w:val="bottom"/>
          </w:tcPr>
          <w:p>
            <w:pPr>
              <w:spacing w:after="0"/>
              <w:rPr>
                <w:sz w:val="15"/>
                <w:szCs w:val="15"/>
                <w:color w:val="auto"/>
              </w:rPr>
            </w:pPr>
          </w:p>
        </w:tc>
        <w:tc>
          <w:tcPr>
            <w:tcW w:w="6820" w:type="dxa"/>
            <w:vAlign w:val="bottom"/>
          </w:tcPr>
          <w:p>
            <w:pPr>
              <w:ind w:left="182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220" w:type="dxa"/>
            <w:vAlign w:val="bottom"/>
          </w:tcPr>
          <w:p>
            <w:pPr>
              <w:spacing w:after="0"/>
              <w:rPr>
                <w:sz w:val="15"/>
                <w:szCs w:val="15"/>
                <w:color w:val="auto"/>
              </w:rPr>
            </w:pPr>
          </w:p>
        </w:tc>
        <w:tc>
          <w:tcPr>
            <w:tcW w:w="39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Rate of Interest, Collateral, Par, or Maturity Value</w:t>
            </w:r>
          </w:p>
        </w:tc>
      </w:tr>
      <w:tr>
        <w:trPr>
          <w:trHeight w:val="129"/>
        </w:trPr>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7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92"/>
              </w:rPr>
              <w:t>(e) Current</w:t>
            </w:r>
          </w:p>
        </w:tc>
        <w:tc>
          <w:tcPr>
            <w:tcW w:w="20" w:type="dxa"/>
            <w:vAlign w:val="bottom"/>
          </w:tcPr>
          <w:p>
            <w:pPr>
              <w:spacing w:after="0"/>
              <w:rPr>
                <w:sz w:val="11"/>
                <w:szCs w:val="11"/>
                <w:color w:val="auto"/>
              </w:rPr>
            </w:pPr>
          </w:p>
        </w:tc>
      </w:tr>
      <w:tr>
        <w:trPr>
          <w:trHeight w:val="161"/>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r>
      <w:tr>
        <w:trPr>
          <w:trHeight w:val="210"/>
        </w:trPr>
        <w:tc>
          <w:tcPr>
            <w:tcW w:w="4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Smith Barney participant loans</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8"/>
              </w:rPr>
              <w:t>Interest rates from 5.75%-10.25%;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584,781</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jc w:val="center"/>
              <w:ind w:left="74"/>
              <w:spacing w:after="0"/>
              <w:rPr>
                <w:sz w:val="20"/>
                <w:szCs w:val="20"/>
                <w:color w:val="auto"/>
              </w:rPr>
            </w:pPr>
            <w:r>
              <w:rPr>
                <w:rFonts w:ascii="Arial" w:cs="Arial" w:eastAsia="Arial" w:hAnsi="Arial"/>
                <w:sz w:val="18"/>
                <w:szCs w:val="18"/>
                <w:color w:val="auto"/>
                <w:w w:val="90"/>
              </w:rPr>
              <w:t>maturities from 2008-2036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EuroPacific Growth Fund - F Share</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1"/>
              </w:rPr>
              <w:t>Mutual fund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4,671,581</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Washington Mutual Investors Fund - F Share</w:t>
            </w:r>
          </w:p>
        </w:tc>
        <w:tc>
          <w:tcPr>
            <w:tcW w:w="220" w:type="dxa"/>
            <w:vAlign w:val="bottom"/>
          </w:tcPr>
          <w:p>
            <w:pPr>
              <w:spacing w:after="0"/>
              <w:rPr>
                <w:sz w:val="18"/>
                <w:szCs w:val="18"/>
                <w:color w:val="auto"/>
              </w:rPr>
            </w:pPr>
          </w:p>
        </w:tc>
        <w:tc>
          <w:tcPr>
            <w:tcW w:w="2700" w:type="dxa"/>
            <w:vAlign w:val="bottom"/>
          </w:tcPr>
          <w:p>
            <w:pPr>
              <w:jc w:val="center"/>
              <w:ind w:left="74"/>
              <w:spacing w:after="0"/>
              <w:rPr>
                <w:sz w:val="20"/>
                <w:szCs w:val="20"/>
                <w:color w:val="auto"/>
              </w:rPr>
            </w:pPr>
            <w:r>
              <w:rPr>
                <w:rFonts w:ascii="Arial" w:cs="Arial" w:eastAsia="Arial" w:hAnsi="Arial"/>
                <w:sz w:val="18"/>
                <w:szCs w:val="18"/>
                <w:color w:val="auto"/>
                <w:w w:val="91"/>
              </w:rPr>
              <w:t>Mutual fund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4,990,267</w:t>
            </w:r>
          </w:p>
        </w:tc>
        <w:tc>
          <w:tcPr>
            <w:tcW w:w="2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 Growth Fund of America - F Share</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1"/>
              </w:rPr>
              <w:t>Mutual fund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6,845,784</w:t>
            </w:r>
          </w:p>
        </w:tc>
        <w:tc>
          <w:tcPr>
            <w:tcW w:w="20" w:type="dxa"/>
            <w:vAlign w:val="bottom"/>
          </w:tcPr>
          <w:p>
            <w:pPr>
              <w:spacing w:after="0"/>
              <w:rPr>
                <w:sz w:val="18"/>
                <w:szCs w:val="18"/>
                <w:color w:val="auto"/>
              </w:rPr>
            </w:pPr>
          </w:p>
        </w:tc>
      </w:tr>
      <w:tr>
        <w:trPr>
          <w:trHeight w:val="216"/>
        </w:trPr>
        <w:tc>
          <w:tcPr>
            <w:tcW w:w="2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Comcast Common Stock</w:t>
            </w:r>
          </w:p>
        </w:tc>
        <w:tc>
          <w:tcPr>
            <w:tcW w:w="220" w:type="dxa"/>
            <w:vAlign w:val="bottom"/>
          </w:tcPr>
          <w:p>
            <w:pPr>
              <w:spacing w:after="0"/>
              <w:rPr>
                <w:sz w:val="18"/>
                <w:szCs w:val="18"/>
                <w:color w:val="auto"/>
              </w:rPr>
            </w:pPr>
          </w:p>
        </w:tc>
        <w:tc>
          <w:tcPr>
            <w:tcW w:w="2700" w:type="dxa"/>
            <w:vAlign w:val="bottom"/>
          </w:tcPr>
          <w:p>
            <w:pPr>
              <w:jc w:val="center"/>
              <w:ind w:left="74"/>
              <w:spacing w:after="0"/>
              <w:rPr>
                <w:sz w:val="20"/>
                <w:szCs w:val="20"/>
                <w:color w:val="auto"/>
              </w:rPr>
            </w:pPr>
            <w:r>
              <w:rPr>
                <w:rFonts w:ascii="Arial" w:cs="Arial" w:eastAsia="Arial" w:hAnsi="Arial"/>
                <w:sz w:val="18"/>
                <w:szCs w:val="18"/>
                <w:color w:val="auto"/>
                <w:w w:val="88"/>
              </w:rPr>
              <w:t>Common stock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3,272,250</w:t>
            </w:r>
          </w:p>
        </w:tc>
        <w:tc>
          <w:tcPr>
            <w:tcW w:w="2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Baron Growth Fund</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1"/>
              </w:rPr>
              <w:t>Mutual fund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2,290,741</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Cohen and Steers Realty Shares</w:t>
            </w:r>
          </w:p>
        </w:tc>
        <w:tc>
          <w:tcPr>
            <w:tcW w:w="220" w:type="dxa"/>
            <w:vAlign w:val="bottom"/>
          </w:tcPr>
          <w:p>
            <w:pPr>
              <w:spacing w:after="0"/>
              <w:rPr>
                <w:sz w:val="18"/>
                <w:szCs w:val="18"/>
                <w:color w:val="auto"/>
              </w:rPr>
            </w:pPr>
          </w:p>
        </w:tc>
        <w:tc>
          <w:tcPr>
            <w:tcW w:w="2700" w:type="dxa"/>
            <w:vAlign w:val="bottom"/>
          </w:tcPr>
          <w:p>
            <w:pPr>
              <w:jc w:val="center"/>
              <w:ind w:left="74"/>
              <w:spacing w:after="0"/>
              <w:rPr>
                <w:sz w:val="20"/>
                <w:szCs w:val="20"/>
                <w:color w:val="auto"/>
              </w:rPr>
            </w:pPr>
            <w:r>
              <w:rPr>
                <w:rFonts w:ascii="Arial" w:cs="Arial" w:eastAsia="Arial" w:hAnsi="Arial"/>
                <w:sz w:val="18"/>
                <w:szCs w:val="18"/>
                <w:color w:val="auto"/>
                <w:w w:val="91"/>
              </w:rPr>
              <w:t>Mutual fund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677,331</w:t>
            </w:r>
          </w:p>
        </w:tc>
        <w:tc>
          <w:tcPr>
            <w:tcW w:w="2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Dreyfus Appreciation Fund</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1"/>
              </w:rPr>
              <w:t>Mutual fund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436,360</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Dreyfus US Treasury Long Term Fund</w:t>
            </w:r>
          </w:p>
        </w:tc>
        <w:tc>
          <w:tcPr>
            <w:tcW w:w="220" w:type="dxa"/>
            <w:vAlign w:val="bottom"/>
          </w:tcPr>
          <w:p>
            <w:pPr>
              <w:spacing w:after="0"/>
              <w:rPr>
                <w:sz w:val="18"/>
                <w:szCs w:val="18"/>
                <w:color w:val="auto"/>
              </w:rPr>
            </w:pPr>
          </w:p>
        </w:tc>
        <w:tc>
          <w:tcPr>
            <w:tcW w:w="2700" w:type="dxa"/>
            <w:vAlign w:val="bottom"/>
          </w:tcPr>
          <w:p>
            <w:pPr>
              <w:jc w:val="center"/>
              <w:ind w:left="74"/>
              <w:spacing w:after="0"/>
              <w:rPr>
                <w:sz w:val="20"/>
                <w:szCs w:val="20"/>
                <w:color w:val="auto"/>
              </w:rPr>
            </w:pPr>
            <w:r>
              <w:rPr>
                <w:rFonts w:ascii="Arial" w:cs="Arial" w:eastAsia="Arial" w:hAnsi="Arial"/>
                <w:sz w:val="18"/>
                <w:szCs w:val="18"/>
                <w:color w:val="auto"/>
                <w:w w:val="91"/>
              </w:rPr>
              <w:t>Mutual fund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655,909</w:t>
            </w:r>
          </w:p>
        </w:tc>
        <w:tc>
          <w:tcPr>
            <w:tcW w:w="2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Dreyfus Premier Emerging Markets Fund</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1"/>
              </w:rPr>
              <w:t>Mutual fund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2,601,499</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ING GNMA Income Fund</w:t>
            </w:r>
          </w:p>
        </w:tc>
        <w:tc>
          <w:tcPr>
            <w:tcW w:w="220" w:type="dxa"/>
            <w:vAlign w:val="bottom"/>
          </w:tcPr>
          <w:p>
            <w:pPr>
              <w:spacing w:after="0"/>
              <w:rPr>
                <w:sz w:val="18"/>
                <w:szCs w:val="18"/>
                <w:color w:val="auto"/>
              </w:rPr>
            </w:pPr>
          </w:p>
        </w:tc>
        <w:tc>
          <w:tcPr>
            <w:tcW w:w="2700" w:type="dxa"/>
            <w:vAlign w:val="bottom"/>
          </w:tcPr>
          <w:p>
            <w:pPr>
              <w:jc w:val="center"/>
              <w:ind w:left="74"/>
              <w:spacing w:after="0"/>
              <w:rPr>
                <w:sz w:val="20"/>
                <w:szCs w:val="20"/>
                <w:color w:val="auto"/>
              </w:rPr>
            </w:pPr>
            <w:r>
              <w:rPr>
                <w:rFonts w:ascii="Arial" w:cs="Arial" w:eastAsia="Arial" w:hAnsi="Arial"/>
                <w:sz w:val="18"/>
                <w:szCs w:val="18"/>
                <w:color w:val="auto"/>
                <w:w w:val="91"/>
              </w:rPr>
              <w:t>Mutual fund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542,222</w:t>
            </w:r>
          </w:p>
        </w:tc>
        <w:tc>
          <w:tcPr>
            <w:tcW w:w="2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Janus Balanced Fund</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1"/>
              </w:rPr>
              <w:t>Mutual fund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2,862,077</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Strong Government Securities Fund</w:t>
            </w:r>
          </w:p>
        </w:tc>
        <w:tc>
          <w:tcPr>
            <w:tcW w:w="220" w:type="dxa"/>
            <w:vAlign w:val="bottom"/>
          </w:tcPr>
          <w:p>
            <w:pPr>
              <w:spacing w:after="0"/>
              <w:rPr>
                <w:sz w:val="18"/>
                <w:szCs w:val="18"/>
                <w:color w:val="auto"/>
              </w:rPr>
            </w:pPr>
          </w:p>
        </w:tc>
        <w:tc>
          <w:tcPr>
            <w:tcW w:w="2700" w:type="dxa"/>
            <w:vAlign w:val="bottom"/>
          </w:tcPr>
          <w:p>
            <w:pPr>
              <w:jc w:val="center"/>
              <w:ind w:left="74"/>
              <w:spacing w:after="0"/>
              <w:rPr>
                <w:sz w:val="20"/>
                <w:szCs w:val="20"/>
                <w:color w:val="auto"/>
              </w:rPr>
            </w:pPr>
            <w:r>
              <w:rPr>
                <w:rFonts w:ascii="Arial" w:cs="Arial" w:eastAsia="Arial" w:hAnsi="Arial"/>
                <w:sz w:val="18"/>
                <w:szCs w:val="18"/>
                <w:color w:val="auto"/>
                <w:w w:val="91"/>
              </w:rPr>
              <w:t>Mutual fund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2,600,144</w:t>
            </w:r>
          </w:p>
        </w:tc>
        <w:tc>
          <w:tcPr>
            <w:tcW w:w="2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Royce Total Return Fund</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1"/>
              </w:rPr>
              <w:t>Mutual fund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1,928,246</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7200" w:type="dxa"/>
            <w:vAlign w:val="bottom"/>
            <w:gridSpan w:val="3"/>
          </w:tcPr>
          <w:p>
            <w:pPr>
              <w:ind w:left="40"/>
              <w:spacing w:after="0"/>
              <w:rPr>
                <w:sz w:val="20"/>
                <w:szCs w:val="20"/>
                <w:color w:val="auto"/>
              </w:rPr>
            </w:pPr>
            <w:r>
              <w:rPr>
                <w:rFonts w:ascii="Arial" w:cs="Arial" w:eastAsia="Arial" w:hAnsi="Arial"/>
                <w:sz w:val="18"/>
                <w:szCs w:val="18"/>
                <w:color w:val="auto"/>
              </w:rPr>
              <w:t>*   Smith Barney Money Market - Government Portfolio</w:t>
            </w:r>
          </w:p>
        </w:tc>
        <w:tc>
          <w:tcPr>
            <w:tcW w:w="220" w:type="dxa"/>
            <w:vAlign w:val="bottom"/>
          </w:tcPr>
          <w:p>
            <w:pPr>
              <w:spacing w:after="0"/>
              <w:rPr>
                <w:sz w:val="18"/>
                <w:szCs w:val="18"/>
                <w:color w:val="auto"/>
              </w:rPr>
            </w:pPr>
          </w:p>
        </w:tc>
        <w:tc>
          <w:tcPr>
            <w:tcW w:w="2700" w:type="dxa"/>
            <w:vAlign w:val="bottom"/>
          </w:tcPr>
          <w:p>
            <w:pPr>
              <w:jc w:val="center"/>
              <w:ind w:left="74"/>
              <w:spacing w:after="0"/>
              <w:rPr>
                <w:sz w:val="20"/>
                <w:szCs w:val="20"/>
                <w:color w:val="auto"/>
              </w:rPr>
            </w:pPr>
            <w:r>
              <w:rPr>
                <w:rFonts w:ascii="Arial" w:cs="Arial" w:eastAsia="Arial" w:hAnsi="Arial"/>
                <w:sz w:val="18"/>
                <w:szCs w:val="18"/>
                <w:color w:val="auto"/>
                <w:w w:val="91"/>
              </w:rPr>
              <w:t>Mutual fund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1,835,943</w:t>
            </w:r>
          </w:p>
        </w:tc>
        <w:tc>
          <w:tcPr>
            <w:tcW w:w="2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 Rowe Price International Bond Advisor</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1"/>
              </w:rPr>
              <w:t>Mutual fund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407,482</w:t>
            </w:r>
          </w:p>
        </w:tc>
        <w:tc>
          <w:tcPr>
            <w:tcW w:w="20" w:type="dxa"/>
            <w:vAlign w:val="bottom"/>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American Century Vista Advisors</w:t>
            </w:r>
          </w:p>
        </w:tc>
        <w:tc>
          <w:tcPr>
            <w:tcW w:w="220" w:type="dxa"/>
            <w:vAlign w:val="bottom"/>
          </w:tcPr>
          <w:p>
            <w:pPr>
              <w:spacing w:after="0"/>
              <w:rPr>
                <w:sz w:val="19"/>
                <w:szCs w:val="19"/>
                <w:color w:val="auto"/>
              </w:rPr>
            </w:pPr>
          </w:p>
        </w:tc>
        <w:tc>
          <w:tcPr>
            <w:tcW w:w="2700" w:type="dxa"/>
            <w:vAlign w:val="bottom"/>
          </w:tcPr>
          <w:p>
            <w:pPr>
              <w:jc w:val="center"/>
              <w:ind w:left="74"/>
              <w:spacing w:after="0"/>
              <w:rPr>
                <w:sz w:val="20"/>
                <w:szCs w:val="20"/>
                <w:color w:val="auto"/>
              </w:rPr>
            </w:pPr>
            <w:r>
              <w:rPr>
                <w:rFonts w:ascii="Arial" w:cs="Arial" w:eastAsia="Arial" w:hAnsi="Arial"/>
                <w:sz w:val="18"/>
                <w:szCs w:val="18"/>
                <w:color w:val="auto"/>
                <w:w w:val="91"/>
              </w:rPr>
              <w:t>Mutual fund</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715,579</w:t>
            </w:r>
          </w:p>
        </w:tc>
        <w:tc>
          <w:tcPr>
            <w:tcW w:w="20" w:type="dxa"/>
            <w:vAlign w:val="bottom"/>
          </w:tcPr>
          <w:p>
            <w:pPr>
              <w:spacing w:after="0"/>
              <w:rPr>
                <w:sz w:val="19"/>
                <w:szCs w:val="19"/>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37,918,196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No. 333-101295 of Comcast Corporation on Form S-8 of our report dated June 17, 2008, relating to the statements of net assets available for benefits as of December 31, 2007 and 2006, the related statement of changes in net assets available for benefits for the year ended December 31, 2007 and the related supplemental Schedule H—Line 4i—schedule of assets (held at end of year) as of December 31, 2007, which report appears in the December 31, 2007 Annual Report on Form 11-K of the Comcast Spectacor 401(k)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17, 2008</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COMCAST SPECTACOR</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401(k) PLAN</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18, 2008</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6985</wp:posOffset>
            </wp:positionV>
            <wp:extent cx="34734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Accounting Officer and Controller</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2019-12-15T06:08:39Z</dcterms:created>
  <dcterms:modified xsi:type="dcterms:W3CDTF">2019-12-15T06:08:39Z</dcterms:modified>
</cp:coreProperties>
</file>