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260" w:type="dxa"/>
            <w:vAlign w:val="bottom"/>
            <w:tcBorders>
              <w:top w:val="single" w:sz="8" w:color="auto"/>
              <w:bottom w:val="single" w:sz="8" w:color="auto"/>
            </w:tcBorders>
          </w:tcPr>
          <w:p>
            <w:pPr>
              <w:spacing w:after="0"/>
              <w:rPr>
                <w:sz w:val="3"/>
                <w:szCs w:val="3"/>
                <w:color w:val="auto"/>
              </w:rPr>
            </w:pPr>
          </w:p>
        </w:tc>
        <w:tc>
          <w:tcPr>
            <w:tcW w:w="2060" w:type="dxa"/>
            <w:vAlign w:val="bottom"/>
            <w:tcBorders>
              <w:top w:val="single" w:sz="8" w:color="auto"/>
              <w:bottom w:val="single" w:sz="8" w:color="auto"/>
            </w:tcBorders>
          </w:tcPr>
          <w:p>
            <w:pPr>
              <w:spacing w:after="0"/>
              <w:rPr>
                <w:sz w:val="3"/>
                <w:szCs w:val="3"/>
                <w:color w:val="auto"/>
              </w:rPr>
            </w:pPr>
          </w:p>
        </w:tc>
        <w:tc>
          <w:tcPr>
            <w:tcW w:w="2060" w:type="dxa"/>
            <w:vAlign w:val="bottom"/>
            <w:tcBorders>
              <w:top w:val="single" w:sz="8" w:color="auto"/>
              <w:bottom w:val="single" w:sz="8" w:color="auto"/>
            </w:tcBorders>
          </w:tcPr>
          <w:p>
            <w:pPr>
              <w:spacing w:after="0"/>
              <w:rPr>
                <w:sz w:val="3"/>
                <w:szCs w:val="3"/>
                <w:color w:val="auto"/>
              </w:rPr>
            </w:pPr>
          </w:p>
        </w:tc>
        <w:tc>
          <w:tcPr>
            <w:tcW w:w="202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26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tcPr>
          <w:p>
            <w:pPr>
              <w:jc w:val="center"/>
              <w:ind w:left="29"/>
              <w:spacing w:after="0" w:line="117" w:lineRule="exact"/>
              <w:rPr>
                <w:sz w:val="20"/>
                <w:szCs w:val="20"/>
                <w:color w:val="auto"/>
              </w:rPr>
            </w:pPr>
            <w:r>
              <w:rPr>
                <w:rFonts w:ascii="Arial" w:cs="Arial" w:eastAsia="Arial" w:hAnsi="Arial"/>
                <w:sz w:val="12"/>
                <w:szCs w:val="12"/>
                <w:b w:val="1"/>
                <w:bCs w:val="1"/>
                <w:color w:val="auto"/>
              </w:rPr>
              <w:t>Maximum</w:t>
            </w:r>
          </w:p>
        </w:tc>
        <w:tc>
          <w:tcPr>
            <w:tcW w:w="2020" w:type="dxa"/>
            <w:vAlign w:val="bottom"/>
          </w:tcPr>
          <w:p>
            <w:pPr>
              <w:jc w:val="center"/>
              <w:ind w:left="9"/>
              <w:spacing w:after="0" w:line="117" w:lineRule="exact"/>
              <w:rPr>
                <w:sz w:val="20"/>
                <w:szCs w:val="20"/>
                <w:color w:val="auto"/>
              </w:rPr>
            </w:pPr>
            <w:r>
              <w:rPr>
                <w:rFonts w:ascii="Arial" w:cs="Arial" w:eastAsia="Arial" w:hAnsi="Arial"/>
                <w:sz w:val="12"/>
                <w:szCs w:val="12"/>
                <w:b w:val="1"/>
                <w:bCs w:val="1"/>
                <w:color w:val="auto"/>
              </w:rPr>
              <w:t>Amount Of</w:t>
            </w:r>
          </w:p>
        </w:tc>
      </w:tr>
      <w:tr>
        <w:trPr>
          <w:trHeight w:val="149"/>
        </w:trPr>
        <w:tc>
          <w:tcPr>
            <w:tcW w:w="20" w:type="dxa"/>
            <w:vAlign w:val="bottom"/>
          </w:tcPr>
          <w:p>
            <w:pPr>
              <w:spacing w:after="0"/>
              <w:rPr>
                <w:sz w:val="12"/>
                <w:szCs w:val="12"/>
                <w:color w:val="auto"/>
              </w:rPr>
            </w:pPr>
          </w:p>
        </w:tc>
        <w:tc>
          <w:tcPr>
            <w:tcW w:w="5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Title Of Each Class</w:t>
            </w:r>
          </w:p>
        </w:tc>
        <w:tc>
          <w:tcPr>
            <w:tcW w:w="2060" w:type="dxa"/>
            <w:vAlign w:val="bottom"/>
            <w:tcBorders>
              <w:right w:val="single" w:sz="8" w:color="auto"/>
            </w:tcBorders>
          </w:tcPr>
          <w:p>
            <w:pPr>
              <w:jc w:val="center"/>
              <w:ind w:left="26"/>
              <w:spacing w:after="0" w:line="149" w:lineRule="exact"/>
              <w:rPr>
                <w:sz w:val="20"/>
                <w:szCs w:val="20"/>
                <w:color w:val="auto"/>
              </w:rPr>
            </w:pPr>
            <w:r>
              <w:rPr>
                <w:rFonts w:ascii="Arial" w:cs="Arial" w:eastAsia="Arial" w:hAnsi="Arial"/>
                <w:sz w:val="14"/>
                <w:szCs w:val="14"/>
                <w:b w:val="1"/>
                <w:bCs w:val="1"/>
                <w:color w:val="auto"/>
                <w:w w:val="87"/>
              </w:rPr>
              <w:t>Amount To Be</w:t>
            </w:r>
          </w:p>
        </w:tc>
        <w:tc>
          <w:tcPr>
            <w:tcW w:w="2060" w:type="dxa"/>
            <w:vAlign w:val="bottom"/>
            <w:tcBorders>
              <w:right w:val="single" w:sz="8" w:color="auto"/>
            </w:tcBorders>
          </w:tcPr>
          <w:p>
            <w:pPr>
              <w:jc w:val="center"/>
              <w:ind w:left="29"/>
              <w:spacing w:after="0" w:line="149" w:lineRule="exact"/>
              <w:rPr>
                <w:sz w:val="20"/>
                <w:szCs w:val="20"/>
                <w:color w:val="auto"/>
              </w:rPr>
            </w:pPr>
            <w:r>
              <w:rPr>
                <w:rFonts w:ascii="Arial" w:cs="Arial" w:eastAsia="Arial" w:hAnsi="Arial"/>
                <w:sz w:val="14"/>
                <w:szCs w:val="14"/>
                <w:b w:val="1"/>
                <w:bCs w:val="1"/>
                <w:color w:val="auto"/>
                <w:w w:val="86"/>
              </w:rPr>
              <w:t>Aggregate</w:t>
            </w:r>
          </w:p>
        </w:tc>
        <w:tc>
          <w:tcPr>
            <w:tcW w:w="202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5"/>
        </w:trPr>
        <w:tc>
          <w:tcPr>
            <w:tcW w:w="20" w:type="dxa"/>
            <w:vAlign w:val="bottom"/>
          </w:tcPr>
          <w:p>
            <w:pPr>
              <w:spacing w:after="0"/>
              <w:rPr>
                <w:sz w:val="15"/>
                <w:szCs w:val="15"/>
                <w:color w:val="auto"/>
              </w:rPr>
            </w:pPr>
          </w:p>
        </w:tc>
        <w:tc>
          <w:tcPr>
            <w:tcW w:w="5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Of Securities To Be Registered</w:t>
            </w:r>
          </w:p>
        </w:tc>
        <w:tc>
          <w:tcPr>
            <w:tcW w:w="206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5"/>
              </w:rPr>
              <w:t>Registered</w:t>
            </w:r>
          </w:p>
        </w:tc>
        <w:tc>
          <w:tcPr>
            <w:tcW w:w="206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8"/>
              </w:rPr>
              <w:t>Offering Price</w:t>
            </w:r>
          </w:p>
        </w:tc>
        <w:tc>
          <w:tcPr>
            <w:tcW w:w="2020" w:type="dxa"/>
            <w:vAlign w:val="bottom"/>
            <w:tcBorders>
              <w:bottom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88"/>
              </w:rPr>
              <w:t>Fee (1)</w:t>
            </w:r>
          </w:p>
        </w:tc>
      </w:tr>
      <w:tr>
        <w:trPr>
          <w:trHeight w:val="210"/>
        </w:trPr>
        <w:tc>
          <w:tcPr>
            <w:tcW w:w="20" w:type="dxa"/>
            <w:vAlign w:val="bottom"/>
            <w:tcBorders>
              <w:bottom w:val="single" w:sz="8" w:color="auto"/>
            </w:tcBorders>
          </w:tcPr>
          <w:p>
            <w:pPr>
              <w:spacing w:after="0"/>
              <w:rPr>
                <w:sz w:val="18"/>
                <w:szCs w:val="18"/>
                <w:color w:val="auto"/>
              </w:rPr>
            </w:pPr>
          </w:p>
        </w:tc>
        <w:tc>
          <w:tcPr>
            <w:tcW w:w="5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5.00% Notes due 2061</w:t>
            </w:r>
          </w:p>
        </w:tc>
        <w:tc>
          <w:tcPr>
            <w:tcW w:w="206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8"/>
                <w:szCs w:val="18"/>
                <w:color w:val="auto"/>
                <w:w w:val="87"/>
              </w:rPr>
              <w:t>$287,500,000</w:t>
            </w:r>
          </w:p>
        </w:tc>
        <w:tc>
          <w:tcPr>
            <w:tcW w:w="206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8"/>
                <w:szCs w:val="18"/>
                <w:color w:val="auto"/>
                <w:w w:val="86"/>
              </w:rPr>
              <w:t>100%</w:t>
            </w:r>
          </w:p>
        </w:tc>
        <w:tc>
          <w:tcPr>
            <w:tcW w:w="2020" w:type="dxa"/>
            <w:vAlign w:val="bottom"/>
            <w:tcBorders>
              <w:bottom w:val="single" w:sz="8" w:color="auto"/>
            </w:tcBorders>
          </w:tcPr>
          <w:p>
            <w:pPr>
              <w:jc w:val="center"/>
              <w:ind w:left="9"/>
              <w:spacing w:after="0"/>
              <w:rPr>
                <w:sz w:val="20"/>
                <w:szCs w:val="20"/>
                <w:color w:val="auto"/>
              </w:rPr>
            </w:pPr>
            <w:r>
              <w:rPr>
                <w:rFonts w:ascii="Arial" w:cs="Arial" w:eastAsia="Arial" w:hAnsi="Arial"/>
                <w:sz w:val="18"/>
                <w:szCs w:val="18"/>
                <w:color w:val="auto"/>
                <w:w w:val="89"/>
              </w:rPr>
              <w:t>$39,215</w:t>
            </w:r>
          </w:p>
        </w:tc>
      </w:tr>
      <w:tr>
        <w:trPr>
          <w:trHeight w:val="20"/>
        </w:trPr>
        <w:tc>
          <w:tcPr>
            <w:tcW w:w="20" w:type="dxa"/>
            <w:vAlign w:val="bottom"/>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86"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Registration No. 333-179678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February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238760</wp:posOffset>
            </wp:positionV>
            <wp:extent cx="1397635" cy="360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$250,000,000 5.00% Notes due 2061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212725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will pay interest on the notes quarterly on March 15, June 15, September 15 and December 15 of each year, beginning on March 15, 2013. The notes will bear interest at a rate of 5.00% per year and will mature on December 15, 2061. We may redeem the notes, in whole or in part, at any time on or after December 15, 2017 at a redemption price equal to 100% of the principal amount redeemed plus accrued and unpaid interest to the redemption date.</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notes will be unsecured and will rank equally with all of our unsecured and unsubordinated indebtedness. The notes will be fully and unconditionally guaranteed by our wholly-owned cable subsidiaries named in this prospectus supplement and in the accompanying prospectus. The notes will be issued in minimum denominations of $25 and multiples in excess thereof.</w:t>
      </w:r>
    </w:p>
    <w:p>
      <w:pPr>
        <w:spacing w:after="0" w:line="14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We intend to apply to list the notes on the New York Stock Exchange under the symbol “CCV”. If the application is approved, we expect trading in the notes on the New York Stock Exchange to begin within 30 days after the original issue date. The notes are expected to trade “flat.” This means that purchasers will not pay, and sellers will not receive, any accrued and unpaid interest on the notes that is not included in the trading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149860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5" w:lineRule="exact"/>
        <w:rPr>
          <w:sz w:val="20"/>
          <w:szCs w:val="20"/>
          <w:color w:val="auto"/>
        </w:rPr>
      </w:pPr>
    </w:p>
    <w:p>
      <w:pPr>
        <w:ind w:right="20" w:firstLine="456"/>
        <w:spacing w:after="0" w:line="280"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the notes involves risks that are described in the “</w:t>
      </w:r>
      <w:hyperlink w:anchor="page7">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section of our Annual Report on Form 10-K for the year ended December 31, 2011 and beginning on page S-4 of this prospectus supplement.</w:t>
      </w:r>
    </w:p>
    <w:p>
      <w:pPr>
        <w:spacing w:after="0" w:line="1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1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4"/>
              </w:rPr>
              <w:t>Price to Investors</w:t>
            </w:r>
            <w:r>
              <w:rPr>
                <w:rFonts w:ascii="Arial" w:cs="Arial" w:eastAsia="Arial" w:hAnsi="Arial"/>
                <w:sz w:val="22"/>
                <w:szCs w:val="22"/>
                <w:b w:val="1"/>
                <w:bCs w:val="1"/>
                <w:color w:val="auto"/>
                <w:w w:val="84"/>
                <w:vertAlign w:val="superscript"/>
              </w:rPr>
              <w:t>(1)</w:t>
            </w:r>
          </w:p>
        </w:tc>
        <w:tc>
          <w:tcPr>
            <w:tcW w:w="820" w:type="dxa"/>
            <w:vAlign w:val="bottom"/>
            <w:vMerge w:val="restart"/>
          </w:tcPr>
          <w:p>
            <w:pPr>
              <w:spacing w:after="0"/>
              <w:rPr>
                <w:sz w:val="14"/>
                <w:szCs w:val="14"/>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0"/>
              </w:rPr>
              <w:t>Underwriters’</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Proceeds to Us Before</w:t>
            </w: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660" w:type="dxa"/>
            <w:vAlign w:val="bottom"/>
            <w:gridSpan w:val="2"/>
          </w:tcPr>
          <w:p>
            <w:pPr>
              <w:jc w:val="right"/>
              <w:ind w:right="920"/>
              <w:spacing w:after="0" w:line="162" w:lineRule="exact"/>
              <w:rPr>
                <w:sz w:val="20"/>
                <w:szCs w:val="20"/>
                <w:color w:val="auto"/>
              </w:rPr>
            </w:pPr>
            <w:r>
              <w:rPr>
                <w:rFonts w:ascii="Arial" w:cs="Arial" w:eastAsia="Arial" w:hAnsi="Arial"/>
                <w:sz w:val="12"/>
                <w:szCs w:val="12"/>
                <w:b w:val="1"/>
                <w:bCs w:val="1"/>
                <w:color w:val="auto"/>
              </w:rPr>
              <w:t>Discount</w:t>
            </w:r>
            <w:r>
              <w:rPr>
                <w:rFonts w:ascii="Arial" w:cs="Arial" w:eastAsia="Arial" w:hAnsi="Arial"/>
                <w:sz w:val="18"/>
                <w:szCs w:val="18"/>
                <w:b w:val="1"/>
                <w:bCs w:val="1"/>
                <w:color w:val="auto"/>
                <w:vertAlign w:val="superscript"/>
              </w:rPr>
              <w:t>(2)</w:t>
            </w:r>
          </w:p>
        </w:tc>
        <w:tc>
          <w:tcPr>
            <w:tcW w:w="200" w:type="dxa"/>
            <w:vAlign w:val="bottom"/>
          </w:tcPr>
          <w:p>
            <w:pPr>
              <w:spacing w:after="0"/>
              <w:rPr>
                <w:sz w:val="14"/>
                <w:szCs w:val="14"/>
                <w:color w:val="auto"/>
              </w:rPr>
            </w:pPr>
          </w:p>
        </w:tc>
        <w:tc>
          <w:tcPr>
            <w:tcW w:w="1280" w:type="dxa"/>
            <w:vAlign w:val="bottom"/>
            <w:gridSpan w:val="2"/>
          </w:tcPr>
          <w:p>
            <w:pPr>
              <w:jc w:val="right"/>
              <w:ind w:right="500"/>
              <w:spacing w:after="0" w:line="162" w:lineRule="exact"/>
              <w:rPr>
                <w:sz w:val="20"/>
                <w:szCs w:val="20"/>
                <w:color w:val="auto"/>
              </w:rPr>
            </w:pPr>
            <w:r>
              <w:rPr>
                <w:rFonts w:ascii="Arial" w:cs="Arial" w:eastAsia="Arial" w:hAnsi="Arial"/>
                <w:sz w:val="12"/>
                <w:szCs w:val="12"/>
                <w:b w:val="1"/>
                <w:bCs w:val="1"/>
                <w:color w:val="auto"/>
              </w:rPr>
              <w:t>Expenses</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20"/>
        </w:trPr>
        <w:tc>
          <w:tcPr>
            <w:tcW w:w="4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 note</w:t>
            </w:r>
          </w:p>
        </w:tc>
        <w:tc>
          <w:tcPr>
            <w:tcW w:w="2000" w:type="dxa"/>
            <w:vAlign w:val="bottom"/>
            <w:gridSpan w:val="2"/>
            <w:vMerge w:val="restart"/>
            <w:shd w:val="clear" w:color="auto" w:fill="CCEEFF"/>
          </w:tcPr>
          <w:p>
            <w:pPr>
              <w:jc w:val="right"/>
              <w:ind w:right="660"/>
              <w:spacing w:after="0"/>
              <w:rPr>
                <w:sz w:val="20"/>
                <w:szCs w:val="20"/>
                <w:color w:val="auto"/>
              </w:rPr>
            </w:pPr>
            <w:r>
              <w:rPr>
                <w:rFonts w:ascii="Arial" w:cs="Arial" w:eastAsia="Arial" w:hAnsi="Arial"/>
                <w:sz w:val="18"/>
                <w:szCs w:val="18"/>
                <w:color w:val="auto"/>
              </w:rPr>
              <w:t>100%</w:t>
            </w:r>
          </w:p>
        </w:tc>
        <w:tc>
          <w:tcPr>
            <w:tcW w:w="84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vMerge w:val="continue"/>
            <w:shd w:val="clear" w:color="auto" w:fill="CCEEFF"/>
          </w:tcPr>
          <w:p>
            <w:pPr>
              <w:spacing w:after="0"/>
              <w:rPr>
                <w:sz w:val="17"/>
                <w:szCs w:val="17"/>
                <w:color w:val="auto"/>
              </w:rPr>
            </w:pPr>
          </w:p>
        </w:tc>
        <w:tc>
          <w:tcPr>
            <w:tcW w:w="2000" w:type="dxa"/>
            <w:vAlign w:val="bottom"/>
            <w:gridSpan w:val="2"/>
            <w:vMerge w:val="continue"/>
            <w:shd w:val="clear" w:color="auto" w:fill="CCEEFF"/>
          </w:tcPr>
          <w:p>
            <w:pPr>
              <w:spacing w:after="0"/>
              <w:rPr>
                <w:sz w:val="17"/>
                <w:szCs w:val="17"/>
                <w:color w:val="auto"/>
              </w:rPr>
            </w:pPr>
          </w:p>
        </w:tc>
        <w:tc>
          <w:tcPr>
            <w:tcW w:w="1660" w:type="dxa"/>
            <w:vAlign w:val="bottom"/>
            <w:gridSpan w:val="2"/>
            <w:shd w:val="clear" w:color="auto" w:fill="CCEEFF"/>
          </w:tcPr>
          <w:p>
            <w:pPr>
              <w:jc w:val="right"/>
              <w:ind w:right="660"/>
              <w:spacing w:after="0" w:line="203" w:lineRule="exact"/>
              <w:rPr>
                <w:sz w:val="20"/>
                <w:szCs w:val="20"/>
                <w:color w:val="auto"/>
              </w:rPr>
            </w:pPr>
            <w:r>
              <w:rPr>
                <w:rFonts w:ascii="Arial" w:cs="Arial" w:eastAsia="Arial" w:hAnsi="Arial"/>
                <w:sz w:val="18"/>
                <w:szCs w:val="18"/>
                <w:color w:val="auto"/>
              </w:rPr>
              <w:t>3.098%</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96.902%</w:t>
            </w:r>
          </w:p>
        </w:tc>
        <w:tc>
          <w:tcPr>
            <w:tcW w:w="0" w:type="dxa"/>
            <w:vAlign w:val="bottom"/>
          </w:tcPr>
          <w:p>
            <w:pPr>
              <w:spacing w:after="0"/>
              <w:rPr>
                <w:sz w:val="1"/>
                <w:szCs w:val="1"/>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Total</w:t>
            </w:r>
          </w:p>
        </w:tc>
        <w:tc>
          <w:tcPr>
            <w:tcW w:w="2000" w:type="dxa"/>
            <w:vAlign w:val="bottom"/>
            <w:gridSpan w:val="2"/>
          </w:tcPr>
          <w:p>
            <w:pPr>
              <w:jc w:val="right"/>
              <w:ind w:right="820"/>
              <w:spacing w:after="0"/>
              <w:rPr>
                <w:sz w:val="20"/>
                <w:szCs w:val="20"/>
                <w:color w:val="auto"/>
              </w:rPr>
            </w:pPr>
            <w:r>
              <w:rPr>
                <w:rFonts w:ascii="Arial" w:cs="Arial" w:eastAsia="Arial" w:hAnsi="Arial"/>
                <w:sz w:val="18"/>
                <w:szCs w:val="18"/>
                <w:color w:val="auto"/>
                <w:w w:val="92"/>
              </w:rPr>
              <w:t>$   250,000,000</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w w:val="86"/>
              </w:rPr>
              <w:t>$ 7,745,912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242,254,088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accrued interest, if any, from December 6, 2012, if settlement occurs after that date.</w:t>
      </w:r>
    </w:p>
    <w:p>
      <w:pPr>
        <w:spacing w:after="0" w:line="15"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the weighted average underwriting discount for orders by retail and institutional investors. See “Underwriting” beginning on page S-14 of this prospectus supplement for a discussion regarding underwriting discounts.</w:t>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no exercise of the underwriters’ over-allotment option described below.</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85"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We have granted the underwriters the right to purchase up to an additional $37,500,000 aggregate principal amount of notes solely to cover over-allotments, if any.</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SA/NV (“Euroclear”) and Clearstream Banking SA (“Clearstream”), in book-entry form on or about December 6, 2012.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280" w:type="dxa"/>
            <w:vAlign w:val="bottom"/>
            <w:gridSpan w:val="3"/>
          </w:tcPr>
          <w:p>
            <w:pPr>
              <w:ind w:left="120"/>
              <w:spacing w:after="0"/>
              <w:rPr>
                <w:sz w:val="20"/>
                <w:szCs w:val="20"/>
                <w:color w:val="auto"/>
              </w:rPr>
            </w:pPr>
            <w:r>
              <w:rPr>
                <w:rFonts w:ascii="Arial" w:cs="Arial" w:eastAsia="Arial" w:hAnsi="Arial"/>
                <w:sz w:val="18"/>
                <w:szCs w:val="18"/>
                <w:i w:val="1"/>
                <w:iCs w:val="1"/>
                <w:color w:val="auto"/>
              </w:rPr>
              <w:t>Joint Book-Running Managers</w:t>
            </w:r>
          </w:p>
        </w:tc>
        <w:tc>
          <w:tcPr>
            <w:tcW w:w="2620" w:type="dxa"/>
            <w:vAlign w:val="bottom"/>
          </w:tcPr>
          <w:p>
            <w:pPr>
              <w:spacing w:after="0"/>
              <w:rPr>
                <w:sz w:val="19"/>
                <w:szCs w:val="19"/>
                <w:color w:val="auto"/>
              </w:rPr>
            </w:pPr>
          </w:p>
        </w:tc>
      </w:tr>
      <w:tr>
        <w:trPr>
          <w:trHeight w:val="458"/>
        </w:trPr>
        <w:tc>
          <w:tcPr>
            <w:tcW w:w="3000" w:type="dxa"/>
            <w:vAlign w:val="bottom"/>
          </w:tcPr>
          <w:p>
            <w:pPr>
              <w:spacing w:after="0"/>
              <w:rPr>
                <w:sz w:val="20"/>
                <w:szCs w:val="20"/>
                <w:color w:val="auto"/>
              </w:rPr>
            </w:pPr>
            <w:r>
              <w:rPr>
                <w:rFonts w:ascii="Arial" w:cs="Arial" w:eastAsia="Arial" w:hAnsi="Arial"/>
                <w:sz w:val="22"/>
                <w:szCs w:val="22"/>
                <w:b w:val="1"/>
                <w:bCs w:val="1"/>
                <w:color w:val="auto"/>
              </w:rPr>
              <w:t>BofA Merrill Lynch</w:t>
            </w:r>
          </w:p>
        </w:tc>
        <w:tc>
          <w:tcPr>
            <w:tcW w:w="1900" w:type="dxa"/>
            <w:vAlign w:val="bottom"/>
            <w:gridSpan w:val="2"/>
          </w:tcPr>
          <w:p>
            <w:pPr>
              <w:ind w:left="280"/>
              <w:spacing w:after="0"/>
              <w:rPr>
                <w:sz w:val="20"/>
                <w:szCs w:val="20"/>
                <w:color w:val="auto"/>
              </w:rPr>
            </w:pPr>
            <w:r>
              <w:rPr>
                <w:rFonts w:ascii="Arial" w:cs="Arial" w:eastAsia="Arial" w:hAnsi="Arial"/>
                <w:sz w:val="22"/>
                <w:szCs w:val="22"/>
                <w:b w:val="1"/>
                <w:bCs w:val="1"/>
                <w:color w:val="auto"/>
                <w:w w:val="97"/>
              </w:rPr>
              <w:t>Morgan Stanley</w:t>
            </w:r>
          </w:p>
        </w:tc>
        <w:tc>
          <w:tcPr>
            <w:tcW w:w="3900" w:type="dxa"/>
            <w:vAlign w:val="bottom"/>
            <w:gridSpan w:val="2"/>
          </w:tcPr>
          <w:p>
            <w:pPr>
              <w:ind w:left="1620"/>
              <w:spacing w:after="0"/>
              <w:rPr>
                <w:sz w:val="20"/>
                <w:szCs w:val="20"/>
                <w:color w:val="auto"/>
              </w:rPr>
            </w:pPr>
            <w:r>
              <w:rPr>
                <w:rFonts w:ascii="Arial" w:cs="Arial" w:eastAsia="Arial" w:hAnsi="Arial"/>
                <w:sz w:val="22"/>
                <w:szCs w:val="22"/>
                <w:b w:val="1"/>
                <w:bCs w:val="1"/>
                <w:color w:val="auto"/>
                <w:w w:val="98"/>
              </w:rPr>
              <w:t>UBS Investment Bank</w:t>
            </w:r>
          </w:p>
        </w:tc>
        <w:tc>
          <w:tcPr>
            <w:tcW w:w="2620" w:type="dxa"/>
            <w:vAlign w:val="bottom"/>
          </w:tcPr>
          <w:p>
            <w:pPr>
              <w:ind w:left="560"/>
              <w:spacing w:after="0"/>
              <w:rPr>
                <w:sz w:val="20"/>
                <w:szCs w:val="20"/>
                <w:color w:val="auto"/>
              </w:rPr>
            </w:pPr>
            <w:r>
              <w:rPr>
                <w:rFonts w:ascii="Arial" w:cs="Arial" w:eastAsia="Arial" w:hAnsi="Arial"/>
                <w:sz w:val="22"/>
                <w:szCs w:val="22"/>
                <w:b w:val="1"/>
                <w:bCs w:val="1"/>
                <w:color w:val="auto"/>
                <w:w w:val="86"/>
              </w:rPr>
              <w:t>Wells Fargo Securities</w:t>
            </w:r>
          </w:p>
        </w:tc>
      </w:tr>
      <w:tr>
        <w:trPr>
          <w:trHeight w:val="274"/>
        </w:trPr>
        <w:tc>
          <w:tcPr>
            <w:tcW w:w="30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tcPr>
          <w:p>
            <w:pPr>
              <w:spacing w:after="0"/>
              <w:rPr>
                <w:sz w:val="23"/>
                <w:szCs w:val="23"/>
                <w:color w:val="auto"/>
              </w:rPr>
            </w:pPr>
          </w:p>
        </w:tc>
        <w:tc>
          <w:tcPr>
            <w:tcW w:w="1900" w:type="dxa"/>
            <w:vAlign w:val="bottom"/>
          </w:tcPr>
          <w:p>
            <w:pPr>
              <w:spacing w:after="0"/>
              <w:rPr>
                <w:sz w:val="23"/>
                <w:szCs w:val="23"/>
                <w:color w:val="auto"/>
              </w:rPr>
            </w:pPr>
          </w:p>
        </w:tc>
        <w:tc>
          <w:tcPr>
            <w:tcW w:w="2620" w:type="dxa"/>
            <w:vAlign w:val="bottom"/>
          </w:tcPr>
          <w:p>
            <w:pPr>
              <w:spacing w:after="0"/>
              <w:rPr>
                <w:sz w:val="23"/>
                <w:szCs w:val="23"/>
                <w:color w:val="auto"/>
              </w:rPr>
            </w:pPr>
          </w:p>
        </w:tc>
      </w:tr>
      <w:tr>
        <w:trPr>
          <w:trHeight w:val="545"/>
        </w:trPr>
        <w:tc>
          <w:tcPr>
            <w:tcW w:w="3000" w:type="dxa"/>
            <w:vAlign w:val="bottom"/>
          </w:tcPr>
          <w:p>
            <w:pPr>
              <w:jc w:val="center"/>
              <w:ind w:left="467"/>
              <w:spacing w:after="0"/>
              <w:rPr>
                <w:sz w:val="20"/>
                <w:szCs w:val="20"/>
                <w:color w:val="auto"/>
              </w:rPr>
            </w:pPr>
            <w:r>
              <w:rPr>
                <w:rFonts w:ascii="Arial" w:cs="Arial" w:eastAsia="Arial" w:hAnsi="Arial"/>
                <w:sz w:val="18"/>
                <w:szCs w:val="18"/>
                <w:b w:val="1"/>
                <w:bCs w:val="1"/>
                <w:color w:val="auto"/>
                <w:w w:val="86"/>
              </w:rPr>
              <w:t>Raymond James</w:t>
            </w: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00" w:type="dxa"/>
            <w:vAlign w:val="bottom"/>
            <w:gridSpan w:val="2"/>
          </w:tcPr>
          <w:p>
            <w:pPr>
              <w:jc w:val="center"/>
              <w:ind w:right="1900"/>
              <w:spacing w:after="0"/>
              <w:rPr>
                <w:sz w:val="20"/>
                <w:szCs w:val="20"/>
                <w:color w:val="auto"/>
              </w:rPr>
            </w:pPr>
            <w:r>
              <w:rPr>
                <w:rFonts w:ascii="Arial" w:cs="Arial" w:eastAsia="Arial" w:hAnsi="Arial"/>
                <w:sz w:val="18"/>
                <w:szCs w:val="18"/>
                <w:b w:val="1"/>
                <w:bCs w:val="1"/>
                <w:color w:val="auto"/>
                <w:w w:val="92"/>
              </w:rPr>
              <w:t>RBC Capital Markets</w:t>
            </w:r>
          </w:p>
        </w:tc>
        <w:tc>
          <w:tcPr>
            <w:tcW w:w="2620" w:type="dxa"/>
            <w:vAlign w:val="bottom"/>
          </w:tcPr>
          <w:p>
            <w:pPr>
              <w:ind w:left="220"/>
              <w:spacing w:after="0"/>
              <w:rPr>
                <w:sz w:val="20"/>
                <w:szCs w:val="20"/>
                <w:color w:val="auto"/>
              </w:rPr>
            </w:pPr>
            <w:r>
              <w:rPr>
                <w:rFonts w:ascii="Arial" w:cs="Arial" w:eastAsia="Arial" w:hAnsi="Arial"/>
                <w:sz w:val="18"/>
                <w:szCs w:val="18"/>
                <w:b w:val="1"/>
                <w:bCs w:val="1"/>
                <w:color w:val="auto"/>
              </w:rPr>
              <w:t>Stifel Nicolaus Weisel</w:t>
            </w:r>
          </w:p>
        </w:tc>
      </w:tr>
      <w:tr>
        <w:trPr>
          <w:trHeight w:val="312"/>
        </w:trPr>
        <w:tc>
          <w:tcPr>
            <w:tcW w:w="3000" w:type="dxa"/>
            <w:vAlign w:val="bottom"/>
          </w:tcPr>
          <w:p>
            <w:pPr>
              <w:jc w:val="center"/>
              <w:ind w:left="467"/>
              <w:spacing w:after="0"/>
              <w:rPr>
                <w:sz w:val="20"/>
                <w:szCs w:val="20"/>
                <w:color w:val="auto"/>
              </w:rPr>
            </w:pPr>
            <w:r>
              <w:rPr>
                <w:rFonts w:ascii="Arial" w:cs="Arial" w:eastAsia="Arial" w:hAnsi="Arial"/>
                <w:sz w:val="18"/>
                <w:szCs w:val="18"/>
                <w:b w:val="1"/>
                <w:bCs w:val="1"/>
                <w:color w:val="auto"/>
                <w:w w:val="85"/>
              </w:rPr>
              <w:t>Barclays</w:t>
            </w: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00" w:type="dxa"/>
            <w:vAlign w:val="bottom"/>
            <w:gridSpan w:val="2"/>
          </w:tcPr>
          <w:p>
            <w:pPr>
              <w:jc w:val="center"/>
              <w:ind w:right="1900"/>
              <w:spacing w:after="0"/>
              <w:rPr>
                <w:sz w:val="20"/>
                <w:szCs w:val="20"/>
                <w:color w:val="auto"/>
              </w:rPr>
            </w:pPr>
            <w:r>
              <w:rPr>
                <w:rFonts w:ascii="Arial" w:cs="Arial" w:eastAsia="Arial" w:hAnsi="Arial"/>
                <w:sz w:val="18"/>
                <w:szCs w:val="18"/>
                <w:b w:val="1"/>
                <w:bCs w:val="1"/>
                <w:color w:val="auto"/>
                <w:w w:val="89"/>
              </w:rPr>
              <w:t>Citigroup</w:t>
            </w:r>
          </w:p>
        </w:tc>
        <w:tc>
          <w:tcPr>
            <w:tcW w:w="2620" w:type="dxa"/>
            <w:vAlign w:val="bottom"/>
          </w:tcPr>
          <w:p>
            <w:pPr>
              <w:ind w:left="540"/>
              <w:spacing w:after="0"/>
              <w:rPr>
                <w:sz w:val="20"/>
                <w:szCs w:val="20"/>
                <w:color w:val="auto"/>
              </w:rPr>
            </w:pPr>
            <w:r>
              <w:rPr>
                <w:rFonts w:ascii="Arial" w:cs="Arial" w:eastAsia="Arial" w:hAnsi="Arial"/>
                <w:sz w:val="18"/>
                <w:szCs w:val="18"/>
                <w:b w:val="1"/>
                <w:bCs w:val="1"/>
                <w:color w:val="auto"/>
              </w:rPr>
              <w:t>Credit Suisse</w:t>
            </w:r>
          </w:p>
        </w:tc>
      </w:tr>
      <w:tr>
        <w:trPr>
          <w:trHeight w:val="228"/>
        </w:trPr>
        <w:tc>
          <w:tcPr>
            <w:tcW w:w="3000" w:type="dxa"/>
            <w:vAlign w:val="bottom"/>
          </w:tcPr>
          <w:p>
            <w:pPr>
              <w:jc w:val="center"/>
              <w:ind w:left="447"/>
              <w:spacing w:after="0"/>
              <w:rPr>
                <w:sz w:val="20"/>
                <w:szCs w:val="20"/>
                <w:color w:val="auto"/>
              </w:rPr>
            </w:pPr>
            <w:r>
              <w:rPr>
                <w:rFonts w:ascii="Arial" w:cs="Arial" w:eastAsia="Arial" w:hAnsi="Arial"/>
                <w:sz w:val="18"/>
                <w:szCs w:val="18"/>
                <w:b w:val="1"/>
                <w:bCs w:val="1"/>
                <w:color w:val="auto"/>
                <w:w w:val="85"/>
              </w:rPr>
              <w:t>Deutsche Bank Securities</w:t>
            </w: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900" w:type="dxa"/>
            <w:vAlign w:val="bottom"/>
            <w:gridSpan w:val="2"/>
          </w:tcPr>
          <w:p>
            <w:pPr>
              <w:jc w:val="center"/>
              <w:ind w:right="1900"/>
              <w:spacing w:after="0"/>
              <w:rPr>
                <w:sz w:val="20"/>
                <w:szCs w:val="20"/>
                <w:color w:val="auto"/>
              </w:rPr>
            </w:pPr>
            <w:r>
              <w:rPr>
                <w:rFonts w:ascii="Arial" w:cs="Arial" w:eastAsia="Arial" w:hAnsi="Arial"/>
                <w:sz w:val="18"/>
                <w:szCs w:val="18"/>
                <w:b w:val="1"/>
                <w:bCs w:val="1"/>
                <w:color w:val="auto"/>
                <w:w w:val="89"/>
              </w:rPr>
              <w:t>Goldman, Sachs &amp; Co.</w:t>
            </w:r>
          </w:p>
        </w:tc>
        <w:tc>
          <w:tcPr>
            <w:tcW w:w="2620" w:type="dxa"/>
            <w:vAlign w:val="bottom"/>
          </w:tcPr>
          <w:p>
            <w:pPr>
              <w:ind w:left="560"/>
              <w:spacing w:after="0"/>
              <w:rPr>
                <w:sz w:val="20"/>
                <w:szCs w:val="20"/>
                <w:color w:val="auto"/>
              </w:rPr>
            </w:pPr>
            <w:r>
              <w:rPr>
                <w:rFonts w:ascii="Arial" w:cs="Arial" w:eastAsia="Arial" w:hAnsi="Arial"/>
                <w:sz w:val="18"/>
                <w:szCs w:val="18"/>
                <w:b w:val="1"/>
                <w:bCs w:val="1"/>
                <w:color w:val="auto"/>
              </w:rPr>
              <w:t>J.P. Morgan</w:t>
            </w: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November 29, 2012.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2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96"/>
              </w:rPr>
              <w:t>TABLE OF CONTENTS</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2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85"/>
              </w:rPr>
              <w:t>Prospectus Supplement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380" w:type="dxa"/>
            <w:vAlign w:val="bottom"/>
            <w:gridSpan w:val="14"/>
            <w:vMerge w:val="restart"/>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Prospectus Supplement Summary</w:t>
              </w:r>
            </w:hyperlink>
          </w:p>
        </w:tc>
        <w:tc>
          <w:tcPr>
            <w:tcW w:w="8560" w:type="dxa"/>
            <w:vAlign w:val="bottom"/>
            <w:gridSpan w:val="8"/>
            <w:vMerge w:val="restart"/>
          </w:tcPr>
          <w:p>
            <w:pPr>
              <w:spacing w:after="0"/>
              <w:rPr>
                <w:sz w:val="24"/>
                <w:szCs w:val="2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2380" w:type="dxa"/>
            <w:vAlign w:val="bottom"/>
            <w:tcBorders>
              <w:bottom w:val="single" w:sz="8" w:color="0000EE"/>
            </w:tcBorders>
            <w:gridSpan w:val="14"/>
            <w:vMerge w:val="continue"/>
          </w:tcPr>
          <w:p>
            <w:pPr>
              <w:spacing w:after="0"/>
              <w:rPr>
                <w:sz w:val="13"/>
                <w:szCs w:val="13"/>
                <w:color w:val="auto"/>
              </w:rPr>
            </w:pPr>
          </w:p>
        </w:tc>
        <w:tc>
          <w:tcPr>
            <w:tcW w:w="8560" w:type="dxa"/>
            <w:vAlign w:val="bottom"/>
            <w:gridSpan w:val="8"/>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10040" w:type="dxa"/>
            <w:vAlign w:val="bottom"/>
            <w:gridSpan w:val="19"/>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Ratios of Earnings to Fixed Charges and of Earnings to Combined Fixed Charges and Preferred</w:t>
              </w:r>
            </w:hyperlink>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6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Dividends</w:t>
              </w:r>
            </w:hyperlink>
          </w:p>
        </w:tc>
        <w:tc>
          <w:tcPr>
            <w:tcW w:w="422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Description of the Notes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Material U.S. Federal Income Tax Consequences for Non-U.S. Holders</w:t>
              </w:r>
            </w:hyperlink>
          </w:p>
        </w:tc>
        <w:tc>
          <w:tcPr>
            <w:tcW w:w="5920" w:type="dxa"/>
            <w:vAlign w:val="bottom"/>
            <w:gridSpan w:val="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17">
              <w:r>
                <w:rPr>
                  <w:rFonts w:ascii="Arial" w:cs="Arial" w:eastAsia="Arial" w:hAnsi="Arial"/>
                  <w:sz w:val="18"/>
                  <w:szCs w:val="18"/>
                  <w:color w:val="0000EE"/>
                  <w:w w:val="93"/>
                </w:rPr>
                <w:t>Underwriting</w:t>
              </w:r>
            </w:hyperlink>
          </w:p>
        </w:tc>
        <w:tc>
          <w:tcPr>
            <w:tcW w:w="9980" w:type="dxa"/>
            <w:vAlign w:val="bottom"/>
            <w:gridSpan w:val="1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S-14</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Legal Matters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S-19</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Experts</w:t>
              </w:r>
            </w:hyperlink>
          </w:p>
        </w:tc>
        <w:tc>
          <w:tcPr>
            <w:tcW w:w="9960" w:type="dxa"/>
            <w:vAlign w:val="bottom"/>
            <w:gridSpan w:val="1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S-19</w:t>
            </w:r>
          </w:p>
        </w:tc>
        <w:tc>
          <w:tcPr>
            <w:tcW w:w="0" w:type="dxa"/>
            <w:vAlign w:val="bottom"/>
          </w:tcPr>
          <w:p>
            <w:pPr>
              <w:spacing w:after="0"/>
              <w:rPr>
                <w:sz w:val="1"/>
                <w:szCs w:val="1"/>
                <w:color w:val="auto"/>
              </w:rPr>
            </w:pPr>
          </w:p>
        </w:tc>
      </w:tr>
      <w:tr>
        <w:trPr>
          <w:trHeight w:val="451"/>
        </w:trPr>
        <w:tc>
          <w:tcPr>
            <w:tcW w:w="2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20" w:type="dxa"/>
            <w:vAlign w:val="bottom"/>
            <w:gridSpan w:val="4"/>
          </w:tcPr>
          <w:p>
            <w:pPr>
              <w:ind w:left="240"/>
              <w:spacing w:after="0"/>
              <w:rPr>
                <w:sz w:val="20"/>
                <w:szCs w:val="20"/>
                <w:color w:val="auto"/>
              </w:rPr>
            </w:pPr>
            <w:r>
              <w:rPr>
                <w:rFonts w:ascii="Arial" w:cs="Arial" w:eastAsia="Arial" w:hAnsi="Arial"/>
                <w:sz w:val="18"/>
                <w:szCs w:val="18"/>
                <w:b w:val="1"/>
                <w:bCs w:val="1"/>
                <w:color w:val="auto"/>
              </w:rPr>
              <w:t>Prospectus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25">
              <w:r>
                <w:rPr>
                  <w:rFonts w:ascii="Arial" w:cs="Arial" w:eastAsia="Arial" w:hAnsi="Arial"/>
                  <w:sz w:val="18"/>
                  <w:szCs w:val="18"/>
                  <w:color w:val="0000EE"/>
                  <w:w w:val="86"/>
                </w:rPr>
                <w:t>The Companies</w:t>
              </w:r>
            </w:hyperlink>
          </w:p>
        </w:tc>
        <w:tc>
          <w:tcPr>
            <w:tcW w:w="9800" w:type="dxa"/>
            <w:vAlign w:val="bottom"/>
            <w:gridSpan w:val="1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Caution Concerning Forward-Looking Statements</w:t>
              </w:r>
            </w:hyperlink>
          </w:p>
        </w:tc>
        <w:tc>
          <w:tcPr>
            <w:tcW w:w="740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Dividend Policy</w:t>
              </w:r>
            </w:hyperlink>
          </w:p>
        </w:tc>
        <w:tc>
          <w:tcPr>
            <w:tcW w:w="978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Ratios of Earnings to Fixed Charges and of Earnings to Combined Fixed Charges and Preferred Dividends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Debt Securities and Cable Guarantees</w:t>
              </w:r>
            </w:hyperlink>
          </w:p>
        </w:tc>
        <w:tc>
          <w:tcPr>
            <w:tcW w:w="34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Global Securities</w:t>
              </w:r>
            </w:hyperlink>
          </w:p>
        </w:tc>
        <w:tc>
          <w:tcPr>
            <w:tcW w:w="722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Description of Capital Stock</w:t>
              </w:r>
            </w:hyperlink>
          </w:p>
        </w:tc>
        <w:tc>
          <w:tcPr>
            <w:tcW w:w="892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Plan of Distribution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Legal Matters</w:t>
              </w:r>
            </w:hyperlink>
          </w:p>
        </w:tc>
        <w:tc>
          <w:tcPr>
            <w:tcW w:w="954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Experts</w:t>
              </w:r>
            </w:hyperlink>
          </w:p>
        </w:tc>
        <w:tc>
          <w:tcPr>
            <w:tcW w:w="996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7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Available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gridSpan w:val="11"/>
            <w:shd w:val="clear" w:color="auto" w:fill="0000EE"/>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7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Incorporation of Certain Documents by Reference</w:t>
              </w:r>
            </w:hyperlink>
          </w:p>
        </w:tc>
        <w:tc>
          <w:tcPr>
            <w:tcW w:w="740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 SUMMARY</w:t>
      </w:r>
    </w:p>
    <w:p>
      <w:pPr>
        <w:spacing w:after="0" w:line="1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We are a leading provider of entertainment, information and communication products and services. On January 28, 2011, we closed the NBCUniversal transaction in which we acquired control of the businesses of NBC Universal, Inc. (now named NBCUniversal Media, LLC) (“NBCUniversal”), and on July 1, 2011, we closed the Universal Orlando transaction in which we acquired the remaining 50% equity interest in Universal City Development Partners, Ltd. that we did not already own.</w:t>
      </w:r>
    </w:p>
    <w:p>
      <w:pPr>
        <w:spacing w:after="0" w:line="143" w:lineRule="exact"/>
        <w:rPr>
          <w:sz w:val="20"/>
          <w:szCs w:val="20"/>
          <w:color w:val="auto"/>
        </w:rPr>
      </w:pPr>
    </w:p>
    <w:p>
      <w:pPr>
        <w:ind w:left="200" w:right="120" w:firstLine="443"/>
        <w:spacing w:after="0" w:line="298" w:lineRule="auto"/>
        <w:rPr>
          <w:sz w:val="20"/>
          <w:szCs w:val="20"/>
          <w:color w:val="auto"/>
        </w:rPr>
      </w:pPr>
      <w:r>
        <w:rPr>
          <w:rFonts w:ascii="Arial" w:cs="Arial" w:eastAsia="Arial" w:hAnsi="Arial"/>
          <w:sz w:val="16"/>
          <w:szCs w:val="16"/>
          <w:color w:val="auto"/>
        </w:rPr>
        <w:t>We are one of the nation’s leading providers of video, high-speed Internet and voice services to residential and business customers. As of September 30, 2012, our cable systems served 22 million video customers, 19 million high-speed Internet customers and 9.8 million voice customers and passed more than 52 million homes and businesses in 39 states and the District of Columbia. Our Cable Communications segment generates revenue primarily from subscriptions to our cable services, which we market individually and in packages, and from the sale of advertising.</w:t>
      </w:r>
    </w:p>
    <w:p>
      <w:pPr>
        <w:spacing w:after="0" w:line="113"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NBCUniversal is a leading media and entertainment company that develops, produces and distributes entertainment, news and information, sports and other content for global audiences. Our Cable Networks segment consists primarily of our national cable networks, which provide entertainment, news and information, and sports programming, our regional sports and news networks, our international cable networks, our cable television production studio, and our related digital media properties. Our Cable Networks segment generates revenue primarily from the distribution of our cable network programming to multichannel video providers, the sale of advertising and the licensing and sale of our owned programming.</w:t>
      </w:r>
    </w:p>
    <w:p>
      <w:pPr>
        <w:spacing w:after="0" w:line="116"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television stations, our broadcast television production operations, and our related digital media properties. Our Broadcast Television segment generates revenue primarily from the sale of advertising and the licensing and sale of our owned programming.</w:t>
      </w:r>
    </w:p>
    <w:p>
      <w:pPr>
        <w:spacing w:after="0" w:line="140"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color w:val="auto"/>
        </w:rPr>
        <w:t>Our Filmed Entertainment segment consists of the operations of Universal Pictures, including Focus Features, which produces, acquires, markets and distributes filmed entertainment worldwide in various media formats for theatrical, home entertainment, television and other distribution platforms. We also develop, produce and license stage plays. Our Filmed Entertainment segment generates revenue primarily from the worldwide theatrical release of our owned and acquired films, content licensing and home entertainment.</w:t>
      </w:r>
    </w:p>
    <w:p>
      <w:pPr>
        <w:spacing w:after="0" w:line="143" w:lineRule="exact"/>
        <w:rPr>
          <w:sz w:val="20"/>
          <w:szCs w:val="20"/>
          <w:color w:val="auto"/>
        </w:rPr>
      </w:pPr>
    </w:p>
    <w:p>
      <w:pPr>
        <w:jc w:val="both"/>
        <w:ind w:left="200" w:right="320" w:firstLine="443"/>
        <w:spacing w:after="0" w:line="298" w:lineRule="auto"/>
        <w:rPr>
          <w:sz w:val="20"/>
          <w:szCs w:val="20"/>
          <w:color w:val="auto"/>
        </w:rPr>
      </w:pPr>
      <w:r>
        <w:rPr>
          <w:rFonts w:ascii="Arial" w:cs="Arial" w:eastAsia="Arial" w:hAnsi="Arial"/>
          <w:sz w:val="16"/>
          <w:szCs w:val="16"/>
          <w:color w:val="auto"/>
        </w:rPr>
        <w:t>Our Theme Parks segment consists primarily of our Universal theme parks in Orlando and Hollywood. We also receive fees related to intellectual property licenses and other services from third parties that own and operate Universal Studios Japan and Universal Studios Singapore. Our Theme Parks segment generates revenue primarily from theme park attendance and per capita spending, as well as from licensing and other fees. Per capita spending includes ticket price and in-park spending on food, beverage and merchandise.</w:t>
      </w:r>
    </w:p>
    <w:p>
      <w:pPr>
        <w:spacing w:after="0" w:line="113" w:lineRule="exact"/>
        <w:rPr>
          <w:sz w:val="20"/>
          <w:szCs w:val="20"/>
          <w:color w:val="auto"/>
        </w:rPr>
      </w:pPr>
    </w:p>
    <w:p>
      <w:pPr>
        <w:ind w:left="200" w:right="360" w:firstLine="443"/>
        <w:spacing w:after="0" w:line="259" w:lineRule="auto"/>
        <w:rPr>
          <w:sz w:val="20"/>
          <w:szCs w:val="20"/>
          <w:color w:val="auto"/>
        </w:rPr>
      </w:pPr>
      <w:r>
        <w:rPr>
          <w:rFonts w:ascii="Arial" w:cs="Arial" w:eastAsia="Arial" w:hAnsi="Arial"/>
          <w:sz w:val="18"/>
          <w:szCs w:val="18"/>
          <w:color w:val="auto"/>
        </w:rPr>
        <w:t>Our other business interests primarily include Comcast Spectacor, which owns the Philadelphia Flyers and the Wells Fargo Center, a large, multipurpose arena in Philadelphia. Comcast Spectacor also owns Global Spectrum, which provides facilities management services, and Ovations Food Services, which provides food services for sporting events, concerts and other events.</w:t>
      </w:r>
    </w:p>
    <w:p>
      <w:pPr>
        <w:spacing w:after="0" w:line="140" w:lineRule="exact"/>
        <w:rPr>
          <w:sz w:val="20"/>
          <w:szCs w:val="20"/>
          <w:color w:val="auto"/>
        </w:rPr>
      </w:pPr>
    </w:p>
    <w:p>
      <w:pPr>
        <w:ind w:left="200" w:right="440" w:firstLine="443"/>
        <w:spacing w:after="0" w:line="268"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(“SEC”) incorporated by reference in</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637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26371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720"/>
        <w:spacing w:after="0" w:line="268" w:lineRule="auto"/>
        <w:rPr>
          <w:sz w:val="20"/>
          <w:szCs w:val="20"/>
          <w:color w:val="auto"/>
        </w:rPr>
      </w:pPr>
      <w:r>
        <w:rPr>
          <w:rFonts w:ascii="Arial" w:cs="Arial" w:eastAsia="Arial" w:hAnsi="Arial"/>
          <w:sz w:val="18"/>
          <w:szCs w:val="18"/>
          <w:color w:val="auto"/>
        </w:rPr>
        <w:t>the accompanying prospectus. For instructions on how to find copies of these and our other filings incorporated by reference in the accompanying prospectus, see “Available Information” in the accompanying prospectus.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 is located at One Comcast Center, Philadelphia, Pennsylvania 19103-2838. Our telephone number is (215) 286-1700.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address of our website is www.comcast.com. The information on our website is not part of this prospectus supplement or the accompanying prospectus.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Cable Guarantors</w:t>
      </w:r>
    </w:p>
    <w:p>
      <w:pPr>
        <w:spacing w:after="0" w:line="96" w:lineRule="exact"/>
        <w:rPr>
          <w:sz w:val="20"/>
          <w:szCs w:val="20"/>
          <w:color w:val="auto"/>
        </w:rPr>
      </w:pPr>
    </w:p>
    <w:p>
      <w:pPr>
        <w:ind w:left="200" w:firstLine="443"/>
        <w:spacing w:after="0" w:line="306" w:lineRule="auto"/>
        <w:rPr>
          <w:sz w:val="20"/>
          <w:szCs w:val="20"/>
          <w:color w:val="auto"/>
        </w:rPr>
      </w:pPr>
      <w:r>
        <w:rPr>
          <w:rFonts w:ascii="Arial" w:cs="Arial" w:eastAsia="Arial" w:hAnsi="Arial"/>
          <w:sz w:val="16"/>
          <w:szCs w:val="16"/>
          <w:color w:val="auto"/>
        </w:rPr>
        <w:t>Our obligations, including the payment of principal, premium, if any, and interest on the notes will be fully and unconditionally guaranteed by each of Comcast Cable Communications, LLC, Comcast Cable Holdings, LLC, Comcast MO Group, Inc. and Comcast MO of Delaware, LLC. In this prospectus supplement, we refer to these guarantors as the cable guarantors and to these guarantees as the cable guarantees.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1060" w:right="300" w:hanging="323"/>
        <w:spacing w:after="0" w:line="268"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cable guarantor’s principal place of business is One Comcast Center, Philadelphia, Pennsylvania 19103-2838.</w:t>
      </w: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060" w:type="dxa"/>
            <w:vAlign w:val="bottom"/>
            <w:tcBorders>
              <w:top w:val="single" w:sz="8" w:color="auto"/>
              <w:left w:val="single" w:sz="8" w:color="auto"/>
            </w:tcBorders>
          </w:tcPr>
          <w:p>
            <w:pPr>
              <w:spacing w:after="0"/>
              <w:rPr>
                <w:sz w:val="24"/>
                <w:szCs w:val="24"/>
                <w:color w:val="auto"/>
              </w:rPr>
            </w:pPr>
          </w:p>
        </w:tc>
        <w:tc>
          <w:tcPr>
            <w:tcW w:w="8400" w:type="dxa"/>
            <w:vAlign w:val="bottom"/>
            <w:tcBorders>
              <w:top w:val="single" w:sz="8" w:color="auto"/>
              <w:right w:val="single" w:sz="8" w:color="auto"/>
            </w:tcBorders>
          </w:tcPr>
          <w:p>
            <w:pPr>
              <w:ind w:left="2180"/>
              <w:spacing w:after="0"/>
              <w:rPr>
                <w:sz w:val="20"/>
                <w:szCs w:val="20"/>
                <w:color w:val="auto"/>
              </w:rPr>
            </w:pPr>
            <w:r>
              <w:rPr>
                <w:rFonts w:ascii="Arial" w:cs="Arial" w:eastAsia="Arial" w:hAnsi="Arial"/>
                <w:sz w:val="18"/>
                <w:szCs w:val="18"/>
                <w:b w:val="1"/>
                <w:bCs w:val="1"/>
                <w:color w:val="auto"/>
              </w:rPr>
              <w:t>The Offering</w:t>
            </w:r>
          </w:p>
        </w:tc>
      </w:tr>
      <w:tr>
        <w:trPr>
          <w:trHeight w:val="41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Issuer</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Comcast Corporation.</w:t>
            </w:r>
          </w:p>
        </w:tc>
      </w:tr>
      <w:tr>
        <w:trPr>
          <w:trHeight w:val="426"/>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Securities Offered</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7"/>
              </w:rPr>
              <w:t>$250,000,000 ($287,500,000 if the underwriters exercise their over-allotment option in full)</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aggregate principal amount of 5.00% Notes due 2061.</w:t>
            </w:r>
          </w:p>
        </w:tc>
      </w:tr>
      <w:tr>
        <w:trPr>
          <w:trHeight w:val="41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Maturity</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The notes will mature on December 15, 2061.</w:t>
            </w:r>
          </w:p>
        </w:tc>
      </w:tr>
      <w:tr>
        <w:trPr>
          <w:trHeight w:val="426"/>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Interest</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0"/>
              </w:rPr>
              <w:t>Interest on the notes will accrue at the rate of 5.00% per year, payable quarterly in cash in arrears</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5"/>
              </w:rPr>
              <w:t>on each March 15, June 15, September 15 and December 15, beginning on March 15, 2013.</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Ranking</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2"/>
              </w:rPr>
              <w:t>The notes will be unsecured and will rank equally with all of our unsecured and unsubordinated</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indebtedness.</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Cable Guarantors</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5"/>
              </w:rPr>
              <w:t>Comcast Cable Communications, LLC, Comcast Cable Holdings, LLC, Comcast MO Group,</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Inc. and Comcast MO of Delaware, LLC.</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Cable Guarantees</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The cable guarantors will fully and unconditionally guarantee the notes, including the payment of</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6"/>
              </w:rPr>
              <w:t>principal, premium, if any, and interest. The cable guarantees will rank equally with all other</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general unsecured and unsubordinated obligations of the cable guarantors.</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4"/>
              </w:rPr>
              <w:t>We may redeem the notes, in whole or in part, at any time on or after December 15, 2017 at a</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6"/>
              </w:rPr>
              <w:t>redemption price equal to 100% of the principal amount redeemed plus accrued and unpaid</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5"/>
              </w:rPr>
              <w:t>interest to the redemption date. See “Description of the Notes—Optional Redemption” in this</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prospectus supplement.</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We intend to use the proceeds from this offering, after deducting fees and expenses, for working</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3"/>
              </w:rPr>
              <w:t>capital and general corporate purposes. See “Use of Proceeds” in this prospectus supplement.</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Book Entry</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4"/>
              </w:rPr>
              <w:t>The notes will be issued in book-entry form and will be represented by global notes deposited</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with, or on behalf of, DTC and registered in the name of DTC or its nominees. Beneficial</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interests in any of the notes will be shown on, and transfers will be effected only through, records</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4"/>
              </w:rPr>
              <w:t>maintained by DTC or its nominee or indirectly through organizations that have accounts with</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DTC, including Euroclear and Clearstream, and these beneficial interests may not be exchanged</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5"/>
              </w:rPr>
              <w:t>for certificated notes, except in limited circumstances. See “Description of the Notes—Book-</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Entry System” in this prospectus supplement.</w:t>
            </w:r>
          </w:p>
        </w:tc>
      </w:tr>
      <w:tr>
        <w:trPr>
          <w:trHeight w:val="161"/>
        </w:trPr>
        <w:tc>
          <w:tcPr>
            <w:tcW w:w="3060" w:type="dxa"/>
            <w:vAlign w:val="bottom"/>
            <w:tcBorders>
              <w:left w:val="single" w:sz="8" w:color="auto"/>
              <w:bottom w:val="single" w:sz="8" w:color="auto"/>
            </w:tcBorders>
          </w:tcPr>
          <w:p>
            <w:pPr>
              <w:spacing w:after="0"/>
              <w:rPr>
                <w:sz w:val="13"/>
                <w:szCs w:val="13"/>
                <w:color w:val="auto"/>
              </w:rPr>
            </w:pPr>
          </w:p>
        </w:tc>
        <w:tc>
          <w:tcPr>
            <w:tcW w:w="8400" w:type="dxa"/>
            <w:vAlign w:val="bottom"/>
            <w:tcBorders>
              <w:bottom w:val="single" w:sz="8" w:color="auto"/>
              <w:right w:val="single" w:sz="8" w:color="auto"/>
            </w:tcBorders>
          </w:tcPr>
          <w:p>
            <w:pPr>
              <w:spacing w:after="0"/>
              <w:rPr>
                <w:sz w:val="13"/>
                <w:szCs w:val="13"/>
                <w:color w:val="auto"/>
              </w:rPr>
            </w:pPr>
          </w:p>
        </w:tc>
      </w:tr>
      <w:tr>
        <w:trPr>
          <w:trHeight w:val="359"/>
        </w:trPr>
        <w:tc>
          <w:tcPr>
            <w:tcW w:w="3060" w:type="dxa"/>
            <w:vAlign w:val="bottom"/>
          </w:tcPr>
          <w:p>
            <w:pPr>
              <w:spacing w:after="0"/>
              <w:rPr>
                <w:sz w:val="24"/>
                <w:szCs w:val="24"/>
                <w:color w:val="auto"/>
              </w:rPr>
            </w:pPr>
          </w:p>
        </w:tc>
        <w:tc>
          <w:tcPr>
            <w:tcW w:w="8400" w:type="dxa"/>
            <w:vAlign w:val="bottom"/>
          </w:tcPr>
          <w:p>
            <w:pPr>
              <w:ind w:left="254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460"/>
          </w:cols>
          <w:pgMar w:left="240" w:top="459" w:right="1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Prospective investors should carefully consider all of the information set forth in this prospectus supplement, the accompanying prospectus and any documents incorporated herein by reference before deciding to invest in any of the notes. The following is not intended as, and should not be construed as, an exhaustive list of relevant risk factors. There may be other risks that a prospective investor should consider that are relevant to its own particular circumstances or generally.</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Although we intend to apply to list the notes on the New York Stock Exchange, we cannot assure you that an active trading market will develop for the notes.</w:t>
      </w:r>
    </w:p>
    <w:p>
      <w:pPr>
        <w:spacing w:after="0" w:line="12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notes are a new issue of securities for which there is no trading market. Although we intend to apply to list the notes on the New York Stock Exchange, we can provide no assurance regarding the future development or maintenance of a market for the notes or the ability of holders of the notes to sell their notes. If such a market were to develop on the New York Stock Exchange or otherwise, the notes could trade at prices which may be higher or lower than the initial offering price depending on many factors independent of our creditworthiness, including, among other things:</w:t>
      </w:r>
    </w:p>
    <w:p>
      <w:pPr>
        <w:spacing w:after="0" w:line="32"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credit rating and the credit ratings of our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time remaining to the maturity of the notes;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outstanding principal amount of the notes;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choose to redeem the notes prior to maturity.</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may redeem all or a portion of the notes at any time on or after December 15, 2017 at a redemption price equal to 100% of the principal amount redeemed plus accrued and unpaid interest to the redemption date. If prevailing interest rates are lower at the time of redemption, you may not be able to reinvest the redemption proceeds in a comparable security at an interest rate as high as the interest rate of the notes being redeemed. Our redemption right may also adversely affect your ability to sell your notes as December 15, 2017 approaches and after such date.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intend to use the proceeds from this offering, after deducting fees and expenses, for working capital and general corporate purposes.</w:t>
      </w:r>
    </w:p>
    <w:p>
      <w:pPr>
        <w:spacing w:after="0" w:line="19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219"/>
          </w:cols>
          <w:pgMar w:left="240" w:top="45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FIXED CHARGES AND PREFERRED DIVIDENDS</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For the</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80" w:type="dxa"/>
            <w:vAlign w:val="bottom"/>
            <w:gridSpan w:val="5"/>
          </w:tcPr>
          <w:p>
            <w:pPr>
              <w:ind w:left="280"/>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20" w:type="dxa"/>
            <w:vAlign w:val="bottom"/>
            <w:gridSpan w:val="3"/>
            <w:vMerge w:val="restart"/>
          </w:tcPr>
          <w:p>
            <w:pPr>
              <w:jc w:val="center"/>
              <w:ind w:left="482"/>
              <w:spacing w:after="0"/>
              <w:rPr>
                <w:sz w:val="20"/>
                <w:szCs w:val="20"/>
                <w:color w:val="auto"/>
              </w:rPr>
            </w:pPr>
            <w:r>
              <w:rPr>
                <w:rFonts w:ascii="Arial" w:cs="Arial" w:eastAsia="Arial" w:hAnsi="Arial"/>
                <w:sz w:val="14"/>
                <w:szCs w:val="14"/>
                <w:b w:val="1"/>
                <w:bCs w:val="1"/>
                <w:color w:val="auto"/>
                <w:w w:val="83"/>
              </w:rPr>
              <w:t>2012</w:t>
            </w:r>
          </w:p>
        </w:tc>
        <w:tc>
          <w:tcPr>
            <w:tcW w:w="2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820" w:type="dxa"/>
            <w:vAlign w:val="bottom"/>
            <w:tcBorders>
              <w:bottom w:val="single" w:sz="8" w:color="CCEEFF"/>
            </w:tcBorders>
            <w:gridSpan w:val="3"/>
            <w:vMerge w:val="continue"/>
          </w:tcPr>
          <w:p>
            <w:pPr>
              <w:spacing w:after="0"/>
              <w:rPr>
                <w:sz w:val="11"/>
                <w:szCs w:val="11"/>
                <w:color w:val="auto"/>
              </w:rPr>
            </w:pPr>
          </w:p>
        </w:tc>
        <w:tc>
          <w:tcPr>
            <w:tcW w:w="720" w:type="dxa"/>
            <w:vAlign w:val="bottom"/>
            <w:tcBorders>
              <w:bottom w:val="single" w:sz="8" w:color="CCEEFF"/>
            </w:tcBorders>
            <w:gridSpan w:val="2"/>
          </w:tcPr>
          <w:p>
            <w:pPr>
              <w:spacing w:after="0"/>
              <w:rPr>
                <w:sz w:val="11"/>
                <w:szCs w:val="11"/>
                <w:color w:val="auto"/>
              </w:rPr>
            </w:pPr>
          </w:p>
        </w:tc>
        <w:tc>
          <w:tcPr>
            <w:tcW w:w="1700" w:type="dxa"/>
            <w:vAlign w:val="bottom"/>
            <w:tcBorders>
              <w:top w:val="single" w:sz="8" w:color="auto"/>
              <w:bottom w:val="single" w:sz="8" w:color="auto"/>
            </w:tcBorders>
          </w:tcPr>
          <w:p>
            <w:pPr>
              <w:jc w:val="right"/>
              <w:ind w:right="642"/>
              <w:spacing w:after="0" w:line="129"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bottom w:val="single" w:sz="8" w:color="CCEEFF"/>
            </w:tcBorders>
          </w:tcPr>
          <w:p>
            <w:pPr>
              <w:spacing w:after="0"/>
              <w:rPr>
                <w:sz w:val="11"/>
                <w:szCs w:val="11"/>
                <w:color w:val="auto"/>
              </w:rPr>
            </w:pPr>
          </w:p>
        </w:tc>
        <w:tc>
          <w:tcPr>
            <w:tcW w:w="1320" w:type="dxa"/>
            <w:vAlign w:val="bottom"/>
            <w:tcBorders>
              <w:top w:val="single" w:sz="8" w:color="auto"/>
              <w:bottom w:val="single" w:sz="8" w:color="auto"/>
            </w:tcBorders>
          </w:tcPr>
          <w:p>
            <w:pPr>
              <w:jc w:val="right"/>
              <w:ind w:right="262"/>
              <w:spacing w:after="0" w:line="129"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1700" w:type="dxa"/>
            <w:vAlign w:val="bottom"/>
            <w:tcBorders>
              <w:top w:val="single" w:sz="8" w:color="auto"/>
              <w:bottom w:val="single" w:sz="8" w:color="auto"/>
            </w:tcBorders>
          </w:tcPr>
          <w:p>
            <w:pPr>
              <w:jc w:val="right"/>
              <w:ind w:right="622"/>
              <w:spacing w:after="0" w:line="129"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ind w:right="642"/>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bottom w:val="single" w:sz="8" w:color="CCEEFF"/>
            </w:tcBorders>
          </w:tcPr>
          <w:p>
            <w:pPr>
              <w:spacing w:after="0"/>
              <w:rPr>
                <w:sz w:val="11"/>
                <w:szCs w:val="11"/>
                <w:color w:val="auto"/>
              </w:rPr>
            </w:pPr>
          </w:p>
        </w:tc>
        <w:tc>
          <w:tcPr>
            <w:tcW w:w="1600" w:type="dxa"/>
            <w:vAlign w:val="bottom"/>
            <w:tcBorders>
              <w:top w:val="single" w:sz="8" w:color="auto"/>
              <w:bottom w:val="single" w:sz="8" w:color="auto"/>
            </w:tcBorders>
          </w:tcPr>
          <w:p>
            <w:pPr>
              <w:jc w:val="right"/>
              <w:ind w:right="582"/>
              <w:spacing w:after="0" w:line="129"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03"/>
        </w:trPr>
        <w:tc>
          <w:tcPr>
            <w:tcW w:w="8580" w:type="dxa"/>
            <w:vAlign w:val="bottom"/>
            <w:gridSpan w:val="13"/>
            <w:shd w:val="clear" w:color="auto" w:fill="CCEEFF"/>
          </w:tcPr>
          <w:p>
            <w:pPr>
              <w:ind w:left="440"/>
              <w:spacing w:after="0" w:line="202" w:lineRule="exact"/>
              <w:rPr>
                <w:sz w:val="20"/>
                <w:szCs w:val="20"/>
                <w:color w:val="auto"/>
              </w:rPr>
            </w:pPr>
            <w:r>
              <w:rPr>
                <w:rFonts w:ascii="Arial" w:cs="Arial" w:eastAsia="Arial" w:hAnsi="Arial"/>
                <w:sz w:val="18"/>
                <w:szCs w:val="18"/>
                <w:b w:val="1"/>
                <w:bCs w:val="1"/>
                <w:color w:val="auto"/>
                <w:w w:val="88"/>
              </w:rPr>
              <w:t>Ratio of earnings to fixed charges and ratio of earnings to combined fixed charges and preferred dividends: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4.86x</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4.04x</w:t>
            </w:r>
          </w:p>
        </w:tc>
        <w:tc>
          <w:tcPr>
            <w:tcW w:w="1320" w:type="dxa"/>
            <w:vAlign w:val="bottom"/>
          </w:tcPr>
          <w:p>
            <w:pPr>
              <w:jc w:val="center"/>
              <w:ind w:left="302"/>
              <w:spacing w:after="0"/>
              <w:rPr>
                <w:sz w:val="20"/>
                <w:szCs w:val="20"/>
                <w:color w:val="auto"/>
              </w:rPr>
            </w:pPr>
            <w:r>
              <w:rPr>
                <w:rFonts w:ascii="Arial" w:cs="Arial" w:eastAsia="Arial" w:hAnsi="Arial"/>
                <w:sz w:val="18"/>
                <w:szCs w:val="18"/>
                <w:color w:val="auto"/>
                <w:w w:val="86"/>
              </w:rPr>
              <w:t>3.57x</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3.01x</w:t>
            </w:r>
          </w:p>
        </w:tc>
        <w:tc>
          <w:tcPr>
            <w:tcW w:w="1240" w:type="dxa"/>
            <w:vAlign w:val="bottom"/>
            <w:gridSpan w:val="2"/>
          </w:tcPr>
          <w:p>
            <w:pPr>
              <w:jc w:val="center"/>
              <w:ind w:right="660"/>
              <w:spacing w:after="0"/>
              <w:rPr>
                <w:sz w:val="20"/>
                <w:szCs w:val="20"/>
                <w:color w:val="auto"/>
              </w:rPr>
            </w:pPr>
            <w:r>
              <w:rPr>
                <w:rFonts w:ascii="Arial" w:cs="Arial" w:eastAsia="Arial" w:hAnsi="Arial"/>
                <w:sz w:val="18"/>
                <w:szCs w:val="18"/>
                <w:color w:val="auto"/>
                <w:w w:val="86"/>
              </w:rPr>
              <w:t>2.49x</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2.73x</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5"/>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NOTES</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are initially offering $250,000,000 aggregate principal amount of our 5.00% Notes due 2061. The notes will be a separate series of securities issued under an indenture, dated as of January 7, 2003 and supplemented as of March 25, 2003 and August 31, 2009, among us, the cable guarantors and The Bank of New York Mellon, formerly known as The Bank of New York, as trustee. The notes will be our direct unsecured and unsubordinated obligations and will be fully and unconditionally guaranteed by Comcast Cable Communications, LLC, Comcast Cable Holdings, LLC, Comcast MO Group, Inc. and Comcast MO of Delaware, LLC, referred to as the cable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Copies of the indenture and the form of notes are available from us upon request.</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will rank equally with all of our other unsecured and unsubordinated debt and will be entitled to the benefits of the cable guarantees described below;</w:t>
      </w:r>
    </w:p>
    <w:p>
      <w:pPr>
        <w:spacing w:after="0" w:line="124" w:lineRule="exact"/>
        <w:rPr>
          <w:rFonts w:ascii="Arial" w:cs="Arial" w:eastAsia="Arial" w:hAnsi="Arial"/>
          <w:sz w:val="15"/>
          <w:szCs w:val="15"/>
          <w:color w:val="auto"/>
        </w:rPr>
      </w:pPr>
    </w:p>
    <w:p>
      <w:pPr>
        <w:ind w:left="900" w:right="60" w:hanging="325"/>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will be issued in an initial aggregate principal amount of $250,000,000 ($287,500,000 if the underwriters exercise their overallotment option in full), maturing on December 15, 2061, with interest payable quarterly on each March 15, June 15, September 15 and December 15, beginning March 15, 2013, to holders of record on the preceding March 1, June 1, September 1 and December 1; and</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$25.00 and multiples in excess thereof.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(i) the earlier of December 6, 2012 and the date of original issuance, or (ii) from the most recent interest payment date to which interest has been paid, and will be payable quarterly on interest payment dates described for each year.</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Guarantees</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cable guarantors as described in the accompanying prospectus.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cable guarantees will not contain any restrictions on the ability of any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will have the right at our option to redeem the notes in whole or in part, at any time or from time to time on or after December 15, 2017 and prior to their maturity, on at least 30 days, but not more than 60 days, prior notice mailed to the registered address of each holder, at a redemption price equal to 100% of the principal amount of such notes, plus any accrued and unpaid interest thereon to the date of redemption.</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(provided that interests in notes represented by a Global Note will be selected for redemption by The Depository Trust Company in accordance with its standard procedures therefor). Additionally, we may at any time repurchase notes in the open market and may hold or surrender such notes to the trustee for cancellation.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Characteristics</w:t>
      </w:r>
    </w:p>
    <w:p>
      <w:pPr>
        <w:spacing w:after="0" w:line="9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We intend to apply to list the notes on the New York Stock Exchange under the symbol “CCV”. If the application is approved, we expect trading in the notes on the New York Stock Exchange to begin within 30 days after the original issue date. The notes are expected to trade “flat”. This means that purchasers will not pay, and sellers will not receive, accrued and unpaid interest on the notes that is not included in their trading price.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1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Holders may hold interests in the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DTC</w:t>
      </w:r>
    </w:p>
    <w:p>
      <w:pPr>
        <w:spacing w:after="0" w:line="9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1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cable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9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denominations of $25.00 principal amount and multiples thereof if:</w:t>
      </w:r>
    </w:p>
    <w:p>
      <w:pPr>
        <w:spacing w:after="0" w:line="51" w:lineRule="exact"/>
        <w:rPr>
          <w:sz w:val="20"/>
          <w:szCs w:val="20"/>
          <w:color w:val="auto"/>
        </w:rPr>
      </w:pPr>
    </w:p>
    <w:p>
      <w:pPr>
        <w:ind w:left="900" w:right="5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Same-Day Payment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51" w:lineRule="exact"/>
        <w:rPr>
          <w:sz w:val="20"/>
          <w:szCs w:val="20"/>
          <w:color w:val="auto"/>
        </w:rPr>
      </w:pPr>
    </w:p>
    <w:p>
      <w:pPr>
        <w:jc w:val="both"/>
        <w:ind w:left="900" w:right="8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171"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If a partnership or other entity classified as a partnership for U.S. federal income tax purposes holds the notes, the tax treatment of a partner will generally depend upon the status of the partner and the activities of the partnership. A partner of a partnership holding the notes is urged to consult his or her tax advisor.</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foreign taxing jurisdiction.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“Non-U.S. Holder” does not include a holder who is an individual present in the United States for 183 days or more in the taxable year of disposition. Such a holder is urged to consult his or her tax advisor regarding the U.S. federal income tax consequences of the sale, exchange or other disposition of a note.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of the Notes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Based upon an analysis of the relevant facts and circumstances it is the opinion of Davis Polk &amp; Wardwell LLP that under applicable law as of the date of this prospectus supplement, the notes will be treated as indebtedness for U.S. federal income tax purposes. Because there is no controlling authority directly on point and this opinion is not binding on the Internal Revenue Service (“IRS”) or any court, there can be no assurance that the IRS or a court will agree with this opinion. If the IRS were successful in challenging the classification of the notes as indebtedness, interest payments on the notes would be treated for U.S. federal income tax purposes as dividends to the extent of our current or accumulated earnings and profits. Payments to a Non-U.S. Holder that are treated as dividends would generally be subject to withholding of U.S. federal income tax, except to the extent provided by an applicable income tax treaty. Non-U.S. Holders should consult their own tax advisors regarding the tax consequences that will arise if the notes are not treated as indebtedness for U.S. federal income tax purposes. The remainder of this discussion assumes that the notes will be treated as indebtedness for U.S. federal income tax purposes.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a Note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the discussion below concerning backup withholding,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59" w:lineRule="exact"/>
        <w:rPr>
          <w:sz w:val="20"/>
          <w:szCs w:val="20"/>
          <w:color w:val="auto"/>
        </w:rPr>
      </w:pPr>
    </w:p>
    <w:p>
      <w:pPr>
        <w:ind w:left="900" w:right="1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Interest on a note described above will not be exempt from withholding tax unless the beneficial owner of that note certifies on a properly executed Internal Revenue Service Form W-8BEN, under penalties of perjury, that it is not a U.S. person.</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below concerning backup withholding, a Non-U.S. Holder of a note will not be subject to U.S. federal income tax on gain realized on the sale, exchange, redemption or other disposition of such note, unless the gain is effectively connected with the conduct by the holder of a trade or business in the United States.</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tax advisors with respect to other U.S. tax consequences of the ownership and disposition of notes including the possible imposition of an additional branch profits tax at a rate of 30% (or lower treaty 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Information returns will be filed with the Internal Revenue Service in connection with interest payments on the notes. Unless the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20"/>
          </w:cols>
          <w:pgMar w:left="24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7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Underwriter</w:t>
            </w:r>
          </w:p>
        </w:tc>
        <w:tc>
          <w:tcPr>
            <w:tcW w:w="466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Principal Amount</w:t>
            </w:r>
          </w:p>
        </w:tc>
        <w:tc>
          <w:tcPr>
            <w:tcW w:w="0" w:type="dxa"/>
            <w:vAlign w:val="bottom"/>
          </w:tcPr>
          <w:p>
            <w:pPr>
              <w:spacing w:after="0"/>
              <w:rPr>
                <w:sz w:val="1"/>
                <w:szCs w:val="1"/>
                <w:color w:val="auto"/>
              </w:rPr>
            </w:pPr>
          </w:p>
        </w:tc>
      </w:tr>
      <w:tr>
        <w:trPr>
          <w:trHeight w:val="168"/>
        </w:trPr>
        <w:tc>
          <w:tcPr>
            <w:tcW w:w="382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2"/>
              </w:rPr>
              <w:t>of Notes</w:t>
            </w:r>
          </w:p>
        </w:tc>
        <w:tc>
          <w:tcPr>
            <w:tcW w:w="0" w:type="dxa"/>
            <w:vAlign w:val="bottom"/>
          </w:tcPr>
          <w:p>
            <w:pPr>
              <w:spacing w:after="0"/>
              <w:rPr>
                <w:sz w:val="1"/>
                <w:szCs w:val="1"/>
                <w:color w:val="auto"/>
              </w:rPr>
            </w:pPr>
          </w:p>
        </w:tc>
      </w:tr>
      <w:tr>
        <w:trPr>
          <w:trHeight w:val="181"/>
        </w:trPr>
        <w:tc>
          <w:tcPr>
            <w:tcW w:w="45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Merrill Lynch, Pierce, Fenner &amp; Smith</w:t>
            </w:r>
          </w:p>
        </w:tc>
        <w:tc>
          <w:tcPr>
            <w:tcW w:w="46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5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Incorporated</w:t>
            </w:r>
          </w:p>
        </w:tc>
        <w:tc>
          <w:tcPr>
            <w:tcW w:w="48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48,912,500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48,912,500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48,912,500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48,912,500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2,662,500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2,662,500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2,662,500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2,662,500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2,662,500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2,662,500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Janney Montgomery Scott LLC</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Oppenheimer &amp; Co. Inc.</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RBS Securities Inc.</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Baird &amp; Co. Incorporated</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SMBC Nikko Capital Markets Limited</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Wedbush Securities Inc.</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BB&amp;T Capital Markets a division of Scott &amp; Stringfellow, LLC</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B.C. Ziegler and Co.</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CastleOak Securities, L.P.</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C.L. King &amp; Associates, Inc.</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A. Davidson &amp; Co.</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Davenport &amp; Company LLC</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Drexel Hamilton, LLC</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JJB Hilliard, W.L. Lyons, LLC</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Lebenthal &amp; Co., LLC</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A. Ramirez &amp; Co., Inc.</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Santander Investment Securities Inc.</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William Blair &amp; Company L.L.C.</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4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48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250,000,000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3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40" w:type="dxa"/>
            <w:vAlign w:val="bottom"/>
            <w:gridSpan w:val="2"/>
          </w:tcPr>
          <w:p>
            <w:pPr>
              <w:jc w:val="right"/>
              <w:ind w:right="3932"/>
              <w:spacing w:after="0"/>
              <w:rPr>
                <w:sz w:val="20"/>
                <w:szCs w:val="20"/>
                <w:color w:val="auto"/>
              </w:rPr>
            </w:pPr>
            <w:r>
              <w:rPr>
                <w:rFonts w:ascii="Arial" w:cs="Arial" w:eastAsia="Arial" w:hAnsi="Arial"/>
                <w:sz w:val="18"/>
                <w:szCs w:val="18"/>
                <w:color w:val="auto"/>
              </w:rPr>
              <w:t>S-14</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132"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8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It is expected that delivery of the notes will be made against payment therefor on or about December 6, 2012,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or on the next succeeding business day will be required, by virtue of the fact that the notes initially will settle in T+5, to specify an alternative settlement cycle at the time of any such trade to prevent failed settlement and should consult their own advisors.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granted to the underwriters an option, exercisable for 10 days from the date of this prospectus supplement, to purchase up to an additional</w:t>
      </w:r>
    </w:p>
    <w:p>
      <w:pPr>
        <w:spacing w:after="0" w:line="38"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$37,500,000 aggregate principal amount of notes at the public offering price less the underwriting discount. The underwriters may exercise the option solely for the purpose of covering over-allotments, if any, in connection with this offering. To the extent the option is exercised, each underwriter must purchase a number of additional notes approximately proportionate to that underwriter’s initial purchase commitment. If the underwriters exercise their over-allotment option in full (and assuming that all notes sold pursuant to the over-allotment option are related to retail orders) the total price to the public would be $287,500,000, the total underwriting discount would be $8,927,162 and the total proceeds, before deducting expenses, to us would be $278,572,838.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underwriters have advised us that they propose initially to offer the notes to the public at the public offering price on the cover page of this prospectus supplement, and to dealers at that price less a concession not in excess of $0.50 per note for retail orders and $0.30 per note for institutional orders. The underwriters may allow, and the dealers may reallow, a discount not in excess of $0.45 per note to other dealers. After the initial public offering, the public offering prices, concessions and discounts may be changed.</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expenses of the offering, not including the underwriting discount, are estimated to be $500,000 and are payable by us. Wells Fargo Securities, LLC has agreed to reimburse us for certain of these expenses.</w:t>
      </w:r>
    </w:p>
    <w:p>
      <w:pPr>
        <w:spacing w:after="0" w:line="132"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following table shows the underwriting discounts and commissions that we are to pay to the underwriters in connection with this offering. These amounts are shown assuming both no exercise and full exercise of the underwriters’ option to purchase additional notes.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No Exercise</w:t>
            </w:r>
          </w:p>
        </w:tc>
        <w:tc>
          <w:tcPr>
            <w:tcW w:w="50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Full Exercise</w:t>
            </w:r>
          </w:p>
        </w:tc>
      </w:tr>
      <w:tr>
        <w:trPr>
          <w:trHeight w:val="210"/>
        </w:trPr>
        <w:tc>
          <w:tcPr>
            <w:tcW w:w="3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note (retail orders)</w:t>
            </w:r>
          </w:p>
        </w:tc>
        <w:tc>
          <w:tcPr>
            <w:tcW w:w="4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0.7875</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Per note (institutional orders)</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0.5000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0.5000</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7,745,912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8,927,162</w:t>
            </w:r>
          </w:p>
        </w:tc>
      </w:tr>
      <w:tr>
        <w:trPr>
          <w:trHeight w:val="363"/>
        </w:trPr>
        <w:tc>
          <w:tcPr>
            <w:tcW w:w="3580" w:type="dxa"/>
            <w:vAlign w:val="bottom"/>
          </w:tcPr>
          <w:p>
            <w:pPr>
              <w:spacing w:after="0"/>
              <w:rPr>
                <w:sz w:val="24"/>
                <w:szCs w:val="24"/>
                <w:color w:val="auto"/>
              </w:rPr>
            </w:pPr>
          </w:p>
        </w:tc>
        <w:tc>
          <w:tcPr>
            <w:tcW w:w="4700" w:type="dxa"/>
            <w:vAlign w:val="bottom"/>
            <w:gridSpan w:val="2"/>
          </w:tcPr>
          <w:p>
            <w:pPr>
              <w:jc w:val="right"/>
              <w:ind w:right="2788"/>
              <w:spacing w:after="0"/>
              <w:rPr>
                <w:sz w:val="20"/>
                <w:szCs w:val="20"/>
                <w:color w:val="auto"/>
              </w:rPr>
            </w:pPr>
            <w:r>
              <w:rPr>
                <w:rFonts w:ascii="Arial" w:cs="Arial" w:eastAsia="Arial" w:hAnsi="Arial"/>
                <w:sz w:val="18"/>
                <w:szCs w:val="18"/>
                <w:color w:val="auto"/>
              </w:rPr>
              <w:t>S-15</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notes are a new issue of securities with no established trading market. We intend to apply to list the notes on the New York Stock Exchange under the symbol “CCV”. If the application is approved, we expect trading in the notes on the New York Stock Exchange to begin within 30 days after the original issue date.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agreed that for a period of 10 days from the date of this prospectus supplement we will not, without first obtaining the consent of Merrill Lynch, Pierce, Fenner &amp; Smith Incorporated, Morgan Stanley &amp; Co. LLC, UBS Securities LLC and Wells Fargo Securities, LLC, directly or indirectly, sell or offer to contract or grant any option to sell, transfer or establish an open put equivalent position, or otherwise dispose of or transfer, or announce the offering of, or file any registration statement under the Securities Act of 1933 in respect of, any retail-directed, $25 principal amount, debt securities or securities exchangeable for or convertible into such debt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connection with the offering, the underwriters are permitted to engage in transactions that stabilize the market price of the notes. These stabilization transactions consist of bids or purchases to peg, fix or maintain the price of the notes. Specifically, the underwriters may sell a principal amount of notes greater than they are obligated to purchase under the underwriting agreement, creating a short position. A short sale is covered if the short position is no greater than the principal amount of notes available for purchase by the underwriters under the over-allotment option. The underwriters can close out a covered short sale by exercising the over-allotment option or purchasing notes in the open market. In determining the source of notes to close out a covered short sale, the underwriters will consider, among other things, the open market price of shares compared to the price available under the over-allotment option. The underwriters may also sell a principal amount of notes in excess of the over-allotment option, creating a naked short position. The underwriters must close out any naked short position by purchasing notes in the open market. A naked short position is more likely to be created if the underwriters are concerned that there may be downward pressure on the price of the notes in the open market after pricing that could adversely affect investors who purchase in this offering. As an additional means of facilitating this offering, the underwriters may bid for, and purchase, notes in the open market to stabilize the price of the notes. Purchases of a security to stabilize the price or to reduce a short position could cause the price of the security to be higher than it might be in the absence of such purchases.</w:t>
      </w:r>
    </w:p>
    <w:p>
      <w:pPr>
        <w:spacing w:after="0" w:line="12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Certain of the underwriters and their affiliates are lenders under our revolving credit facility. In the ordinary course of their various business activities, the underwriters and their respective affiliates may make or hold a broad array of investments and actively trade debt and equity securities (or related derivative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securities) and financial instruments (including bank loans) for their own account and for the accounts of their customers. Such investment and securities activities may involve securities and instruments of the Issuer. If any of the underwriters or their affiliates has a lending relationship with us, certain of these underwriters or their affiliates routinely hedge, and certain other of these underwriters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no offer of notes may be made to the public in that Relevant Member State other than:</w:t>
      </w:r>
    </w:p>
    <w:p>
      <w:pPr>
        <w:spacing w:after="0" w:line="59"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 or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that no such offer of notes shall require the Company or the representative to publish a prospectus pursuant to Article 3 of the Prospectus Directive or supplement a prospectus pursuant to Article 16 of the Prospectus Directive.</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Each person in a Relevant Member State who initially acquires any notes or to whom any offer is made will be deemed to have represented, acknowledged and agreed that (A) it is a “qualified investor” within the meaning of the law in that Relevant Member State implementing Article 2(1)(e) of the Prospectus Directive; and (B) in the case of any notes acquired by it as a financial intermediary, as that term is used in Article 3(2) of the Prospectus Directive, the notes acquired by it in the offering have not been acquired on behalf of, nor have they been acquired with a view to their offer or resale to, persons in any Relevant Member State other than “qualified investors” as defined in the Prospectus Directive, or in circumstances in which the prior consent of the representatives has been given to the offer or resale. In the case of any notes being offered to a financial intermediary, as that term is used in Article 3(2) of the Prospectus Directive, each such financial intermediary will be deemed to have represented, acknowledged and agreed that the notes acquired by it in the offer have not been acquired on a non-discretionary basis on behalf of, nor have they been acquired with a view to their offer or resale to, persons in circumstances that may give rise to an offer of any notes to the public other than their offer or resale in a Relevant Member State to qualified investors as so defined or in circumstances in which the prior consent of the representatives has been obtained to each such proposed offer or resale.</w:t>
      </w:r>
    </w:p>
    <w:p>
      <w:pPr>
        <w:spacing w:after="0" w:line="12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representatives and our and their respective affiliates will rely upon the truth and accuracy of the foregoing representation, acknowledgement and agreement.</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This prospectus supplement and the accompanying prospectus have been prepared on the basis that any offer of notes in any Relevant Member State will be made pursuant to an exemption under the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Directive from the requirement to publish a prospectus for offers of notes. Accordingly, any person making or intending to make an offer in that Relevant Member State of notes that are the subject of the offering contemplated in this prospectus supplement may only do so in circumstances in which no obligation arises for us or any of the underwriters to publish a prospectus pursuant to Article 3 of the Prospectus Directive in relation to such offer. Neither we nor the underwriters have authorized, nor do we or the underwriters authorize, the making of any offer of notes in circumstances in which an obligation arises for us or the underwriters to publish a prospectus for such offer.</w:t>
      </w:r>
    </w:p>
    <w:p>
      <w:pPr>
        <w:spacing w:after="0" w:line="14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the Relevant Member State by any measure implementing the Prospectus Directive in the Relevant Member State,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notes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securities have not been and will not be registered under the Securities and Exchange Law of Japan (the “Securities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Securities and Exchange Law and any other applicable laws, regulations and ministerial guidelines of Japan.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62" w:lineRule="exact"/>
        <w:rPr>
          <w:sz w:val="20"/>
          <w:szCs w:val="20"/>
          <w:color w:val="auto"/>
        </w:rPr>
      </w:pPr>
    </w:p>
    <w:p>
      <w:pPr>
        <w:ind w:left="1120" w:hanging="217"/>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a relevant person, or any person pursuant to Section 257(1A), and in accordance with the conditions, specified in Section 275 of the SFA; or</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Whether the notes are subscribed or purchased under Section 275 by a relevant person that is:</w:t>
      </w:r>
    </w:p>
    <w:p>
      <w:pPr>
        <w:spacing w:after="0" w:line="90" w:lineRule="exact"/>
        <w:rPr>
          <w:sz w:val="20"/>
          <w:szCs w:val="20"/>
          <w:color w:val="auto"/>
        </w:rPr>
      </w:pPr>
    </w:p>
    <w:p>
      <w:pPr>
        <w:ind w:left="460" w:right="20" w:firstLine="443"/>
        <w:spacing w:after="0" w:line="268" w:lineRule="auto"/>
        <w:tabs>
          <w:tab w:leader="none" w:pos="11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Various legal matters relating to the offering will be passed upon for us by Arthur R. Block, Esquire, Senior Vice President, General Counsel and Secretary of Comcast Corporation, Thomas R. Nathan, Esquire, Senior Vice President of the cable guarantors, and by Davis Polk &amp; Wardwell LLP, Menlo Park, California. Cahill Gordon &amp; Reindel </w:t>
      </w:r>
      <w:r>
        <w:rPr>
          <w:rFonts w:ascii="Arial" w:cs="Arial" w:eastAsia="Arial" w:hAnsi="Arial"/>
          <w:sz w:val="14"/>
          <w:szCs w:val="14"/>
          <w:color w:val="auto"/>
        </w:rPr>
        <w:t>LLP</w:t>
      </w:r>
      <w:r>
        <w:rPr>
          <w:rFonts w:ascii="Arial" w:cs="Arial" w:eastAsia="Arial" w:hAnsi="Arial"/>
          <w:sz w:val="18"/>
          <w:szCs w:val="18"/>
          <w:color w:val="auto"/>
        </w:rPr>
        <w:t>, New York, New York, is representing the underwriters.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incorporated in this prospectus supplement by reference from the Company’s Annual Report on Form 10-K for the year ended December 31, 2011,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898525</wp:posOffset>
            </wp:positionV>
            <wp:extent cx="15176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349250</wp:posOffset>
            </wp:positionV>
            <wp:extent cx="1397635" cy="3600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Unsecured senior debt securities</w:t>
            </w:r>
          </w:p>
        </w:tc>
        <w:tc>
          <w:tcPr>
            <w:tcW w:w="1480" w:type="dxa"/>
            <w:vAlign w:val="bottom"/>
          </w:tcPr>
          <w:p>
            <w:pPr>
              <w:ind w:left="1360"/>
              <w:spacing w:after="0"/>
              <w:rPr>
                <w:sz w:val="20"/>
                <w:szCs w:val="20"/>
                <w:color w:val="auto"/>
              </w:rPr>
            </w:pPr>
            <w:r>
              <w:rPr>
                <w:rFonts w:ascii="Arial" w:cs="Arial" w:eastAsia="Arial" w:hAnsi="Arial"/>
                <w:sz w:val="18"/>
                <w:szCs w:val="18"/>
                <w:color w:val="auto"/>
              </w:rPr>
              <w:t>•</w:t>
            </w:r>
          </w:p>
        </w:tc>
        <w:tc>
          <w:tcPr>
            <w:tcW w:w="2260" w:type="dxa"/>
            <w:vAlign w:val="bottom"/>
          </w:tcPr>
          <w:p>
            <w:pPr>
              <w:ind w:left="80"/>
              <w:spacing w:after="0"/>
              <w:rPr>
                <w:sz w:val="20"/>
                <w:szCs w:val="20"/>
                <w:color w:val="auto"/>
              </w:rPr>
            </w:pPr>
            <w:r>
              <w:rPr>
                <w:rFonts w:ascii="Arial" w:cs="Arial" w:eastAsia="Arial" w:hAnsi="Arial"/>
                <w:sz w:val="18"/>
                <w:szCs w:val="18"/>
                <w:color w:val="auto"/>
              </w:rPr>
              <w:t>Preferred stock</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Unsecured subordinated debt securities</w:t>
            </w:r>
          </w:p>
        </w:tc>
        <w:tc>
          <w:tcPr>
            <w:tcW w:w="1480" w:type="dxa"/>
            <w:vAlign w:val="bottom"/>
          </w:tcPr>
          <w:p>
            <w:pPr>
              <w:ind w:left="1360"/>
              <w:spacing w:after="0"/>
              <w:rPr>
                <w:sz w:val="20"/>
                <w:szCs w:val="20"/>
                <w:color w:val="auto"/>
              </w:rPr>
            </w:pPr>
            <w:r>
              <w:rPr>
                <w:rFonts w:ascii="Arial" w:cs="Arial" w:eastAsia="Arial" w:hAnsi="Arial"/>
                <w:sz w:val="18"/>
                <w:szCs w:val="18"/>
                <w:color w:val="auto"/>
              </w:rPr>
              <w:t>•</w:t>
            </w:r>
          </w:p>
        </w:tc>
        <w:tc>
          <w:tcPr>
            <w:tcW w:w="2260" w:type="dxa"/>
            <w:vAlign w:val="bottom"/>
          </w:tcPr>
          <w:p>
            <w:pPr>
              <w:ind w:left="80"/>
              <w:spacing w:after="0"/>
              <w:rPr>
                <w:sz w:val="20"/>
                <w:szCs w:val="20"/>
                <w:color w:val="auto"/>
              </w:rPr>
            </w:pPr>
            <w:r>
              <w:rPr>
                <w:rFonts w:ascii="Arial" w:cs="Arial" w:eastAsia="Arial" w:hAnsi="Arial"/>
                <w:sz w:val="18"/>
                <w:szCs w:val="18"/>
                <w:color w:val="auto"/>
              </w:rPr>
              <w:t>Depositary shares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Warrants</w:t>
            </w:r>
          </w:p>
        </w:tc>
        <w:tc>
          <w:tcPr>
            <w:tcW w:w="3740" w:type="dxa"/>
            <w:vAlign w:val="bottom"/>
            <w:gridSpan w:val="2"/>
          </w:tcPr>
          <w:p>
            <w:pPr>
              <w:ind w:left="1360"/>
              <w:spacing w:after="0"/>
              <w:rPr>
                <w:sz w:val="20"/>
                <w:szCs w:val="20"/>
                <w:color w:val="auto"/>
              </w:rPr>
            </w:pPr>
            <w:r>
              <w:rPr>
                <w:rFonts w:ascii="Arial" w:cs="Arial" w:eastAsia="Arial" w:hAnsi="Arial"/>
                <w:sz w:val="18"/>
                <w:szCs w:val="18"/>
                <w:color w:val="auto"/>
              </w:rPr>
              <w:t>•  Class A common stock</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Purchase contracts</w:t>
            </w:r>
          </w:p>
        </w:tc>
        <w:tc>
          <w:tcPr>
            <w:tcW w:w="3740" w:type="dxa"/>
            <w:vAlign w:val="bottom"/>
            <w:gridSpan w:val="2"/>
          </w:tcPr>
          <w:p>
            <w:pPr>
              <w:ind w:left="1360"/>
              <w:spacing w:after="0"/>
              <w:rPr>
                <w:sz w:val="20"/>
                <w:szCs w:val="20"/>
                <w:color w:val="auto"/>
              </w:rPr>
            </w:pPr>
            <w:r>
              <w:rPr>
                <w:rFonts w:ascii="Arial" w:cs="Arial" w:eastAsia="Arial" w:hAnsi="Arial"/>
                <w:sz w:val="18"/>
                <w:szCs w:val="18"/>
                <w:color w:val="auto"/>
                <w:w w:val="89"/>
              </w:rPr>
              <w:t>•  Class A Special common stock</w:t>
            </w:r>
          </w:p>
        </w:tc>
      </w:t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Units</w:t>
            </w:r>
          </w:p>
        </w:tc>
        <w:tc>
          <w:tcPr>
            <w:tcW w:w="1480" w:type="dxa"/>
            <w:vAlign w:val="bottom"/>
          </w:tcPr>
          <w:p>
            <w:pPr>
              <w:spacing w:after="0"/>
              <w:rPr>
                <w:sz w:val="19"/>
                <w:szCs w:val="19"/>
                <w:color w:val="auto"/>
              </w:rPr>
            </w:pPr>
          </w:p>
        </w:tc>
        <w:tc>
          <w:tcPr>
            <w:tcW w:w="2260" w:type="dxa"/>
            <w:vAlign w:val="bottom"/>
          </w:tcPr>
          <w:p>
            <w:pPr>
              <w:spacing w:after="0"/>
              <w:rPr>
                <w:sz w:val="19"/>
                <w:szCs w:val="19"/>
                <w:color w:val="auto"/>
              </w:rPr>
            </w:pPr>
          </w:p>
        </w:tc>
      </w:tr>
    </w:tbl>
    <w:p>
      <w:pPr>
        <w:spacing w:after="0" w:line="15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cable subsidiaries named in this prospectus.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Global Select Market under the ticker symbols “CMCSA” and “CMCSK”. On February 23, 2012, the reported last sale prices on the Nasdaq Global Select Market for our Class A common stock and our Class A Special common stock were $29.81 and $28.88,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60"/>
              <w:spacing w:after="0"/>
              <w:rPr>
                <w:sz w:val="20"/>
                <w:szCs w:val="20"/>
                <w:color w:val="auto"/>
              </w:rPr>
            </w:pPr>
            <w:r>
              <w:rPr>
                <w:rFonts w:ascii="Arial" w:cs="Arial" w:eastAsia="Arial" w:hAnsi="Arial"/>
                <w:sz w:val="18"/>
                <w:szCs w:val="18"/>
                <w:color w:val="auto"/>
              </w:rPr>
              <w:t>Maturity</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3040" w:type="dxa"/>
            <w:vAlign w:val="bottom"/>
          </w:tcPr>
          <w:p>
            <w:pPr>
              <w:ind w:left="80"/>
              <w:spacing w:after="0"/>
              <w:rPr>
                <w:sz w:val="20"/>
                <w:szCs w:val="20"/>
                <w:color w:val="auto"/>
              </w:rPr>
            </w:pPr>
            <w:r>
              <w:rPr>
                <w:rFonts w:ascii="Arial" w:cs="Arial" w:eastAsia="Arial" w:hAnsi="Arial"/>
                <w:sz w:val="18"/>
                <w:szCs w:val="18"/>
                <w:color w:val="auto"/>
              </w:rPr>
              <w:t>Dividends</w:t>
            </w:r>
          </w:p>
        </w:tc>
        <w:tc>
          <w:tcPr>
            <w:tcW w:w="3060" w:type="dxa"/>
            <w:vAlign w:val="bottom"/>
            <w:gridSpan w:val="2"/>
          </w:tcPr>
          <w:p>
            <w:pPr>
              <w:ind w:left="720"/>
              <w:spacing w:after="0"/>
              <w:rPr>
                <w:sz w:val="20"/>
                <w:szCs w:val="20"/>
                <w:color w:val="auto"/>
              </w:rPr>
            </w:pPr>
            <w:r>
              <w:rPr>
                <w:rFonts w:ascii="Arial" w:cs="Arial" w:eastAsia="Arial" w:hAnsi="Arial"/>
                <w:sz w:val="18"/>
                <w:szCs w:val="18"/>
                <w:color w:val="auto"/>
                <w:w w:val="89"/>
              </w:rPr>
              <w:t>•  Conversion or exchange rights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60"/>
              <w:spacing w:after="0"/>
              <w:rPr>
                <w:sz w:val="20"/>
                <w:szCs w:val="20"/>
                <w:color w:val="auto"/>
              </w:rPr>
            </w:pPr>
            <w:r>
              <w:rPr>
                <w:rFonts w:ascii="Arial" w:cs="Arial" w:eastAsia="Arial" w:hAnsi="Arial"/>
                <w:sz w:val="18"/>
                <w:szCs w:val="18"/>
                <w:color w:val="auto"/>
              </w:rPr>
              <w:t>Interest rate</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3040" w:type="dxa"/>
            <w:vAlign w:val="bottom"/>
          </w:tcPr>
          <w:p>
            <w:pPr>
              <w:ind w:left="80"/>
              <w:spacing w:after="0"/>
              <w:rPr>
                <w:sz w:val="20"/>
                <w:szCs w:val="20"/>
                <w:color w:val="auto"/>
              </w:rPr>
            </w:pPr>
            <w:r>
              <w:rPr>
                <w:rFonts w:ascii="Arial" w:cs="Arial" w:eastAsia="Arial" w:hAnsi="Arial"/>
                <w:sz w:val="18"/>
                <w:szCs w:val="18"/>
                <w:color w:val="auto"/>
              </w:rPr>
              <w:t>Redemption terms</w:t>
            </w:r>
          </w:p>
        </w:tc>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2220" w:type="dxa"/>
            <w:vAlign w:val="bottom"/>
          </w:tcPr>
          <w:p>
            <w:pPr>
              <w:ind w:left="60"/>
              <w:spacing w:after="0"/>
              <w:rPr>
                <w:sz w:val="20"/>
                <w:szCs w:val="20"/>
                <w:color w:val="auto"/>
              </w:rPr>
            </w:pPr>
            <w:r>
              <w:rPr>
                <w:rFonts w:ascii="Arial" w:cs="Arial" w:eastAsia="Arial" w:hAnsi="Arial"/>
                <w:sz w:val="18"/>
                <w:szCs w:val="18"/>
                <w:color w:val="auto"/>
              </w:rPr>
              <w:t>Liquidation amount</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60"/>
              <w:spacing w:after="0"/>
              <w:rPr>
                <w:sz w:val="20"/>
                <w:szCs w:val="20"/>
                <w:color w:val="auto"/>
              </w:rPr>
            </w:pPr>
            <w:r>
              <w:rPr>
                <w:rFonts w:ascii="Arial" w:cs="Arial" w:eastAsia="Arial" w:hAnsi="Arial"/>
                <w:sz w:val="18"/>
                <w:szCs w:val="18"/>
                <w:color w:val="auto"/>
              </w:rPr>
              <w:t>Sinking fund terms</w:t>
            </w:r>
          </w:p>
        </w:tc>
        <w:tc>
          <w:tcPr>
            <w:tcW w:w="3720" w:type="dxa"/>
            <w:vAlign w:val="bottom"/>
            <w:gridSpan w:val="2"/>
          </w:tcPr>
          <w:p>
            <w:pPr>
              <w:ind w:left="560"/>
              <w:spacing w:after="0"/>
              <w:rPr>
                <w:sz w:val="20"/>
                <w:szCs w:val="20"/>
                <w:color w:val="auto"/>
              </w:rPr>
            </w:pPr>
            <w:r>
              <w:rPr>
                <w:rFonts w:ascii="Arial" w:cs="Arial" w:eastAsia="Arial" w:hAnsi="Arial"/>
                <w:sz w:val="18"/>
                <w:szCs w:val="18"/>
                <w:color w:val="auto"/>
              </w:rPr>
              <w:t>•  Listing on a securities exchange</w:t>
            </w:r>
          </w:p>
        </w:tc>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2220" w:type="dxa"/>
            <w:vAlign w:val="bottom"/>
          </w:tcPr>
          <w:p>
            <w:pPr>
              <w:ind w:left="60"/>
              <w:spacing w:after="0"/>
              <w:rPr>
                <w:sz w:val="20"/>
                <w:szCs w:val="20"/>
                <w:color w:val="auto"/>
              </w:rPr>
            </w:pPr>
            <w:r>
              <w:rPr>
                <w:rFonts w:ascii="Arial" w:cs="Arial" w:eastAsia="Arial" w:hAnsi="Arial"/>
                <w:sz w:val="18"/>
                <w:szCs w:val="18"/>
                <w:color w:val="auto"/>
              </w:rPr>
              <w:t>Subsidiary guarantees</w:t>
            </w:r>
          </w:p>
        </w:tc>
      </w:t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60"/>
              <w:spacing w:after="0"/>
              <w:rPr>
                <w:sz w:val="20"/>
                <w:szCs w:val="20"/>
                <w:color w:val="auto"/>
              </w:rPr>
            </w:pPr>
            <w:r>
              <w:rPr>
                <w:rFonts w:ascii="Arial" w:cs="Arial" w:eastAsia="Arial" w:hAnsi="Arial"/>
                <w:sz w:val="18"/>
                <w:szCs w:val="18"/>
                <w:color w:val="auto"/>
              </w:rPr>
              <w:t>Currency of payments</w:t>
            </w:r>
          </w:p>
        </w:tc>
        <w:tc>
          <w:tcPr>
            <w:tcW w:w="3720" w:type="dxa"/>
            <w:vAlign w:val="bottom"/>
            <w:gridSpan w:val="2"/>
          </w:tcPr>
          <w:p>
            <w:pPr>
              <w:ind w:left="560"/>
              <w:spacing w:after="0"/>
              <w:rPr>
                <w:sz w:val="20"/>
                <w:szCs w:val="20"/>
                <w:color w:val="auto"/>
              </w:rPr>
            </w:pPr>
            <w:r>
              <w:rPr>
                <w:rFonts w:ascii="Arial" w:cs="Arial" w:eastAsia="Arial" w:hAnsi="Arial"/>
                <w:sz w:val="18"/>
                <w:szCs w:val="18"/>
                <w:color w:val="auto"/>
              </w:rPr>
              <w:t>•  Amount payable at maturity</w:t>
            </w:r>
          </w:p>
        </w:tc>
        <w:tc>
          <w:tcPr>
            <w:tcW w:w="840" w:type="dxa"/>
            <w:vAlign w:val="bottom"/>
          </w:tcPr>
          <w:p>
            <w:pPr>
              <w:spacing w:after="0"/>
              <w:rPr>
                <w:sz w:val="19"/>
                <w:szCs w:val="19"/>
                <w:color w:val="auto"/>
              </w:rPr>
            </w:pPr>
          </w:p>
        </w:tc>
        <w:tc>
          <w:tcPr>
            <w:tcW w:w="2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Investing in these securities involves certain risks. See “Item 1A—Risk Factors” beginning on page 28 of our annual report on Form 10-K for the year ended December 31, 2011,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162560</wp:posOffset>
            </wp:positionV>
            <wp:extent cx="1517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7"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170815</wp:posOffset>
            </wp:positionV>
            <wp:extent cx="15176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February 24, 2012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340" w:type="dxa"/>
            <w:vAlign w:val="bottom"/>
            <w:gridSpan w:val="2"/>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120" w:type="dxa"/>
            <w:vAlign w:val="bottom"/>
            <w:gridSpan w:val="3"/>
            <w:vMerge w:val="restart"/>
          </w:tcPr>
          <w:p>
            <w:pPr>
              <w:spacing w:after="0"/>
              <w:rPr>
                <w:rFonts w:ascii="Arial" w:cs="Arial" w:eastAsia="Arial" w:hAnsi="Arial"/>
                <w:sz w:val="18"/>
                <w:szCs w:val="18"/>
                <w:color w:val="0000EE"/>
                <w:w w:val="86"/>
              </w:rPr>
            </w:pPr>
            <w:hyperlink w:anchor="page25">
              <w:r>
                <w:rPr>
                  <w:rFonts w:ascii="Arial" w:cs="Arial" w:eastAsia="Arial" w:hAnsi="Arial"/>
                  <w:sz w:val="18"/>
                  <w:szCs w:val="18"/>
                  <w:color w:val="0000EE"/>
                  <w:w w:val="86"/>
                </w:rPr>
                <w:t>The Companies</w:t>
              </w:r>
            </w:hyperlink>
          </w:p>
        </w:tc>
        <w:tc>
          <w:tcPr>
            <w:tcW w:w="9940" w:type="dxa"/>
            <w:vAlign w:val="bottom"/>
            <w:gridSpan w:val="10"/>
            <w:vMerge w:val="restart"/>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0000EE"/>
            </w:tcBorders>
            <w:gridSpan w:val="3"/>
            <w:vMerge w:val="continue"/>
          </w:tcPr>
          <w:p>
            <w:pPr>
              <w:spacing w:after="0"/>
              <w:rPr>
                <w:sz w:val="14"/>
                <w:szCs w:val="14"/>
                <w:color w:val="auto"/>
              </w:rPr>
            </w:pPr>
          </w:p>
        </w:tc>
        <w:tc>
          <w:tcPr>
            <w:tcW w:w="9940" w:type="dxa"/>
            <w:vAlign w:val="bottom"/>
            <w:gridSpan w:val="10"/>
            <w:vMerge w:val="continue"/>
          </w:tcPr>
          <w:p>
            <w:pPr>
              <w:spacing w:after="0"/>
              <w:rPr>
                <w:sz w:val="14"/>
                <w:szCs w:val="14"/>
                <w:color w:val="auto"/>
              </w:rPr>
            </w:pPr>
          </w:p>
        </w:tc>
        <w:tc>
          <w:tcPr>
            <w:tcW w:w="26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Caution Concerning Forward-Looking Statements</w:t>
              </w:r>
            </w:hyperlink>
          </w:p>
        </w:tc>
        <w:tc>
          <w:tcPr>
            <w:tcW w:w="7520" w:type="dxa"/>
            <w:vAlign w:val="bottom"/>
            <w:gridSpan w:val="3"/>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Use of Proceeds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Dividend Policy</w:t>
              </w:r>
            </w:hyperlink>
          </w:p>
        </w:tc>
        <w:tc>
          <w:tcPr>
            <w:tcW w:w="9900" w:type="dxa"/>
            <w:vAlign w:val="bottom"/>
            <w:gridSpan w:val="8"/>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Ratios of Earnings to Fixed Charges and of Earnings to Combined Fixed Charges and Preferred Dividends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Debt Securities and Cable Guarantees</w:t>
              </w:r>
            </w:hyperlink>
          </w:p>
        </w:tc>
        <w:tc>
          <w:tcPr>
            <w:tcW w:w="358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Global Securities</w:t>
              </w:r>
            </w:hyperlink>
          </w:p>
        </w:tc>
        <w:tc>
          <w:tcPr>
            <w:tcW w:w="7340" w:type="dxa"/>
            <w:vAlign w:val="bottom"/>
            <w:gridSpan w:val="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Description of Capital Stock</w:t>
              </w:r>
            </w:hyperlink>
          </w:p>
        </w:tc>
        <w:tc>
          <w:tcPr>
            <w:tcW w:w="9040" w:type="dxa"/>
            <w:vAlign w:val="bottom"/>
            <w:gridSpan w:val="4"/>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Plan of Distribution</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Legal Matters</w:t>
              </w:r>
            </w:hyperlink>
          </w:p>
        </w:tc>
        <w:tc>
          <w:tcPr>
            <w:tcW w:w="9660" w:type="dxa"/>
            <w:vAlign w:val="bottom"/>
            <w:gridSpan w:val="6"/>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Experts</w:t>
              </w:r>
            </w:hyperlink>
          </w:p>
        </w:tc>
        <w:tc>
          <w:tcPr>
            <w:tcW w:w="10080" w:type="dxa"/>
            <w:vAlign w:val="bottom"/>
            <w:gridSpan w:val="11"/>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Available Information</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Incorporation of Certain Documents by Reference</w:t>
              </w:r>
            </w:hyperlink>
          </w:p>
        </w:tc>
        <w:tc>
          <w:tcPr>
            <w:tcW w:w="7520" w:type="dxa"/>
            <w:vAlign w:val="bottom"/>
            <w:gridSpan w:val="3"/>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refer to Comcast Corporation in this prospectus as “Comcast;” Comcast and its consolidated subsidiaries, including NBCUniversal following the closing of our transaction on January 28, 2011, as “we,” “us,” “our” or comparable terms and to Comcast Holdings Corporation as “Comcast Holdings.” We refer to Comcast Cable Communications, LLC as “Comcast Cable,” Comcast MO Group, Inc. as “Comcast MO Group,” Comcast Cable Holdings, LLC as “Comcast Cable Holdings,” Comcast MO of Delaware, LLC as “Comcast MO of Delaware,” and all of them collectively as the “Cable Guarantors.”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We are a leading provider of entertainment, information and communications products and services. We were incorporated under the laws of Pennsylvania in December 2001. Through our predecessors, we have developed, managed and operated cable systems since 1963. On January 28, 2011, we closed our transaction with General Electric Company in which we acquired a 51% controlling interest in the businesses of NBC Universal, Inc. (now named NBCUniversal Media, LLC (“NBCUniversal”)). As a result of the NBCUniversal transaction, we report our operations as the following five reportable business segments:</w:t>
      </w:r>
    </w:p>
    <w:p>
      <w:pPr>
        <w:spacing w:after="0" w:line="11" w:lineRule="exact"/>
        <w:rPr>
          <w:sz w:val="20"/>
          <w:szCs w:val="20"/>
          <w:color w:val="auto"/>
        </w:rPr>
      </w:pPr>
    </w:p>
    <w:p>
      <w:pPr>
        <w:ind w:left="900" w:right="160" w:hanging="325"/>
        <w:spacing w:after="0" w:line="275"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(formerly our Cable segment): Provides video, high-speed Internet and voice services (“cable services”) to residential and</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customers in 39 states and the District of Columbia.</w:t>
      </w:r>
    </w:p>
    <w:p>
      <w:pPr>
        <w:spacing w:after="0" w:line="38" w:lineRule="exact"/>
        <w:rPr>
          <w:rFonts w:ascii="Arial" w:cs="Arial" w:eastAsia="Arial" w:hAnsi="Arial"/>
          <w:sz w:val="18"/>
          <w:szCs w:val="18"/>
          <w:color w:val="auto"/>
        </w:rPr>
      </w:pPr>
    </w:p>
    <w:p>
      <w:pPr>
        <w:ind w:left="900" w:right="560" w:hanging="325"/>
        <w:spacing w:after="0" w:line="275"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television networks, our regional sports and news networks, our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our cable television production studio, and our related digital media properties.</w:t>
      </w:r>
    </w:p>
    <w:p>
      <w:pPr>
        <w:spacing w:after="0" w:line="38" w:lineRule="exact"/>
        <w:rPr>
          <w:rFonts w:ascii="Arial" w:cs="Arial" w:eastAsia="Arial" w:hAnsi="Arial"/>
          <w:sz w:val="18"/>
          <w:szCs w:val="18"/>
          <w:color w:val="auto"/>
        </w:rPr>
      </w:pPr>
    </w:p>
    <w:p>
      <w:pPr>
        <w:ind w:left="900" w:right="80" w:hanging="325"/>
        <w:spacing w:after="0" w:line="275"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our NBC and Telemundo broadcast networks, our NBC and Telemundo owned local television stations,</w:t>
      </w:r>
      <w:r>
        <w:rPr>
          <w:rFonts w:ascii="Arial" w:cs="Arial" w:eastAsia="Arial" w:hAnsi="Arial"/>
          <w:sz w:val="18"/>
          <w:szCs w:val="18"/>
          <w:b w:val="1"/>
          <w:bCs w:val="1"/>
          <w:color w:val="auto"/>
        </w:rPr>
        <w:t xml:space="preserve"> </w:t>
      </w:r>
      <w:r>
        <w:rPr>
          <w:rFonts w:ascii="Arial" w:cs="Arial" w:eastAsia="Arial" w:hAnsi="Arial"/>
          <w:sz w:val="18"/>
          <w:szCs w:val="18"/>
          <w:color w:val="auto"/>
        </w:rPr>
        <w:t>our broadcast television production operations, and our related digital media properties.</w:t>
      </w:r>
    </w:p>
    <w:p>
      <w:pPr>
        <w:spacing w:after="0" w:line="38" w:lineRule="exact"/>
        <w:rPr>
          <w:rFonts w:ascii="Arial" w:cs="Arial" w:eastAsia="Arial" w:hAnsi="Arial"/>
          <w:sz w:val="18"/>
          <w:szCs w:val="18"/>
          <w:color w:val="auto"/>
        </w:rPr>
      </w:pPr>
    </w:p>
    <w:p>
      <w:pPr>
        <w:ind w:left="900" w:right="20" w:hanging="325"/>
        <w:spacing w:after="0" w:line="275"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of the operations of Universal Pictures, which produces, acquires, markets and distributes filmed entertainment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stage plays worldwide.</w:t>
      </w:r>
    </w:p>
    <w:p>
      <w:pPr>
        <w:spacing w:after="0" w:line="38"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177"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In 2011, our Cable Communications segment generated 67% of our consolidated revenue and 83% of our operating income before depreciation and amortization. Our NBCUniversal segments, which are comprised of our Cable Networks, Broadcast Television, Filmed Entertainment and Theme Parks segments, generated 34% of our consolidated revenue and 19% of our operating income before depreciation and amortization.</w:t>
      </w:r>
    </w:p>
    <w:p>
      <w:pPr>
        <w:spacing w:after="0" w:line="10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Our other business interests are included in Corporate and Other and primarily include Comcast Spectacor, which owns the Philadelphia Flyers and the Wells Fargo Center, a large, multipurpose arena in Philadelphia. Comcast Spectacor also owns Global Spectrum, which provides facilities management, and Ovations Food Services, which provides food services, for sporting events, concerts and other events.</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obligations, including the payment of principal, premium, if any, and interest on the debt securities issued pursuant to this prospectus will be fully and unconditionally guaranteed by each of Comcast Cable, Comcast Cable Holdings, Comcast MO Group and Comcast MO of Delaware. In this prospectus, we refer to these guarantors as the cable guarantors and to these guarantees as the cable guarantees. We have numerous other subsidiaries, including Comcast Holdings and NBCUniversal, and their respective subsidiaries, that will not be guarantors on the debt securities. If indicated in the relevant prospectus supplement, our obligations under the other securities we are offering and selling may be fully and unconditionally guaranteed by specified cable guarantors.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900" w:right="1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 owned subsidiary of Comcast Cable.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 owned subsidiary of Comcast Cable.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MO of Delaware, which was incorporated in 1996 as a Delaware corporation, became a Delaware limited liability company in 2003. Comcast MO of Delaware is an indirect wholly owned subsidiary of Comcast MO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97790</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principal executive offices are located at One Comcast Center, Philadelphia, Pennsylvania 19103-2838, and our telephone number is (215) 286-1700. We maintain a website at http://www.comcast.com where general information about us is available. We are not incorporating the contents of the website into this prospectus.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cable guarantor’s principal place of business is One Comcast Center, Philadelphia, Pennsylvania 19103-2838.</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this prospectus and in the documents we incorporate by reference, we state our beliefs of future events and of our future financial performance, including as a result of the NBCUniversal transaction.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2011 incorporated herein by reference. Actual events or our actual results may differ materially from any of our forward-looking statements. We undertake no obligation to update any forward-looking statements.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900" w:right="6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consumer behavior driven by new technologies may adversely affect our competitive position, business and results of operations;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future 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 results of operations and financial condition;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in advertising expenditures or changes in advertising markets could negatively impact our results of operations;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which is difficult to predict, and our results of operations may be adversely affected if our content fails to achieve sufficient consumer acceptance or our costs to acquire content increase;</w:t>
      </w:r>
    </w:p>
    <w:p>
      <w:pPr>
        <w:spacing w:after="0" w:line="50" w:lineRule="exact"/>
        <w:rPr>
          <w:rFonts w:ascii="Arial" w:cs="Arial" w:eastAsia="Arial" w:hAnsi="Arial"/>
          <w:sz w:val="18"/>
          <w:szCs w:val="18"/>
          <w:color w:val="auto"/>
        </w:rPr>
      </w:pPr>
    </w:p>
    <w:p>
      <w:pPr>
        <w:ind w:left="900" w:right="7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loss of our programming distribution agreements, or the renewal of these agreements on less favorable terms, could adversely affect our businesses and results of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depends on keeping pace with technological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DVDs have been declining;</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labor disputes, whether involving employees or sports organizations, may disrupt our operations and adversely affect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intend to pay quarterly dividends at an annual rate currently of $0.65 per share. Our Board of Directors retains the right to change our dividend policy at any time.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CHARGES AND PREFERRED DIVIDENDS</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40" w:type="dxa"/>
            <w:vAlign w:val="bottom"/>
            <w:tcBorders>
              <w:top w:val="single" w:sz="8" w:color="auto"/>
              <w:bottom w:val="single" w:sz="8" w:color="auto"/>
            </w:tcBorders>
          </w:tcPr>
          <w:p>
            <w:pPr>
              <w:jc w:val="right"/>
              <w:ind w:right="1019"/>
              <w:spacing w:after="0" w:line="156" w:lineRule="exact"/>
              <w:rPr>
                <w:sz w:val="20"/>
                <w:szCs w:val="20"/>
                <w:color w:val="auto"/>
              </w:rPr>
            </w:pPr>
            <w:r>
              <w:rPr>
                <w:rFonts w:ascii="Arial" w:cs="Arial" w:eastAsia="Arial" w:hAnsi="Arial"/>
                <w:sz w:val="14"/>
                <w:szCs w:val="14"/>
                <w:b w:val="1"/>
                <w:bCs w:val="1"/>
                <w:color w:val="auto"/>
              </w:rPr>
              <w:t>2011</w:t>
            </w:r>
          </w:p>
        </w:tc>
        <w:tc>
          <w:tcPr>
            <w:tcW w:w="2380" w:type="dxa"/>
            <w:vAlign w:val="bottom"/>
            <w:tcBorders>
              <w:top w:val="single" w:sz="8" w:color="auto"/>
              <w:bottom w:val="single" w:sz="8" w:color="auto"/>
            </w:tcBorders>
          </w:tcPr>
          <w:p>
            <w:pPr>
              <w:jc w:val="right"/>
              <w:ind w:right="942"/>
              <w:spacing w:after="0" w:line="156" w:lineRule="exact"/>
              <w:rPr>
                <w:sz w:val="20"/>
                <w:szCs w:val="20"/>
                <w:color w:val="auto"/>
              </w:rPr>
            </w:pPr>
            <w:r>
              <w:rPr>
                <w:rFonts w:ascii="Arial" w:cs="Arial" w:eastAsia="Arial" w:hAnsi="Arial"/>
                <w:sz w:val="14"/>
                <w:szCs w:val="14"/>
                <w:b w:val="1"/>
                <w:bCs w:val="1"/>
                <w:color w:val="auto"/>
              </w:rPr>
              <w:t>2010</w:t>
            </w:r>
          </w:p>
        </w:tc>
        <w:tc>
          <w:tcPr>
            <w:tcW w:w="2280" w:type="dxa"/>
            <w:vAlign w:val="bottom"/>
            <w:tcBorders>
              <w:top w:val="single" w:sz="8" w:color="auto"/>
              <w:bottom w:val="single" w:sz="8" w:color="auto"/>
            </w:tcBorders>
          </w:tcPr>
          <w:p>
            <w:pPr>
              <w:jc w:val="right"/>
              <w:ind w:right="922"/>
              <w:spacing w:after="0" w:line="156" w:lineRule="exact"/>
              <w:rPr>
                <w:sz w:val="20"/>
                <w:szCs w:val="20"/>
                <w:color w:val="auto"/>
              </w:rPr>
            </w:pPr>
            <w:r>
              <w:rPr>
                <w:rFonts w:ascii="Arial" w:cs="Arial" w:eastAsia="Arial" w:hAnsi="Arial"/>
                <w:sz w:val="14"/>
                <w:szCs w:val="14"/>
                <w:b w:val="1"/>
                <w:bCs w:val="1"/>
                <w:color w:val="auto"/>
              </w:rPr>
              <w:t>2009</w:t>
            </w:r>
          </w:p>
        </w:tc>
        <w:tc>
          <w:tcPr>
            <w:tcW w:w="2260" w:type="dxa"/>
            <w:vAlign w:val="bottom"/>
            <w:tcBorders>
              <w:top w:val="single" w:sz="8" w:color="auto"/>
              <w:bottom w:val="single" w:sz="8" w:color="auto"/>
            </w:tcBorders>
          </w:tcPr>
          <w:p>
            <w:pPr>
              <w:jc w:val="right"/>
              <w:ind w:right="902"/>
              <w:spacing w:after="0" w:line="156" w:lineRule="exact"/>
              <w:rPr>
                <w:sz w:val="20"/>
                <w:szCs w:val="20"/>
                <w:color w:val="auto"/>
              </w:rPr>
            </w:pPr>
            <w:r>
              <w:rPr>
                <w:rFonts w:ascii="Arial" w:cs="Arial" w:eastAsia="Arial" w:hAnsi="Arial"/>
                <w:sz w:val="14"/>
                <w:szCs w:val="14"/>
                <w:b w:val="1"/>
                <w:bCs w:val="1"/>
                <w:color w:val="auto"/>
              </w:rPr>
              <w:t>2008</w:t>
            </w:r>
          </w:p>
        </w:tc>
        <w:tc>
          <w:tcPr>
            <w:tcW w:w="2060" w:type="dxa"/>
            <w:vAlign w:val="bottom"/>
            <w:tcBorders>
              <w:top w:val="single" w:sz="8" w:color="auto"/>
              <w:bottom w:val="single" w:sz="8" w:color="auto"/>
            </w:tcBorders>
          </w:tcPr>
          <w:p>
            <w:pPr>
              <w:jc w:val="right"/>
              <w:ind w:right="762"/>
              <w:spacing w:after="0" w:line="156" w:lineRule="exact"/>
              <w:rPr>
                <w:sz w:val="20"/>
                <w:szCs w:val="20"/>
                <w:color w:val="auto"/>
              </w:rPr>
            </w:pPr>
            <w:r>
              <w:rPr>
                <w:rFonts w:ascii="Arial" w:cs="Arial" w:eastAsia="Arial" w:hAnsi="Arial"/>
                <w:sz w:val="14"/>
                <w:szCs w:val="14"/>
                <w:b w:val="1"/>
                <w:bCs w:val="1"/>
                <w:color w:val="auto"/>
              </w:rPr>
              <w:t>2007</w:t>
            </w:r>
          </w:p>
        </w:tc>
      </w:tr>
      <w:tr>
        <w:trPr>
          <w:trHeight w:val="210"/>
        </w:trPr>
        <w:tc>
          <w:tcPr>
            <w:tcW w:w="9360" w:type="dxa"/>
            <w:vAlign w:val="bottom"/>
            <w:gridSpan w:val="4"/>
            <w:shd w:val="clear" w:color="auto" w:fill="CCEEFF"/>
          </w:tcPr>
          <w:p>
            <w:pPr>
              <w:ind w:left="440"/>
              <w:spacing w:after="0"/>
              <w:rPr>
                <w:sz w:val="20"/>
                <w:szCs w:val="20"/>
                <w:color w:val="auto"/>
              </w:rPr>
            </w:pPr>
            <w:r>
              <w:rPr>
                <w:rFonts w:ascii="Arial" w:cs="Arial" w:eastAsia="Arial" w:hAnsi="Arial"/>
                <w:sz w:val="18"/>
                <w:szCs w:val="18"/>
                <w:b w:val="1"/>
                <w:bCs w:val="1"/>
                <w:color w:val="auto"/>
                <w:w w:val="96"/>
              </w:rPr>
              <w:t>Ratio of earnings to fixed charges and ratio of earnings to combined fixed charges and preferred dividends:</w:t>
            </w:r>
          </w:p>
        </w:tc>
        <w:tc>
          <w:tcPr>
            <w:tcW w:w="2060" w:type="dxa"/>
            <w:vAlign w:val="bottom"/>
            <w:shd w:val="clear" w:color="auto" w:fill="CCEEFF"/>
          </w:tcPr>
          <w:p>
            <w:pPr>
              <w:spacing w:after="0"/>
              <w:rPr>
                <w:sz w:val="18"/>
                <w:szCs w:val="18"/>
                <w:color w:val="auto"/>
              </w:rPr>
            </w:pPr>
          </w:p>
        </w:tc>
      </w:tr>
      <w:tr>
        <w:trPr>
          <w:trHeight w:val="222"/>
        </w:trPr>
        <w:tc>
          <w:tcPr>
            <w:tcW w:w="2440" w:type="dxa"/>
            <w:vAlign w:val="bottom"/>
          </w:tcPr>
          <w:p>
            <w:pPr>
              <w:jc w:val="center"/>
              <w:spacing w:after="0"/>
              <w:rPr>
                <w:sz w:val="20"/>
                <w:szCs w:val="20"/>
                <w:color w:val="auto"/>
              </w:rPr>
            </w:pPr>
            <w:r>
              <w:rPr>
                <w:rFonts w:ascii="Arial" w:cs="Arial" w:eastAsia="Arial" w:hAnsi="Arial"/>
                <w:sz w:val="18"/>
                <w:szCs w:val="18"/>
                <w:color w:val="auto"/>
                <w:w w:val="86"/>
              </w:rPr>
              <w:t>4.04x</w:t>
            </w:r>
          </w:p>
        </w:tc>
        <w:tc>
          <w:tcPr>
            <w:tcW w:w="2380" w:type="dxa"/>
            <w:vAlign w:val="bottom"/>
          </w:tcPr>
          <w:p>
            <w:pPr>
              <w:jc w:val="center"/>
              <w:ind w:left="22"/>
              <w:spacing w:after="0"/>
              <w:rPr>
                <w:sz w:val="20"/>
                <w:szCs w:val="20"/>
                <w:color w:val="auto"/>
              </w:rPr>
            </w:pPr>
            <w:r>
              <w:rPr>
                <w:rFonts w:ascii="Arial" w:cs="Arial" w:eastAsia="Arial" w:hAnsi="Arial"/>
                <w:sz w:val="18"/>
                <w:szCs w:val="18"/>
                <w:color w:val="auto"/>
                <w:w w:val="90"/>
              </w:rPr>
              <w:t>3.57x</w:t>
            </w:r>
          </w:p>
        </w:tc>
        <w:tc>
          <w:tcPr>
            <w:tcW w:w="2280" w:type="dxa"/>
            <w:vAlign w:val="bottom"/>
          </w:tcPr>
          <w:p>
            <w:pPr>
              <w:jc w:val="center"/>
              <w:spacing w:after="0"/>
              <w:rPr>
                <w:sz w:val="20"/>
                <w:szCs w:val="20"/>
                <w:color w:val="auto"/>
              </w:rPr>
            </w:pPr>
            <w:r>
              <w:rPr>
                <w:rFonts w:ascii="Arial" w:cs="Arial" w:eastAsia="Arial" w:hAnsi="Arial"/>
                <w:sz w:val="18"/>
                <w:szCs w:val="18"/>
                <w:color w:val="auto"/>
                <w:w w:val="86"/>
              </w:rPr>
              <w:t>3.01x</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2.49x</w:t>
            </w:r>
          </w:p>
        </w:tc>
        <w:tc>
          <w:tcPr>
            <w:tcW w:w="2060" w:type="dxa"/>
            <w:vAlign w:val="bottom"/>
          </w:tcPr>
          <w:p>
            <w:pPr>
              <w:jc w:val="center"/>
              <w:ind w:left="62"/>
              <w:spacing w:after="0"/>
              <w:rPr>
                <w:sz w:val="20"/>
                <w:szCs w:val="20"/>
                <w:color w:val="auto"/>
              </w:rPr>
            </w:pPr>
            <w:r>
              <w:rPr>
                <w:rFonts w:ascii="Arial" w:cs="Arial" w:eastAsia="Arial" w:hAnsi="Arial"/>
                <w:sz w:val="18"/>
                <w:szCs w:val="18"/>
                <w:color w:val="auto"/>
                <w:w w:val="90"/>
              </w:rPr>
              <w:t>2.73x</w:t>
            </w:r>
          </w:p>
        </w:tc>
      </w:tr>
    </w:tbl>
    <w:p>
      <w:pPr>
        <w:spacing w:after="0" w:line="147"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19"/>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DESCRIPTION OF DEBT SECURITIES AND CABLE GUARANTEES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w:t>
      </w:r>
    </w:p>
    <w:p>
      <w:pPr>
        <w:spacing w:after="0" w:line="113" w:lineRule="exact"/>
        <w:rPr>
          <w:sz w:val="20"/>
          <w:szCs w:val="20"/>
          <w:color w:val="auto"/>
        </w:rPr>
      </w:pPr>
    </w:p>
    <w:p>
      <w:pPr>
        <w:ind w:left="90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senior debt securities, under a senior indenture dated January 7, 2003, as amended by supplemental indentures dated March 25, 2003 and August 31, 2009, entered into among us, the cable guarantors and The Bank of New York Mellon, formerly known as The Bank of New York, as trustee; and</w:t>
      </w:r>
    </w:p>
    <w:p>
      <w:pPr>
        <w:spacing w:after="0" w:line="59"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Mellon, as trustee.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senior indenture and supplemental indenture are included, and the subordinated indenture will be substantially in the form included, as exhibits to the registration statement of which this prospectus is a part.</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 “Description of Capital Stock,” the terms “we,” “us” and “our” refer solely to Comcast Corporation and such references do not include any subsidiaries of Comcast Corporation.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 The debt securities will not be guaranteed by any of our other subsidiaries, including Comcast Holdings and NBCUniversal, and their respective subsidiaries.</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6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Cable Guarantees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900" w:right="1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Neither we nor any cable guarantor shall create, incur or assume any Lien (other than any Permitted Lien)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 owned subsidiaries, to secure the payment of our Indebtedness or that of any cable guarantor, unless we secure the outstanding senior debt securities equally and ratably with (or prior to) all Indebtedness secured by such Lien, so long as such Indebtedness shall be so secured.</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Neither we nor any cable guarantor shall enter into any Sale and Leaseback Transaction involving any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 owned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lease is for a period not in excess of three years, including renewal of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similar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transaction is solely between us and a cable guarantor or between or among cable guarantors; or</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59"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retirement (or open market purchase) of senior debt securities, our other long-term Indebtedness ranking on a parity with or senior to the senior debt securities or long-term Indebtedness of a cable guarantor; or</w:t>
      </w:r>
    </w:p>
    <w:p>
      <w:pPr>
        <w:spacing w:after="0" w:line="50" w:lineRule="exact"/>
        <w:rPr>
          <w:rFonts w:ascii="Arial" w:cs="Arial" w:eastAsia="Arial" w:hAnsi="Arial"/>
          <w:sz w:val="18"/>
          <w:szCs w:val="18"/>
          <w:color w:val="auto"/>
        </w:rPr>
      </w:pPr>
    </w:p>
    <w:p>
      <w:pPr>
        <w:ind w:left="1480" w:right="60" w:hanging="446"/>
        <w:spacing w:after="0" w:line="268"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12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w:t>
      </w:r>
      <w:r>
        <w:rPr>
          <w:rFonts w:ascii="Arial" w:cs="Arial" w:eastAsia="Arial" w:hAnsi="Arial"/>
          <w:sz w:val="18"/>
          <w:szCs w:val="18"/>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32"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interests, participations, or other equivalents (however designated, whether voting or nonvoting) of such person’s capital stock or other ownership interests, whether outstanding as of, or issued after, the date of the senior indenture, including, without limitation, all common stock and preferred stock.</w:t>
      </w:r>
    </w:p>
    <w:p>
      <w:pPr>
        <w:spacing w:after="0" w:line="132"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 Agreement</w:t>
      </w:r>
      <w:r>
        <w:rPr>
          <w:rFonts w:ascii="Arial" w:cs="Arial" w:eastAsia="Arial" w:hAnsi="Arial"/>
          <w:sz w:val="18"/>
          <w:szCs w:val="18"/>
          <w:color w:val="auto"/>
        </w:rPr>
        <w:t>” means any foreign exchange contract, currency swap agreement, or other similar agreement or arrangement designed to protect against the fluctuation in currency values.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139" w:lineRule="exact"/>
        <w:rPr>
          <w:sz w:val="20"/>
          <w:szCs w:val="20"/>
          <w:color w:val="auto"/>
        </w:rPr>
      </w:pPr>
    </w:p>
    <w:p>
      <w:pPr>
        <w:ind w:right="140" w:firstLine="456"/>
        <w:spacing w:after="0" w:line="3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 w:lineRule="exact"/>
        <w:rPr>
          <w:sz w:val="20"/>
          <w:szCs w:val="20"/>
          <w:color w:val="auto"/>
        </w:rPr>
      </w:pPr>
    </w:p>
    <w:p>
      <w:pPr>
        <w:ind w:left="900" w:right="14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 The term “Guarantee” used as a verb has a corresponding meaning.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with respect to any person at any date of determination (without duplication):</w:t>
      </w:r>
    </w:p>
    <w:p>
      <w:pPr>
        <w:spacing w:after="0" w:line="96"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obligations of such person in respect of letters of credit or other similar instruments (including reimbursement obligations with respect thereto);</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fair market value of such asset at such date of determination;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such Indebtedness;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Indebtedness of other persons to the extent Guaranteed by such person;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Notwithstanding the foregoing, in no event will the term “Indebtedness” be deemed to include letters of credit or bonds that secure performance or surety bonds or similar instruments that are issued in the ordinary course of business.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4" w:lineRule="exact"/>
        <w:rPr>
          <w:sz w:val="20"/>
          <w:szCs w:val="20"/>
          <w:color w:val="auto"/>
        </w:rPr>
      </w:pPr>
    </w:p>
    <w:p>
      <w:pPr>
        <w:ind w:left="900" w:right="400" w:hanging="325"/>
        <w:spacing w:after="0" w:line="357" w:lineRule="auto"/>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16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 Agreements</w:t>
      </w:r>
      <w:r>
        <w:rPr>
          <w:rFonts w:ascii="Arial" w:cs="Arial" w:eastAsia="Arial" w:hAnsi="Arial"/>
          <w:sz w:val="16"/>
          <w:szCs w:val="16"/>
          <w:color w:val="auto"/>
        </w:rPr>
        <w:t>” means any obligations of any person pursuant to any interest rate swaps, caps, collars, and similar arrangements providing 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1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96"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Lien on any asset incurred prior to the date of the senior indenture;</w:t>
      </w:r>
    </w:p>
    <w:p>
      <w:pPr>
        <w:spacing w:after="0" w:line="90" w:lineRule="exact"/>
        <w:rPr>
          <w:rFonts w:ascii="Arial" w:cs="Arial" w:eastAsia="Arial" w:hAnsi="Arial"/>
          <w:sz w:val="18"/>
          <w:szCs w:val="18"/>
          <w:color w:val="auto"/>
        </w:rPr>
      </w:pPr>
    </w:p>
    <w:p>
      <w:pPr>
        <w:ind w:left="900" w:right="100" w:hanging="325"/>
        <w:spacing w:after="0" w:line="255"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61"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Lien on any assets in favor of us or any cable guarantor;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and Leaseback Transaction</w:t>
      </w:r>
      <w:r>
        <w:rPr>
          <w:rFonts w:ascii="Arial" w:cs="Arial" w:eastAsia="Arial" w:hAnsi="Arial"/>
          <w:sz w:val="18"/>
          <w:szCs w:val="18"/>
          <w:color w:val="auto"/>
        </w:rPr>
        <w:t>” means any direct or indirect arrangement with any person or to which any such person is a party, providing for the 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14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Financial Information</w:t>
      </w:r>
      <w:r>
        <w:rPr>
          <w:rFonts w:ascii="Arial" w:cs="Arial" w:eastAsia="Arial" w:hAnsi="Arial"/>
          <w:sz w:val="16"/>
          <w:szCs w:val="16"/>
          <w:color w:val="auto"/>
        </w:rPr>
        <w:t>. We will file, whether or not required to do so under applicable law, with the trustee, within 15 days after being required to file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under the Securities Exchange Act of 1934, as amended, (hereinafter, the “Exchange Act”), copies of the annual reports and the information, documents and other reports to be filed pursuant to Section 13 or 15(d) of the Exchange Act. We intend to file all such reports, information and documents with the SEC, whether or not required by Section 13 or 15(d), and will send copies to the trustee within such 15-day period.</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The senior indenture restricts our ability to consolidate with, merge with or into, or sell, convey, transfer, lease,</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otherwise dispose of all or substantially all of our property and assets to any person (other than a consolidation with or merger with or into or a sale, conveyance, transfer, lease or other disposition to a wholly owned subsidiary with a positive net worth; provided that, in connection with any merger of us and a wholly owned subsidiary, no consideration other than common stock in the surviving person shall be issued or distributed to our stockholders) unless:</w:t>
      </w:r>
    </w:p>
    <w:p>
      <w:pPr>
        <w:spacing w:after="0" w:line="32" w:lineRule="exact"/>
        <w:rPr>
          <w:sz w:val="20"/>
          <w:szCs w:val="20"/>
          <w:color w:val="auto"/>
        </w:rPr>
      </w:pPr>
    </w:p>
    <w:p>
      <w:pPr>
        <w:ind w:left="900" w:right="60" w:hanging="325"/>
        <w:spacing w:after="0" w:line="256"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all or substantially all of our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14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foregoing limitations will not apply if, in the good faith determination of our Board of Directors set forth in a board resolution,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purpose of such transaction is to change our state of incorporation; and provided further that any such transaction shall not have as one of its purposes the evasion of the foregoing limitations.</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purposes of this section, the term “Obligor” shall mean each of us, Comcast Cable, Comcast Cable Holdings, Comcast MO Group and Comcast MO of Delaware, in each case excluding such entity’s subsidiaries.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171" w:lineRule="exact"/>
        <w:rPr>
          <w:sz w:val="20"/>
          <w:szCs w:val="20"/>
          <w:color w:val="auto"/>
        </w:rPr>
      </w:pPr>
    </w:p>
    <w:p>
      <w:pPr>
        <w:ind w:right="240" w:firstLine="464"/>
        <w:spacing w:after="0" w:line="268"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if any, on the senior debt securities of such series when the same becomes due and payable, whether at maturity, upon redemption, by declaration or otherwise;</w:t>
      </w:r>
    </w:p>
    <w:p>
      <w:pPr>
        <w:spacing w:after="0" w:line="131"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131" w:lineRule="exact"/>
        <w:rPr>
          <w:rFonts w:ascii="Arial" w:cs="Arial" w:eastAsia="Arial" w:hAnsi="Arial"/>
          <w:sz w:val="18"/>
          <w:szCs w:val="18"/>
          <w:color w:val="auto"/>
        </w:rPr>
      </w:pPr>
    </w:p>
    <w:p>
      <w:pPr>
        <w:jc w:val="both"/>
        <w:ind w:right="20" w:firstLine="464"/>
        <w:spacing w:after="0" w:line="306" w:lineRule="auto"/>
        <w:tabs>
          <w:tab w:leader="none" w:pos="705"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default by any Obligor in the performance of or breach by any Obligor of any of its other covenants or agreements in the senior indenture applicable to the senior debt securities of such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relief in respect of any Obligor in an involuntary case under any applicable bankruptcy, insolvency, or other similar law now or hereafter in effect;</w:t>
      </w:r>
    </w:p>
    <w:p>
      <w:pPr>
        <w:spacing w:after="0" w:line="113"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appointment of a receiver, liquidator, assignee, custodian, trustee, sequestrator or similar official of any Obligor for any substantial part of such party’s property and assets; or</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winding up or liquidation of any Obligor’s affairs and such decree or order shall remain unstayed and in effect for a period of 180 consecutive days; 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any Obligor:</w:t>
      </w:r>
    </w:p>
    <w:p>
      <w:pPr>
        <w:spacing w:after="0" w:line="90" w:lineRule="exact"/>
        <w:rPr>
          <w:sz w:val="20"/>
          <w:szCs w:val="20"/>
          <w:color w:val="auto"/>
        </w:rPr>
      </w:pPr>
    </w:p>
    <w:p>
      <w:pPr>
        <w:ind w:left="900" w:right="8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or consents to the entry of an order for relief in an involuntary case under any such law;</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declare the principal amount of and accrued interest, if any, on such senior debt securities to be immediately due and payable and upon any such declaration, the same shall become immediately due and payable. The amount due upon acceleration shall include only the original issue price of the senior debt securities and accrued interest to the date of acceleration, if any.</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an event of default specified in clauses (5) and (6) above occurs with respect to any Obligor, the principal amount of and accrued interest, if any, on each issue of senior debt securities then outstanding shall be and become immediately due and payable without any notice or other action on the part of the trustee or any holder. Upon certain conditions, declarations of acceleration may be rescinded and annulled and past defaults may be waived by the holders of a majority in aggregate principal amount of an issue of senior debt securities that has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 Modification and Waiver.”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would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39"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 The senior indenture requires certain of our officers to certify, on or before a date not more than 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51" w:lineRule="exact"/>
        <w:rPr>
          <w:sz w:val="20"/>
          <w:szCs w:val="20"/>
          <w:color w:val="auto"/>
        </w:rPr>
      </w:pPr>
    </w:p>
    <w:p>
      <w:pPr>
        <w:ind w:left="900" w:right="1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5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50" w:lineRule="exact"/>
        <w:rPr>
          <w:rFonts w:ascii="Arial" w:cs="Arial" w:eastAsia="Arial" w:hAnsi="Arial"/>
          <w:sz w:val="18"/>
          <w:szCs w:val="18"/>
          <w:color w:val="auto"/>
        </w:rPr>
      </w:pPr>
    </w:p>
    <w:p>
      <w:pPr>
        <w:ind w:left="1480" w:right="100" w:hanging="446"/>
        <w:spacing w:after="0" w:line="259" w:lineRule="auto"/>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80"/>
        <w:spacing w:after="0" w:line="298" w:lineRule="auto"/>
        <w:rPr>
          <w:sz w:val="20"/>
          <w:szCs w:val="20"/>
          <w:color w:val="auto"/>
        </w:rPr>
      </w:pPr>
      <w:r>
        <w:rPr>
          <w:rFonts w:ascii="Arial" w:cs="Arial" w:eastAsia="Arial" w:hAnsi="Arial"/>
          <w:sz w:val="16"/>
          <w:szCs w:val="16"/>
          <w:color w:val="auto"/>
        </w:rPr>
        <w:t>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32" w:lineRule="exact"/>
        <w:rPr>
          <w:sz w:val="20"/>
          <w:szCs w:val="20"/>
          <w:color w:val="auto"/>
        </w:rPr>
      </w:pPr>
    </w:p>
    <w:p>
      <w:pPr>
        <w:ind w:left="1480" w:right="120" w:hanging="446"/>
        <w:spacing w:after="0" w:line="259"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14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satisfactory to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90" w:lineRule="exact"/>
        <w:rPr>
          <w:sz w:val="20"/>
          <w:szCs w:val="20"/>
          <w:color w:val="auto"/>
        </w:rPr>
      </w:pPr>
    </w:p>
    <w:p>
      <w:pPr>
        <w:ind w:left="900" w:right="140" w:hanging="325"/>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shall have been satisfied:</w:t>
      </w:r>
    </w:p>
    <w:p>
      <w:pPr>
        <w:spacing w:after="0" w:line="90" w:lineRule="exact"/>
        <w:rPr>
          <w:sz w:val="20"/>
          <w:szCs w:val="20"/>
          <w:color w:val="auto"/>
        </w:rPr>
      </w:pPr>
    </w:p>
    <w:p>
      <w:pPr>
        <w:ind w:left="900" w:right="60" w:hanging="325"/>
        <w:spacing w:after="0" w:line="290"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37"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senior debt securities of such series shall have occurred and be continuing on the date of such deposit;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shall have delivered to the trustee:</w:t>
      </w:r>
    </w:p>
    <w:p>
      <w:pPr>
        <w:spacing w:after="0" w:line="90" w:lineRule="exact"/>
        <w:rPr>
          <w:rFonts w:ascii="Arial" w:cs="Arial" w:eastAsia="Arial" w:hAnsi="Arial"/>
          <w:sz w:val="18"/>
          <w:szCs w:val="18"/>
          <w:color w:val="auto"/>
        </w:rPr>
      </w:pPr>
    </w:p>
    <w:p>
      <w:pPr>
        <w:ind w:left="1480" w:right="20" w:hanging="446"/>
        <w:spacing w:after="0" w:line="294" w:lineRule="auto"/>
        <w:tabs>
          <w:tab w:leader="none" w:pos="14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34" w:lineRule="exact"/>
        <w:rPr>
          <w:rFonts w:ascii="Arial" w:cs="Arial" w:eastAsia="Arial" w:hAnsi="Arial"/>
          <w:sz w:val="16"/>
          <w:szCs w:val="16"/>
          <w:color w:val="auto"/>
        </w:rPr>
      </w:pPr>
    </w:p>
    <w:p>
      <w:pPr>
        <w:ind w:left="1480" w:right="80" w:hanging="446"/>
        <w:spacing w:after="0" w:line="268"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the trustee may amend or supplement the senior indenture or the senior debt securities without notice to or the consent of any holder:</w:t>
      </w:r>
    </w:p>
    <w:p>
      <w:pPr>
        <w:spacing w:after="0" w:line="113" w:lineRule="exact"/>
        <w:rPr>
          <w:sz w:val="20"/>
          <w:szCs w:val="20"/>
          <w:color w:val="auto"/>
        </w:rPr>
      </w:pPr>
    </w:p>
    <w:p>
      <w:pPr>
        <w:ind w:left="90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or to make such other provisions in regard to matters or questions arising under the senior indenture as our Board of Directors may deem necessary or desirable and which shall not adversely affect the interests of the holders in any material respect;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of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comply with any requirements of the SEC in connection with the qualification of the senior indenture under the Trust Indenture Act;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provide for uncertificated notes and to make all appropriate changes for such purpose;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9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make any change so long as no senior debt securities are outstanding.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affected holder must consent to any modification, amendment or waiver that:</w:t>
      </w:r>
    </w:p>
    <w:p>
      <w:pPr>
        <w:spacing w:after="0" w:line="35" w:lineRule="exact"/>
        <w:rPr>
          <w:sz w:val="20"/>
          <w:szCs w:val="20"/>
          <w:color w:val="auto"/>
        </w:rPr>
      </w:pPr>
    </w:p>
    <w:p>
      <w:pPr>
        <w:ind w:left="900" w:right="5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sinking fund obligation or any installment of interest on, the senior debt securities of the affected series;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changes the place or currency of payment of principal of, or premium, if any, or interest on, the senior debt securities of the affected series;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alters or impairs the right of holders to convert the senior debt securities of the affected series at the rate and upon the terms provided in the senior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waives a default in the payment of principal of, premium, if any, or interest on the senior debt securities;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that such holder has;</w:t>
      </w:r>
    </w:p>
    <w:p>
      <w:pPr>
        <w:spacing w:after="0" w:line="50"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 or</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or waives any provision in the senior indenture that, pursuant to a board resolution or supplemental indenture establishing the terms of one or more series of senior debt securities, is prohibited from being so changed or waived.</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It is not necessary for the consent of the holders under the senior indenture to approve the particular form of any note amendment, supplement or waiver, but it shall be sufficient if such consent approves the substance thereof.</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After an amendment, supplement or waiver that requires the consent of a majority or all of the affected holders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indenture and the debt securities will be governed by, and construed in accordance with, the internal laws of the State of New York.</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President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Subordination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8"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The subordination provisions also apply in the same way to each cable guarantor with respect to the Senior Indebtedness of such cable guarantor. 17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 w:lineRule="exact"/>
        <w:rPr>
          <w:sz w:val="20"/>
          <w:szCs w:val="20"/>
          <w:color w:val="auto"/>
        </w:rPr>
      </w:pPr>
    </w:p>
    <w:p>
      <w:pPr>
        <w:ind w:left="900" w:right="16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113" w:lineRule="exact"/>
        <w:rPr>
          <w:rFonts w:ascii="Arial" w:cs="Arial" w:eastAsia="Arial" w:hAnsi="Arial"/>
          <w:sz w:val="16"/>
          <w:szCs w:val="16"/>
          <w:color w:val="auto"/>
        </w:rPr>
      </w:pPr>
    </w:p>
    <w:p>
      <w:pPr>
        <w:ind w:left="900" w:right="32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59"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51" w:lineRule="exact"/>
        <w:rPr>
          <w:sz w:val="20"/>
          <w:szCs w:val="20"/>
          <w:color w:val="auto"/>
        </w:rPr>
      </w:pPr>
    </w:p>
    <w:p>
      <w:pPr>
        <w:ind w:left="460" w:right="200" w:firstLine="438"/>
        <w:spacing w:after="0" w:line="298" w:lineRule="auto"/>
        <w:rPr>
          <w:sz w:val="20"/>
          <w:szCs w:val="20"/>
          <w:color w:val="auto"/>
        </w:rPr>
      </w:pPr>
      <w:r>
        <w:rPr>
          <w:rFonts w:ascii="Arial" w:cs="Arial" w:eastAsia="Arial" w:hAnsi="Arial"/>
          <w:sz w:val="16"/>
          <w:szCs w:val="16"/>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32"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51" w:lineRule="exact"/>
        <w:rPr>
          <w:sz w:val="20"/>
          <w:szCs w:val="20"/>
          <w:color w:val="auto"/>
        </w:rPr>
      </w:pPr>
    </w:p>
    <w:p>
      <w:pPr>
        <w:ind w:left="900" w:right="1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the class of capital stock into which debt securities of such series are convertible;</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issuance to all holders of the class of capital stock into which debt securities of such series are convertible or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distributions of cash in excess of certain threshold amounts.</w:t>
      </w:r>
    </w:p>
    <w:p>
      <w:pPr>
        <w:spacing w:after="0" w:line="171"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stock dividends on, or stock splits of, our Class B common stock may also be paid or issued in shares of our Class A Special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pay quarterly dividends at an annual rate currently of $0.65 per share. See “Dividend Policy”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As of December 31, 2011, on all matters submitted for a vote of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aggregate voting power of our capital stock. As of December 31, 2011, 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Special common stock do not decrease the nondilutable voting power of the Class B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 Holders of our Class B common stock have an approval right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stock and which also has separate approval rights over certain material transactions, as described above under “—Approval Rights.” Accordingly, Mr. Roberts has considerable influence over our operations and has the ability (subject to certain restrictions through November 17, 2012) to transfer potential effective control by selling the Class B common stock. The Class B common stock is convertible on a share-for-share basis into Class A common stock or Class A Special common stock. As of January 31, 2012, if Mr. Roberts were to convert the Class B common stock he beneficially owns into Class A common stock, Mr. Roberts would beneficially own 15,492,431 shares of Class A common stock, which is less than 1% of the Class A common stock that would be outstanding after the conversion.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common stock offered hereby, or issuable upon conversion, exchange or exercise of securities offered hereby, will, when issued, be, fully paid and nonassessable.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We have been advised that the Class A common stock and Class A Special common stock are exempt from existing Pennsylvania personal property tax.</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transfer agent and registrar for our Class A Special common stock and Class A common stock is Wells Fargo Shareowner Services, P.O. Box 64874, 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Paul, Minnesota 55164-0874 . Their telephone number is (888) 883-8903.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Plan</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following description of the material terms of a rights agreement, as amended, with respect to a shareholder rights plan is qualified by reference to the terms of the rights agreement and amendment, which are included as exhibits to the registration statement of which this prospectus is a part.</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The Rights. </w:t>
      </w:r>
      <w:r>
        <w:rPr>
          <w:rFonts w:ascii="Arial" w:cs="Arial" w:eastAsia="Arial" w:hAnsi="Arial"/>
          <w:sz w:val="18"/>
          <w:szCs w:val="18"/>
          <w:color w:val="auto"/>
        </w:rPr>
        <w:t>Pursuant to the rights agreement, our board declared on November 18, 2002 a dividend of one preferred stock purchase right (the “Rights”)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A total of 2.5 million shares of preferred stock have been reserved for issuance upon exercise of the Rights.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Prior to the Distribution Date, (1) the Rights will be evidenced by the certificates of the relevant underlying common stock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Exercisability. </w:t>
      </w:r>
      <w:r>
        <w:rPr>
          <w:rFonts w:ascii="Arial" w:cs="Arial" w:eastAsia="Arial" w:hAnsi="Arial"/>
          <w:sz w:val="18"/>
          <w:szCs w:val="18"/>
          <w:color w:val="auto"/>
        </w:rPr>
        <w:t>The Rights will not be exercisable prior to the Distribution Date. After the Distribution Date, but prior to the occurrence of an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below under “—‘Flip In’ Feature” or “—‘Flip Over’ Feature,” each Right will be exercisable to purchase for $125 one one-thousandth of a share of our Series A participating cumulative preferred stock.</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“Flip In” Feature. </w:t>
      </w:r>
      <w:r>
        <w:rPr>
          <w:rFonts w:ascii="Arial" w:cs="Arial" w:eastAsia="Arial" w:hAnsi="Arial"/>
          <w:sz w:val="16"/>
          <w:szCs w:val="16"/>
          <w:color w:val="auto"/>
        </w:rPr>
        <w:t>If any person becomes an Acquiring Person, each holder of a Right, except for the Acquiring Person or certain affiliated persons,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the right to acquire, instead of one one-thousandth of a share of our Series A participating cumulative preferred stock, a number of shares of our Class A common stock, in each case having a market value equal to twice the exercise price of the Right. For example, if an initial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purchase price of $125 was in effect on the date that the flip in feature of the Rights was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“Exchange” Feature. </w:t>
      </w:r>
      <w:r>
        <w:rPr>
          <w:rFonts w:ascii="Arial" w:cs="Arial" w:eastAsia="Arial" w:hAnsi="Arial"/>
          <w:sz w:val="16"/>
          <w:szCs w:val="16"/>
          <w:color w:val="auto"/>
        </w:rPr>
        <w:t>At any time after a person becomes an Acquiring Person (but before any person becomes the beneficial owner of our voting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116"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“Flip Over” Feature. </w:t>
      </w:r>
      <w:r>
        <w:rPr>
          <w:rFonts w:ascii="Arial" w:cs="Arial" w:eastAsia="Arial" w:hAnsi="Arial"/>
          <w:sz w:val="18"/>
          <w:szCs w:val="18"/>
          <w:color w:val="auto"/>
        </w:rPr>
        <w:t>If, after a person becomes an Acquiring Person, (1) we are involved in a merger or other business combination in which we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 person becomes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 Person. The right to exercise will terminate upon redemption, and at that time, holders of the Rights will have the right to receive only the redemption price for each Right they hold.</w:t>
      </w:r>
    </w:p>
    <w:p>
      <w:pPr>
        <w:spacing w:after="0" w:line="14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b w:val="1"/>
          <w:bCs w:val="1"/>
          <w:i w:val="1"/>
          <w:iCs w:val="1"/>
          <w:color w:val="auto"/>
        </w:rPr>
        <w:t xml:space="preserve">Amendment of Rights. </w:t>
      </w:r>
      <w:r>
        <w:rPr>
          <w:rFonts w:ascii="Arial" w:cs="Arial" w:eastAsia="Arial" w:hAnsi="Arial"/>
          <w:sz w:val="15"/>
          <w:szCs w:val="15"/>
          <w:color w:val="auto"/>
        </w:rPr>
        <w:t>For so long as the Rights are redeemable, the rights agreement may be amended in any respect. At any time when the Rights are no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Expiration of Rights. </w:t>
      </w:r>
      <w:r>
        <w:rPr>
          <w:rFonts w:ascii="Arial" w:cs="Arial" w:eastAsia="Arial" w:hAnsi="Arial"/>
          <w:sz w:val="18"/>
          <w:szCs w:val="18"/>
          <w:color w:val="auto"/>
        </w:rPr>
        <w:t>If not previously exercised or redeemed, the Rights will expire on November 18, 2012, unless earlier exchanged.</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Anti-Takeover Effects. </w:t>
      </w:r>
      <w:r>
        <w:rPr>
          <w:rFonts w:ascii="Arial" w:cs="Arial" w:eastAsia="Arial" w:hAnsi="Arial"/>
          <w:sz w:val="16"/>
          <w:szCs w:val="16"/>
          <w:color w:val="auto"/>
        </w:rPr>
        <w:t>The Rights have certain anti-takeover effects. The Rights may cause substantial dilution to a person that attempts to acquire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Taxation. </w:t>
      </w:r>
      <w:r>
        <w:rPr>
          <w:rFonts w:ascii="Arial" w:cs="Arial" w:eastAsia="Arial" w:hAnsi="Arial"/>
          <w:sz w:val="18"/>
          <w:szCs w:val="18"/>
          <w:color w:val="auto"/>
        </w:rPr>
        <w:t>While the dividend of the Rights was not taxable to stockholders or to us, stockholders or we may, depending upon the circumstances, recognize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taxable income in the event that the Rights become exercisable as set forth above.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Series A Preferred Stock. </w:t>
      </w:r>
      <w:r>
        <w:rPr>
          <w:rFonts w:ascii="Arial" w:cs="Arial" w:eastAsia="Arial" w:hAnsi="Arial"/>
          <w:sz w:val="16"/>
          <w:szCs w:val="16"/>
          <w:color w:val="auto"/>
        </w:rPr>
        <w:t>In connection with the creation of the Rights, our Board authorized the issuance of shares of our preferred stock designated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Series A participating cumulative preferred stock. The dividend, liquidation, voting and redemption features of our Series A participating cumulative preferred stock have been designed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As to matters governed by Pennsylvania law, Arthur R. Block, Esquire, Senior Vice President, General Counsel and Secretary of Comcast, and as to matters governed by New York and Delaware law, Davis Polk &amp; Wardwell LLP, will pass upon the validity of the securities on our behalf and on behalf of the cable guarantors, although we may use other counsel, including our employees, to do so. Unless otherwise indicated in the accompanying prospectus supplement, Cahill Gordon &amp; Reindel </w:t>
      </w:r>
      <w:r>
        <w:rPr>
          <w:rFonts w:ascii="Arial" w:cs="Arial" w:eastAsia="Arial" w:hAnsi="Arial"/>
          <w:sz w:val="14"/>
          <w:szCs w:val="14"/>
          <w:color w:val="auto"/>
        </w:rPr>
        <w:t>LLP</w:t>
      </w:r>
      <w:r>
        <w:rPr>
          <w:rFonts w:ascii="Arial" w:cs="Arial" w:eastAsia="Arial" w:hAnsi="Arial"/>
          <w:sz w:val="18"/>
          <w:szCs w:val="18"/>
          <w:color w:val="auto"/>
        </w:rPr>
        <w:t xml:space="preserve">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incorporated in this prospectus by reference from the Company’s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along with the cable guarantors,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We file annual, quarterly and special reports and other information with the SEC. Comcast Cable, Comcast Cable Holdings, Comcast MO Group and Comcast MO of Delaware do not currently file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100 F Street, NE, Washington, D.C. 20549. Please call the SEC at 1-800-SEC-0330 for further information on the public reference rooms. Our SEC filings, including the complete registration statement and all of the exhibits to it are available through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rely only on the information contained in this prospectus, in any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any prospectus supplement and our filings with the SEC is accurate only as of its date, regardless of the time of delivery of this prospectus and any prospectus supplement or of any sale of the securities.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2011, filed on February 23, 2012.</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section of the Definitive Proxy Statement on Schedule 14A for the 2011 annual meeting of stockholders incorporated by reference in the Annual Report on Form 10-K for the year ended December 31, 2010.</w:t>
      </w:r>
    </w:p>
    <w:p>
      <w:pPr>
        <w:spacing w:after="0" w:line="5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our Current Report on Form 8-K12G3 and Registration Statement on Form 8-A12G, each filed on November 18, 2002, as amended by our Registration Statement on Form 8-A12B/A filed on December 20, 2010, as the same may be further amended from time to time.</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643255</wp:posOffset>
            </wp:positionV>
            <wp:extent cx="1397635" cy="3600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$250,000,000 5.00% Notes due 2061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675640</wp:posOffset>
            </wp:positionV>
            <wp:extent cx="15176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060" w:type="dxa"/>
            <w:vAlign w:val="bottom"/>
          </w:tcPr>
          <w:p>
            <w:pPr>
              <w:spacing w:after="0"/>
              <w:rPr>
                <w:sz w:val="23"/>
                <w:szCs w:val="23"/>
                <w:color w:val="auto"/>
              </w:rPr>
            </w:pPr>
          </w:p>
        </w:tc>
        <w:tc>
          <w:tcPr>
            <w:tcW w:w="5480" w:type="dxa"/>
            <w:vAlign w:val="bottom"/>
            <w:gridSpan w:val="4"/>
          </w:tcPr>
          <w:p>
            <w:pPr>
              <w:ind w:left="1320"/>
              <w:spacing w:after="0"/>
              <w:rPr>
                <w:sz w:val="20"/>
                <w:szCs w:val="20"/>
                <w:color w:val="auto"/>
              </w:rPr>
            </w:pPr>
            <w:r>
              <w:rPr>
                <w:rFonts w:ascii="Arial" w:cs="Arial" w:eastAsia="Arial" w:hAnsi="Arial"/>
                <w:sz w:val="22"/>
                <w:szCs w:val="22"/>
                <w:i w:val="1"/>
                <w:iCs w:val="1"/>
                <w:color w:val="auto"/>
              </w:rPr>
              <w:t>Joint Book-Running Managers</w:t>
            </w:r>
          </w:p>
        </w:tc>
        <w:tc>
          <w:tcPr>
            <w:tcW w:w="2880" w:type="dxa"/>
            <w:vAlign w:val="bottom"/>
          </w:tcPr>
          <w:p>
            <w:pPr>
              <w:spacing w:after="0"/>
              <w:rPr>
                <w:sz w:val="23"/>
                <w:szCs w:val="23"/>
                <w:color w:val="auto"/>
              </w:rPr>
            </w:pPr>
          </w:p>
        </w:tc>
      </w:tr>
      <w:tr>
        <w:trPr>
          <w:trHeight w:val="446"/>
        </w:trPr>
        <w:tc>
          <w:tcPr>
            <w:tcW w:w="3060" w:type="dxa"/>
            <w:vAlign w:val="bottom"/>
          </w:tcPr>
          <w:p>
            <w:pPr>
              <w:spacing w:after="0"/>
              <w:rPr>
                <w:sz w:val="20"/>
                <w:szCs w:val="20"/>
                <w:color w:val="auto"/>
              </w:rPr>
            </w:pPr>
            <w:r>
              <w:rPr>
                <w:rFonts w:ascii="Arial" w:cs="Arial" w:eastAsia="Arial" w:hAnsi="Arial"/>
                <w:sz w:val="22"/>
                <w:szCs w:val="22"/>
                <w:b w:val="1"/>
                <w:bCs w:val="1"/>
                <w:color w:val="auto"/>
              </w:rPr>
              <w:t>BofA Merrill Lynch</w:t>
            </w:r>
          </w:p>
        </w:tc>
        <w:tc>
          <w:tcPr>
            <w:tcW w:w="1700" w:type="dxa"/>
            <w:vAlign w:val="bottom"/>
            <w:gridSpan w:val="2"/>
          </w:tcPr>
          <w:p>
            <w:pPr>
              <w:ind w:left="160"/>
              <w:spacing w:after="0"/>
              <w:rPr>
                <w:sz w:val="20"/>
                <w:szCs w:val="20"/>
                <w:color w:val="auto"/>
              </w:rPr>
            </w:pPr>
            <w:r>
              <w:rPr>
                <w:rFonts w:ascii="Arial" w:cs="Arial" w:eastAsia="Arial" w:hAnsi="Arial"/>
                <w:sz w:val="22"/>
                <w:szCs w:val="22"/>
                <w:b w:val="1"/>
                <w:bCs w:val="1"/>
                <w:color w:val="auto"/>
                <w:w w:val="92"/>
              </w:rPr>
              <w:t>Morgan Stanley</w:t>
            </w:r>
          </w:p>
        </w:tc>
        <w:tc>
          <w:tcPr>
            <w:tcW w:w="3780" w:type="dxa"/>
            <w:vAlign w:val="bottom"/>
            <w:gridSpan w:val="2"/>
          </w:tcPr>
          <w:p>
            <w:pPr>
              <w:ind w:left="1640"/>
              <w:spacing w:after="0"/>
              <w:rPr>
                <w:sz w:val="20"/>
                <w:szCs w:val="20"/>
                <w:color w:val="auto"/>
              </w:rPr>
            </w:pPr>
            <w:r>
              <w:rPr>
                <w:rFonts w:ascii="Arial" w:cs="Arial" w:eastAsia="Arial" w:hAnsi="Arial"/>
                <w:sz w:val="22"/>
                <w:szCs w:val="22"/>
                <w:b w:val="1"/>
                <w:bCs w:val="1"/>
                <w:color w:val="auto"/>
                <w:w w:val="92"/>
              </w:rPr>
              <w:t>UBS Investment Bank</w:t>
            </w:r>
          </w:p>
        </w:tc>
        <w:tc>
          <w:tcPr>
            <w:tcW w:w="2880" w:type="dxa"/>
            <w:vAlign w:val="bottom"/>
          </w:tcPr>
          <w:p>
            <w:pPr>
              <w:ind w:left="820"/>
              <w:spacing w:after="0"/>
              <w:rPr>
                <w:sz w:val="20"/>
                <w:szCs w:val="20"/>
                <w:color w:val="auto"/>
              </w:rPr>
            </w:pPr>
            <w:r>
              <w:rPr>
                <w:rFonts w:ascii="Arial" w:cs="Arial" w:eastAsia="Arial" w:hAnsi="Arial"/>
                <w:sz w:val="22"/>
                <w:szCs w:val="22"/>
                <w:b w:val="1"/>
                <w:bCs w:val="1"/>
                <w:color w:val="auto"/>
                <w:w w:val="86"/>
              </w:rPr>
              <w:t>Wells Fargo Securities</w:t>
            </w:r>
          </w:p>
        </w:tc>
      </w:tr>
      <w:tr>
        <w:trPr>
          <w:trHeight w:val="368"/>
        </w:trPr>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557"/>
        </w:trPr>
        <w:tc>
          <w:tcPr>
            <w:tcW w:w="3060" w:type="dxa"/>
            <w:vAlign w:val="bottom"/>
          </w:tcPr>
          <w:p>
            <w:pPr>
              <w:jc w:val="center"/>
              <w:ind w:left="742"/>
              <w:spacing w:after="0"/>
              <w:rPr>
                <w:sz w:val="20"/>
                <w:szCs w:val="20"/>
                <w:color w:val="auto"/>
              </w:rPr>
            </w:pPr>
            <w:r>
              <w:rPr>
                <w:rFonts w:ascii="Arial" w:cs="Arial" w:eastAsia="Arial" w:hAnsi="Arial"/>
                <w:sz w:val="22"/>
                <w:szCs w:val="22"/>
                <w:b w:val="1"/>
                <w:bCs w:val="1"/>
                <w:color w:val="auto"/>
                <w:w w:val="88"/>
              </w:rPr>
              <w:t>Raymond James</w:t>
            </w: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80" w:type="dxa"/>
            <w:vAlign w:val="bottom"/>
            <w:gridSpan w:val="2"/>
          </w:tcPr>
          <w:p>
            <w:pPr>
              <w:jc w:val="center"/>
              <w:ind w:right="1620"/>
              <w:spacing w:after="0"/>
              <w:rPr>
                <w:sz w:val="20"/>
                <w:szCs w:val="20"/>
                <w:color w:val="auto"/>
              </w:rPr>
            </w:pPr>
            <w:r>
              <w:rPr>
                <w:rFonts w:ascii="Arial" w:cs="Arial" w:eastAsia="Arial" w:hAnsi="Arial"/>
                <w:sz w:val="22"/>
                <w:szCs w:val="22"/>
                <w:b w:val="1"/>
                <w:bCs w:val="1"/>
                <w:color w:val="auto"/>
                <w:w w:val="94"/>
              </w:rPr>
              <w:t>RBC Capital Markets</w:t>
            </w:r>
          </w:p>
        </w:tc>
        <w:tc>
          <w:tcPr>
            <w:tcW w:w="2880" w:type="dxa"/>
            <w:vAlign w:val="bottom"/>
          </w:tcPr>
          <w:p>
            <w:pPr>
              <w:jc w:val="center"/>
              <w:ind w:right="682"/>
              <w:spacing w:after="0"/>
              <w:rPr>
                <w:sz w:val="20"/>
                <w:szCs w:val="20"/>
                <w:color w:val="auto"/>
              </w:rPr>
            </w:pPr>
            <w:r>
              <w:rPr>
                <w:rFonts w:ascii="Arial" w:cs="Arial" w:eastAsia="Arial" w:hAnsi="Arial"/>
                <w:sz w:val="22"/>
                <w:szCs w:val="22"/>
                <w:b w:val="1"/>
                <w:bCs w:val="1"/>
                <w:color w:val="auto"/>
                <w:w w:val="87"/>
              </w:rPr>
              <w:t>Stifel Nicolaus Weisel</w:t>
            </w:r>
          </w:p>
        </w:tc>
      </w:tr>
      <w:tr>
        <w:trPr>
          <w:trHeight w:val="408"/>
        </w:trPr>
        <w:tc>
          <w:tcPr>
            <w:tcW w:w="3060" w:type="dxa"/>
            <w:vAlign w:val="bottom"/>
          </w:tcPr>
          <w:p>
            <w:pPr>
              <w:jc w:val="center"/>
              <w:ind w:left="742"/>
              <w:spacing w:after="0"/>
              <w:rPr>
                <w:sz w:val="20"/>
                <w:szCs w:val="20"/>
                <w:color w:val="auto"/>
              </w:rPr>
            </w:pPr>
            <w:r>
              <w:rPr>
                <w:rFonts w:ascii="Arial" w:cs="Arial" w:eastAsia="Arial" w:hAnsi="Arial"/>
                <w:sz w:val="18"/>
                <w:szCs w:val="18"/>
                <w:b w:val="1"/>
                <w:bCs w:val="1"/>
                <w:color w:val="auto"/>
                <w:w w:val="87"/>
              </w:rPr>
              <w:t>Barclays</w:t>
            </w: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8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89"/>
              </w:rPr>
              <w:t>Citigroup</w:t>
            </w:r>
          </w:p>
        </w:tc>
        <w:tc>
          <w:tcPr>
            <w:tcW w:w="2880" w:type="dxa"/>
            <w:vAlign w:val="bottom"/>
          </w:tcPr>
          <w:p>
            <w:pPr>
              <w:jc w:val="center"/>
              <w:ind w:right="662"/>
              <w:spacing w:after="0"/>
              <w:rPr>
                <w:sz w:val="20"/>
                <w:szCs w:val="20"/>
                <w:color w:val="auto"/>
              </w:rPr>
            </w:pPr>
            <w:r>
              <w:rPr>
                <w:rFonts w:ascii="Arial" w:cs="Arial" w:eastAsia="Arial" w:hAnsi="Arial"/>
                <w:sz w:val="18"/>
                <w:szCs w:val="18"/>
                <w:b w:val="1"/>
                <w:bCs w:val="1"/>
                <w:color w:val="auto"/>
                <w:w w:val="86"/>
              </w:rPr>
              <w:t>Credit Suisse</w:t>
            </w:r>
          </w:p>
        </w:tc>
      </w:tr>
      <w:tr>
        <w:trPr>
          <w:trHeight w:val="228"/>
        </w:trPr>
        <w:tc>
          <w:tcPr>
            <w:tcW w:w="3060" w:type="dxa"/>
            <w:vAlign w:val="bottom"/>
          </w:tcPr>
          <w:p>
            <w:pPr>
              <w:jc w:val="center"/>
              <w:ind w:left="742"/>
              <w:spacing w:after="0"/>
              <w:rPr>
                <w:sz w:val="20"/>
                <w:szCs w:val="20"/>
                <w:color w:val="auto"/>
              </w:rPr>
            </w:pPr>
            <w:r>
              <w:rPr>
                <w:rFonts w:ascii="Arial" w:cs="Arial" w:eastAsia="Arial" w:hAnsi="Arial"/>
                <w:sz w:val="18"/>
                <w:szCs w:val="18"/>
                <w:b w:val="1"/>
                <w:bCs w:val="1"/>
                <w:color w:val="auto"/>
                <w:w w:val="85"/>
              </w:rPr>
              <w:t>Deutsche Bank Securities</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8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89"/>
              </w:rPr>
              <w:t>Goldman, Sachs &amp; Co.</w:t>
            </w:r>
          </w:p>
        </w:tc>
        <w:tc>
          <w:tcPr>
            <w:tcW w:w="2880" w:type="dxa"/>
            <w:vAlign w:val="bottom"/>
          </w:tcPr>
          <w:p>
            <w:pPr>
              <w:jc w:val="center"/>
              <w:ind w:right="662"/>
              <w:spacing w:after="0"/>
              <w:rPr>
                <w:sz w:val="20"/>
                <w:szCs w:val="20"/>
                <w:color w:val="auto"/>
              </w:rPr>
            </w:pPr>
            <w:r>
              <w:rPr>
                <w:rFonts w:ascii="Arial" w:cs="Arial" w:eastAsia="Arial" w:hAnsi="Arial"/>
                <w:sz w:val="18"/>
                <w:szCs w:val="18"/>
                <w:b w:val="1"/>
                <w:bCs w:val="1"/>
                <w:color w:val="auto"/>
                <w:w w:val="90"/>
              </w:rPr>
              <w:t>J.P. Morgan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1)"/>
      <w:numFmt w:val="decimal"/>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lowerLetter"/>
      <w:start w:val="3"/>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1."/>
      <w:numFmt w:val="upperLetter"/>
      <w:start w:val="1"/>
    </w:lvl>
  </w:abstractNum>
  <w:abstractNum w:abstractNumId="12">
    <w:nsid w:val="2901D82"/>
    <w:multiLevelType w:val="hybridMultilevel"/>
    <w:lvl w:ilvl="0">
      <w:lvlJc w:val="left"/>
      <w:lvlText w:val="(%1)"/>
      <w:numFmt w:val="lowerRoman"/>
      <w:start w:val="1"/>
    </w:lvl>
  </w:abstractNum>
  <w:abstractNum w:abstractNumId="13">
    <w:nsid w:val="3A95F874"/>
    <w:multiLevelType w:val="hybridMultilevel"/>
    <w:lvl w:ilvl="0">
      <w:lvlJc w:val="left"/>
      <w:lvlText w:val="(%1)"/>
      <w:numFmt w:val="lowerLetter"/>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lowerLetter"/>
      <w:start w:val="3"/>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lvl w:ilvl="1">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lvl w:ilvl="1">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lvl w:ilvl="1">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lvl w:ilvl="1">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2019-12-09T14:44:38Z</dcterms:created>
  <dcterms:modified xsi:type="dcterms:W3CDTF">2019-12-09T14:44:38Z</dcterms:modified>
</cp:coreProperties>
</file>