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December 31,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hanging="215"/>
        <w:spacing w:after="0"/>
        <w:tabs>
          <w:tab w:leader="none" w:pos="9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1160" w:hanging="415"/>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160" w:hanging="415"/>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 - - - - - - - - - - - - - - - - - - - - -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1380" w:right="6199" w:hanging="635"/>
        <w:spacing w:after="0" w:line="268" w:lineRule="auto"/>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380" w:hanging="63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380" w:hanging="635"/>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36,011,180</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1380" w:hanging="635"/>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39,058,034</w:t>
      </w:r>
    </w:p>
    <w:p>
      <w:pPr>
        <w:spacing w:after="0" w:line="207" w:lineRule="exact"/>
        <w:rPr>
          <w:rFonts w:ascii="Courier New" w:cs="Courier New" w:eastAsia="Courier New" w:hAnsi="Courier New"/>
          <w:sz w:val="18"/>
          <w:szCs w:val="18"/>
          <w:color w:val="auto"/>
        </w:rPr>
      </w:pPr>
    </w:p>
    <w:p>
      <w:pPr>
        <w:ind w:left="1380" w:right="241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39,058,034</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380" w:right="35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5.55%</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ind w:left="1280" w:right="5359" w:hanging="535"/>
        <w:spacing w:after="0" w:line="236"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ClearBridge Asset Management, Inc. Tax Identification No.:</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13-3440564</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535"/>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1280" w:hanging="535"/>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97,913</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1280" w:hanging="535"/>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2,498,719</w:t>
      </w:r>
    </w:p>
    <w:p>
      <w:pPr>
        <w:spacing w:after="0" w:line="207" w:lineRule="exact"/>
        <w:rPr>
          <w:rFonts w:ascii="Courier New" w:cs="Courier New" w:eastAsia="Courier New" w:hAnsi="Courier New"/>
          <w:sz w:val="18"/>
          <w:szCs w:val="18"/>
          <w:color w:val="auto"/>
        </w:rPr>
      </w:pPr>
    </w:p>
    <w:p>
      <w:pPr>
        <w:ind w:left="1160" w:right="2619" w:hanging="415"/>
        <w:spacing w:after="0" w:line="235"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2,498,719</w:t>
      </w:r>
    </w:p>
    <w:p>
      <w:pPr>
        <w:sectPr>
          <w:pgSz w:w="11900" w:h="16853" w:orient="portrait"/>
          <w:cols w:equalWidth="0" w:num="1">
            <w:col w:w="10219"/>
          </w:cols>
          <w:pgMar w:left="240" w:top="244" w:right="1440" w:bottom="0" w:gutter="0" w:footer="0" w:header="0"/>
        </w:sectPr>
      </w:pPr>
    </w:p>
    <w:bookmarkStart w:id="1" w:name="page2"/>
    <w:bookmarkEnd w:id="1"/>
    <w:p>
      <w:pPr>
        <w:ind w:left="1160" w:right="2199" w:hanging="415"/>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160" w:right="3779" w:hanging="415"/>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0.36%</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1" w:lineRule="exact"/>
        <w:rPr>
          <w:sz w:val="20"/>
          <w:szCs w:val="20"/>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06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 Barney Fund Management LLC Tax Identification No.:</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13-2616913</w:t>
      </w:r>
    </w:p>
    <w:p>
      <w:pPr>
        <w:spacing w:after="0" w:line="207" w:lineRule="exact"/>
        <w:rPr>
          <w:rFonts w:ascii="Courier New" w:cs="Courier New" w:eastAsia="Courier New" w:hAnsi="Courier New"/>
          <w:sz w:val="18"/>
          <w:szCs w:val="18"/>
          <w:color w:val="auto"/>
        </w:rPr>
      </w:pPr>
    </w:p>
    <w:p>
      <w:pPr>
        <w:ind w:left="740" w:right="3999" w:firstLine="5"/>
        <w:spacing w:after="0" w:line="235" w:lineRule="auto"/>
        <w:tabs>
          <w:tab w:leader="none" w:pos="105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x</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n/a</w:t>
      </w:r>
    </w:p>
    <w:p>
      <w:pPr>
        <w:spacing w:after="0" w:line="201"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060" w:hanging="31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- 0 -</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525,050</w:t>
      </w:r>
    </w:p>
    <w:p>
      <w:pPr>
        <w:ind w:left="1280" w:hanging="535"/>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tbl>
      <w:tblPr>
        <w:tblLayout w:type="fixed"/>
        <w:tblInd w:w="740" w:type="dxa"/>
        <w:tblCellMar>
          <w:top w:w="0" w:type="dxa"/>
          <w:left w:w="0" w:type="dxa"/>
          <w:bottom w:w="0" w:type="dxa"/>
          <w:right w:w="0" w:type="dxa"/>
        </w:tblCellMar>
      </w:tblPr>
      <w:tr>
        <w:trPr>
          <w:trHeight w:val="203"/>
        </w:trPr>
        <w:tc>
          <w:tcPr>
            <w:tcW w:w="358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525,050</w:t>
            </w:r>
          </w:p>
        </w:tc>
      </w:tr>
    </w:tbl>
    <w:p>
      <w:pPr>
        <w:spacing w:after="0" w:line="207" w:lineRule="exact"/>
        <w:rPr>
          <w:sz w:val="20"/>
          <w:szCs w:val="20"/>
          <w:color w:val="auto"/>
        </w:rPr>
      </w:pPr>
    </w:p>
    <w:p>
      <w:pPr>
        <w:ind w:left="2000" w:right="2519" w:hanging="1255"/>
        <w:spacing w:after="0" w:line="235" w:lineRule="auto"/>
        <w:tabs>
          <w:tab w:leader="none" w:pos="126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525,050</w:t>
      </w:r>
    </w:p>
    <w:p>
      <w:pPr>
        <w:spacing w:after="0" w:line="208" w:lineRule="exact"/>
        <w:rPr>
          <w:rFonts w:ascii="Courier New" w:cs="Courier New" w:eastAsia="Courier New" w:hAnsi="Courier New"/>
          <w:sz w:val="18"/>
          <w:szCs w:val="18"/>
          <w:color w:val="auto"/>
        </w:rPr>
      </w:pPr>
    </w:p>
    <w:p>
      <w:pPr>
        <w:ind w:left="1280" w:right="2099" w:hanging="535"/>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1280" w:right="3679" w:hanging="535"/>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0.07%</w:t>
      </w:r>
    </w:p>
    <w:p>
      <w:pPr>
        <w:spacing w:after="0" w:line="202"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 - - - - - - - - - - - - - - - - - - - - - - - - - - - - - - - - -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 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960"/>
        <w:spacing w:after="0"/>
        <w:rPr>
          <w:sz w:val="20"/>
          <w:szCs w:val="20"/>
          <w:color w:val="auto"/>
        </w:rPr>
      </w:pPr>
      <w:r>
        <w:rPr>
          <w:rFonts w:ascii="Courier New" w:cs="Courier New" w:eastAsia="Courier New" w:hAnsi="Courier New"/>
          <w:sz w:val="18"/>
          <w:szCs w:val="18"/>
          <w:color w:val="auto"/>
        </w:rPr>
        <w:t>ClearBridge Asset Management, Inc.</w:t>
      </w:r>
    </w:p>
    <w:p>
      <w:pPr>
        <w:ind w:left="9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399 Park Avenue</w:t>
      </w:r>
    </w:p>
    <w:p>
      <w:pPr>
        <w:ind w:left="96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160"/>
        <w:spacing w:after="0"/>
        <w:rPr>
          <w:sz w:val="20"/>
          <w:szCs w:val="20"/>
          <w:color w:val="auto"/>
        </w:rPr>
      </w:pPr>
      <w:r>
        <w:rPr>
          <w:rFonts w:ascii="Courier New" w:cs="Courier New" w:eastAsia="Courier New" w:hAnsi="Courier New"/>
          <w:sz w:val="18"/>
          <w:szCs w:val="18"/>
          <w:color w:val="auto"/>
        </w:rPr>
        <w:t>Delaware Limited Liability Corporation</w:t>
      </w:r>
    </w:p>
    <w:p>
      <w:pPr>
        <w:ind w:left="960"/>
        <w:spacing w:after="0" w:line="237" w:lineRule="auto"/>
        <w:rPr>
          <w:sz w:val="20"/>
          <w:szCs w:val="20"/>
          <w:color w:val="auto"/>
        </w:rPr>
      </w:pPr>
      <w:r>
        <w:rPr>
          <w:rFonts w:ascii="Courier New" w:cs="Courier New" w:eastAsia="Courier New" w:hAnsi="Courier New"/>
          <w:sz w:val="18"/>
          <w:szCs w:val="18"/>
          <w:color w:val="auto"/>
        </w:rPr>
        <w:t>ClearBridge Asset Management, Inc.</w:t>
      </w:r>
    </w:p>
    <w:p>
      <w:pPr>
        <w:ind w:left="1160"/>
        <w:spacing w:after="0" w:line="238" w:lineRule="auto"/>
        <w:rPr>
          <w:sz w:val="20"/>
          <w:szCs w:val="20"/>
          <w:color w:val="auto"/>
        </w:rPr>
      </w:pPr>
      <w:r>
        <w:rPr>
          <w:rFonts w:ascii="Courier New" w:cs="Courier New" w:eastAsia="Courier New" w:hAnsi="Courier New"/>
          <w:sz w:val="18"/>
          <w:szCs w:val="18"/>
          <w:color w:val="auto"/>
        </w:rPr>
        <w:t>Delaware Corporation</w:t>
      </w:r>
    </w:p>
    <w:p>
      <w:pPr>
        <w:ind w:left="960"/>
        <w:spacing w:after="0"/>
        <w:rPr>
          <w:sz w:val="20"/>
          <w:szCs w:val="20"/>
          <w:color w:val="auto"/>
        </w:rPr>
      </w:pPr>
      <w:r>
        <w:rPr>
          <w:rFonts w:ascii="Courier New" w:cs="Courier New" w:eastAsia="Courier New" w:hAnsi="Courier New"/>
          <w:sz w:val="18"/>
          <w:szCs w:val="18"/>
          <w:color w:val="auto"/>
        </w:rPr>
        <w:t>Smith Barney Fund Management LLC</w:t>
      </w:r>
    </w:p>
    <w:p>
      <w:pPr>
        <w:ind w:left="1160"/>
        <w:spacing w:after="0" w:line="237"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20030N200</w:t>
      </w:r>
    </w:p>
    <w:p>
      <w:pPr>
        <w:spacing w:after="0" w:line="207" w:lineRule="exact"/>
        <w:rPr>
          <w:sz w:val="20"/>
          <w:szCs w:val="20"/>
          <w:color w:val="auto"/>
        </w:rPr>
      </w:pPr>
    </w:p>
    <w:p>
      <w:pPr>
        <w:ind w:left="960" w:right="367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sectPr>
          <w:pgSz w:w="11900" w:h="16838" w:orient="portrait"/>
          <w:cols w:equalWidth="0" w:num="1">
            <w:col w:w="10219"/>
          </w:cols>
          <w:pgMar w:left="240" w:top="344" w:right="1440" w:bottom="0" w:gutter="0" w:footer="0" w:header="0"/>
        </w:sectPr>
      </w:pPr>
    </w:p>
    <w:bookmarkStart w:id="2" w:name="page3"/>
    <w:bookmarkEnd w:id="2"/>
    <w:p>
      <w:pPr>
        <w:ind w:left="1580" w:right="3579" w:hanging="835"/>
        <w:spacing w:after="0" w:line="235"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580" w:right="3359" w:hanging="835"/>
        <w:spacing w:after="0" w:line="235"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hanging="41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42,081,803</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5.98%</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419"/>
        <w:spacing w:after="0" w:line="238" w:lineRule="auto"/>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160" w:right="4099" w:hanging="99"/>
        <w:spacing w:after="0" w:line="235" w:lineRule="auto"/>
        <w:tabs>
          <w:tab w:leader="none" w:pos="158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36,634,143</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160" w:right="2739" w:hanging="99"/>
        <w:spacing w:after="0" w:line="235" w:lineRule="auto"/>
        <w:tabs>
          <w:tab w:leader="none" w:pos="158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42,081,803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ClearBridge Asset Management, Inc.</w:t>
      </w:r>
    </w:p>
    <w:p>
      <w:pPr>
        <w:ind w:left="10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Asset Management,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Barney Fund Management LLC</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Kocur</w:t>
      </w:r>
    </w:p>
    <w:p>
      <w:pPr>
        <w:ind w:left="740"/>
        <w:spacing w:after="0" w:line="238" w:lineRule="auto"/>
        <w:rPr>
          <w:sz w:val="20"/>
          <w:szCs w:val="20"/>
          <w:color w:val="auto"/>
        </w:rPr>
      </w:pPr>
      <w:r>
        <w:rPr>
          <w:rFonts w:ascii="Courier New" w:cs="Courier New" w:eastAsia="Courier New" w:hAnsi="Courier New"/>
          <w:sz w:val="18"/>
          <w:szCs w:val="18"/>
          <w:color w:val="auto"/>
        </w:rPr>
        <w:t>Michael Kocur,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 s outstanding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Asset Management,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Leonard P. Larrabee</w:t>
      </w:r>
    </w:p>
    <w:p>
      <w:pPr>
        <w:ind w:left="740"/>
        <w:spacing w:after="0" w:line="238" w:lineRule="auto"/>
        <w:rPr>
          <w:sz w:val="20"/>
          <w:szCs w:val="20"/>
          <w:color w:val="auto"/>
        </w:rPr>
      </w:pPr>
      <w:r>
        <w:rPr>
          <w:rFonts w:ascii="Courier New" w:cs="Courier New" w:eastAsia="Courier New" w:hAnsi="Courier New"/>
          <w:sz w:val="18"/>
          <w:szCs w:val="18"/>
          <w:color w:val="auto"/>
        </w:rPr>
        <w:t>Leonard P. Larrabee,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Kocur</w:t>
      </w:r>
    </w:p>
    <w:p>
      <w:pPr>
        <w:ind w:left="740"/>
        <w:spacing w:after="0" w:line="238" w:lineRule="auto"/>
        <w:rPr>
          <w:sz w:val="20"/>
          <w:szCs w:val="20"/>
          <w:color w:val="auto"/>
        </w:rPr>
      </w:pPr>
      <w:r>
        <w:rPr>
          <w:rFonts w:ascii="Courier New" w:cs="Courier New" w:eastAsia="Courier New" w:hAnsi="Courier New"/>
          <w:sz w:val="18"/>
          <w:szCs w:val="18"/>
          <w:color w:val="auto"/>
        </w:rPr>
        <w:t>Michael Kocur, Assistant Secretary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9"/>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4"/>
    </w:lvl>
  </w:abstractNum>
  <w:abstractNum w:abstractNumId="15">
    <w:nsid w:val="4E6AFB66"/>
    <w:multiLevelType w:val="hybridMultilevel"/>
    <w:lvl w:ilvl="0">
      <w:lvlJc w:val="left"/>
      <w:lvlText w:val="(%1)"/>
      <w:numFmt w:val="lowerLetter"/>
      <w:start w:val="7"/>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2019-12-15T06:42:48Z</dcterms:created>
  <dcterms:modified xsi:type="dcterms:W3CDTF">2019-12-15T06:42:48Z</dcterms:modified>
</cp:coreProperties>
</file>