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gridSpan w:val="5"/>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040" w:type="dxa"/>
            <w:vAlign w:val="bottom"/>
            <w:gridSpan w:val="5"/>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0001166691</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AT&amp;T COMCAST CORP</w:t>
            </w:r>
          </w:p>
        </w:tc>
        <w:tc>
          <w:tcPr>
            <w:tcW w:w="880" w:type="dxa"/>
            <w:vAlign w:val="bottom"/>
          </w:tcPr>
          <w:p>
            <w:pPr>
              <w:spacing w:after="0"/>
              <w:rPr>
                <w:sz w:val="21"/>
                <w:szCs w:val="21"/>
                <w:color w:val="auto"/>
              </w:rPr>
            </w:pPr>
          </w:p>
        </w:tc>
        <w:tc>
          <w:tcPr>
            <w:tcW w:w="1880" w:type="dxa"/>
            <w:vAlign w:val="bottom"/>
            <w:gridSpan w:val="3"/>
            <w:vMerge w:val="restart"/>
          </w:tcPr>
          <w:p>
            <w:pPr>
              <w:ind w:left="26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vMerge w:val="restart"/>
          </w:tcPr>
          <w:p>
            <w:pPr>
              <w:ind w:left="54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340" w:type="dxa"/>
            <w:vAlign w:val="bottom"/>
            <w:gridSpan w:val="3"/>
            <w:vMerge w:val="restart"/>
          </w:tcPr>
          <w:p>
            <w:pPr>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4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40" w:type="dxa"/>
            <w:vAlign w:val="bottom"/>
            <w:gridSpan w:val="4"/>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4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4"/>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2740" w:type="dxa"/>
            <w:vAlign w:val="bottom"/>
            <w:gridSpan w:val="2"/>
          </w:tcPr>
          <w:p>
            <w:pPr>
              <w:ind w:left="1120"/>
              <w:spacing w:after="0"/>
              <w:rPr>
                <w:sz w:val="20"/>
                <w:szCs w:val="20"/>
                <w:color w:val="auto"/>
              </w:rPr>
            </w:pPr>
            <w:r>
              <w:rPr>
                <w:rFonts w:ascii="Arial" w:cs="Arial" w:eastAsia="Arial" w:hAnsi="Arial"/>
                <w:sz w:val="22"/>
                <w:szCs w:val="22"/>
                <w:color w:val="auto"/>
                <w:w w:val="94"/>
              </w:rPr>
              <w:t>PENNSYLVANIA</w:t>
            </w: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19103-2838</w:t>
            </w:r>
          </w:p>
        </w:tc>
        <w:tc>
          <w:tcPr>
            <w:tcW w:w="88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Arial" w:cs="Arial" w:eastAsia="Arial" w:hAnsi="Arial"/>
                <w:sz w:val="22"/>
                <w:szCs w:val="22"/>
                <w:color w:val="auto"/>
              </w:rPr>
              <w:t>215-286-1700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Brian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L.</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Ralph</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J.</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40" w:type="dxa"/>
            <w:vAlign w:val="bottom"/>
            <w:gridSpan w:val="2"/>
          </w:tcPr>
          <w:p>
            <w:pPr>
              <w:spacing w:after="0"/>
              <w:rPr>
                <w:sz w:val="20"/>
                <w:szCs w:val="20"/>
                <w:color w:val="auto"/>
              </w:rPr>
            </w:pPr>
            <w:r>
              <w:rPr>
                <w:rFonts w:ascii="Arial" w:cs="Arial" w:eastAsia="Arial" w:hAnsi="Arial"/>
                <w:sz w:val="22"/>
                <w:szCs w:val="22"/>
                <w:color w:val="auto"/>
              </w:rPr>
              <w:t>Executive Officer X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Bacon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Kenneth</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Bonovitz</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Sheldon</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Cook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Michael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Hassell</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Gerald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Honickman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Jeffrey</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Rodin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Judith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Mestre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Eduardo</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Angelakis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Burke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Cohen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Block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Salva</w:t>
            </w:r>
          </w:p>
        </w:tc>
        <w:tc>
          <w:tcPr>
            <w:tcW w:w="840" w:type="dxa"/>
            <w:vAlign w:val="bottom"/>
          </w:tcPr>
          <w:p>
            <w:pPr>
              <w:ind w:left="260"/>
              <w:spacing w:after="0"/>
              <w:rPr>
                <w:sz w:val="20"/>
                <w:szCs w:val="20"/>
                <w:color w:val="auto"/>
              </w:rPr>
            </w:pPr>
            <w:r>
              <w:rPr>
                <w:rFonts w:ascii="Arial" w:cs="Arial" w:eastAsia="Arial" w:hAnsi="Arial"/>
                <w:sz w:val="22"/>
                <w:szCs w:val="22"/>
                <w:color w:val="auto"/>
              </w:rPr>
              <w:t>Larry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Smit</w:t>
            </w:r>
          </w:p>
        </w:tc>
        <w:tc>
          <w:tcPr>
            <w:tcW w:w="840" w:type="dxa"/>
            <w:vAlign w:val="bottom"/>
          </w:tcPr>
          <w:p>
            <w:pPr>
              <w:ind w:left="26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Rodgers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Johnathan</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12" w:right="239" w:bottom="0" w:gutter="0" w:footer="0" w:header="0"/>
          <w:type w:val="continuous"/>
        </w:sectPr>
      </w:pPr>
    </w:p>
    <w:bookmarkStart w:id="4" w:name="page5"/>
    <w:bookmarkEnd w:id="4"/>
    <w:p>
      <w:pPr>
        <w:spacing w:after="0" w:line="1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2000-09-07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ectPr>
          <w:pgSz w:w="11900" w:h="16853" w:orient="portrait"/>
          <w:cols w:equalWidth="0" w:num="1">
            <w:col w:w="10219"/>
          </w:cols>
          <w:pgMar w:left="240" w:top="118" w:right="1440" w:bottom="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Does the Issuer intend this offering to last more than one year?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X Yes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No</w:t>
      </w:r>
    </w:p>
    <w:p>
      <w:pPr>
        <w:spacing w:after="0" w:line="200" w:lineRule="exact"/>
        <w:rPr>
          <w:sz w:val="20"/>
          <w:szCs w:val="20"/>
          <w:color w:val="auto"/>
        </w:rPr>
      </w:pPr>
    </w:p>
    <w:p>
      <w:pPr>
        <w:sectPr>
          <w:pgSz w:w="11900" w:h="16853" w:orient="portrait"/>
          <w:cols w:equalWidth="0" w:num="3">
            <w:col w:w="5480" w:space="140"/>
            <w:col w:w="540" w:space="220"/>
            <w:col w:w="3839"/>
          </w:cols>
          <w:pgMar w:left="240" w:top="118" w:right="1440"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9. Type(s) of Securities Offered (select all that apply)</w:t>
      </w:r>
    </w:p>
    <w:p>
      <w:pPr>
        <w:sectPr>
          <w:pgSz w:w="11900" w:h="16853" w:orient="portrait"/>
          <w:cols w:equalWidth="0" w:num="1">
            <w:col w:w="10219"/>
          </w:cols>
          <w:pgMar w:left="240" w:top="118" w:right="1440" w:bottom="0" w:gutter="0" w:footer="0" w:header="0"/>
          <w:type w:val="continuous"/>
        </w:sect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Debt</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1399"/>
        <w:spacing w:after="0" w:line="32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1" w:lineRule="exact"/>
        <w:rPr>
          <w:sz w:val="20"/>
          <w:szCs w:val="20"/>
          <w:color w:val="auto"/>
        </w:rPr>
      </w:pPr>
    </w:p>
    <w:p>
      <w:pPr>
        <w:sectPr>
          <w:pgSz w:w="11900" w:h="16853" w:orient="portrait"/>
          <w:cols w:equalWidth="0" w:num="2">
            <w:col w:w="5480" w:space="440"/>
            <w:col w:w="42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5740" w:type="dxa"/>
            <w:vAlign w:val="bottom"/>
          </w:tcPr>
          <w:p>
            <w:pPr>
              <w:ind w:left="260"/>
              <w:spacing w:after="0" w:line="244" w:lineRule="exact"/>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53" w:orient="portrait"/>
          <w:cols w:equalWidth="0" w:num="1">
            <w:col w:w="10219"/>
          </w:cols>
          <w:pgMar w:left="240" w:top="118" w:right="1440"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Minimum investment accepted from any outside investor $250,000 USD</w:t>
      </w:r>
    </w:p>
    <w:p>
      <w:pPr>
        <w:sectPr>
          <w:pgSz w:w="11900" w:h="16838" w:orient="portrait"/>
          <w:cols w:equalWidth="0" w:num="1">
            <w:col w:w="11380"/>
          </w:cols>
          <w:pgMar w:left="240" w:top="118" w:right="279" w:bottom="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Banc of America Securities LLC (Associated) Broker or Dealer X None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26091</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2" w:lineRule="exact"/>
        <w:rPr>
          <w:sz w:val="20"/>
          <w:szCs w:val="20"/>
          <w:color w:val="auto"/>
        </w:rPr>
      </w:pPr>
    </w:p>
    <w:p>
      <w:pPr>
        <w:sectPr>
          <w:pgSz w:w="11900" w:h="16838" w:orient="portrait"/>
          <w:cols w:equalWidth="0" w:num="3">
            <w:col w:w="4500" w:space="720"/>
            <w:col w:w="3220" w:space="720"/>
            <w:col w:w="2220"/>
          </w:cols>
          <w:pgMar w:left="240" w:top="118" w:right="279" w:bottom="0" w:gutter="0" w:footer="0" w:header="0"/>
          <w:type w:val="continuous"/>
        </w:sectPr>
      </w:pPr>
    </w:p>
    <w:p>
      <w:pPr>
        <w:jc w:val="right"/>
        <w:ind w:right="900"/>
        <w:spacing w:after="0"/>
        <w:tabs>
          <w:tab w:leader="none" w:pos="240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One Bryant Park</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State/Province/Country</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10036</w:t>
      </w:r>
    </w:p>
    <w:p>
      <w:pPr>
        <w:spacing w:after="0" w:line="1041" w:lineRule="exact"/>
        <w:rPr>
          <w:sz w:val="20"/>
          <w:szCs w:val="20"/>
          <w:color w:val="auto"/>
        </w:rPr>
      </w:pPr>
    </w:p>
    <w:p>
      <w:pPr>
        <w:sectPr>
          <w:pgSz w:w="11900" w:h="16838" w:orient="portrait"/>
          <w:cols w:equalWidth="0" w:num="2">
            <w:col w:w="9220" w:space="720"/>
            <w:col w:w="1440"/>
          </w:cols>
          <w:pgMar w:left="240" w:top="118" w:right="279" w:bottom="0" w:gutter="0" w:footer="0" w:header="0"/>
          <w:type w:val="continuous"/>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Deutsche Bank Securities Inc.</w:t>
            </w:r>
          </w:p>
        </w:tc>
        <w:tc>
          <w:tcPr>
            <w:tcW w:w="4400" w:type="dxa"/>
            <w:vAlign w:val="bottom"/>
          </w:tcPr>
          <w:p>
            <w:pPr>
              <w:ind w:left="1240"/>
              <w:spacing w:after="0"/>
              <w:rPr>
                <w:sz w:val="20"/>
                <w:szCs w:val="20"/>
                <w:color w:val="auto"/>
              </w:rPr>
            </w:pPr>
            <w:r>
              <w:rPr>
                <w:rFonts w:ascii="Arial" w:cs="Arial" w:eastAsia="Arial" w:hAnsi="Arial"/>
                <w:sz w:val="22"/>
                <w:szCs w:val="22"/>
                <w:color w:val="auto"/>
              </w:rPr>
              <w:t>2525</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60 Wall Street</w:t>
            </w:r>
          </w:p>
        </w:tc>
        <w:tc>
          <w:tcPr>
            <w:tcW w:w="4400" w:type="dxa"/>
            <w:vAlign w:val="bottom"/>
          </w:tcPr>
          <w:p>
            <w:pPr>
              <w:ind w:left="1240"/>
              <w:spacing w:after="0"/>
              <w:rPr>
                <w:sz w:val="20"/>
                <w:szCs w:val="20"/>
                <w:color w:val="auto"/>
              </w:rPr>
            </w:pPr>
            <w:r>
              <w:rPr>
                <w:rFonts w:ascii="Arial" w:cs="Arial" w:eastAsia="Arial" w:hAnsi="Arial"/>
                <w:sz w:val="22"/>
                <w:szCs w:val="22"/>
                <w:color w:val="auto"/>
              </w:rPr>
              <w:t>3rd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10005</w:t>
      </w:r>
    </w:p>
    <w:p>
      <w:pPr>
        <w:spacing w:after="0" w:line="1045" w:lineRule="exact"/>
        <w:rPr>
          <w:sz w:val="20"/>
          <w:szCs w:val="20"/>
          <w:color w:val="auto"/>
        </w:rPr>
      </w:pPr>
    </w:p>
    <w:p>
      <w:pPr>
        <w:sectPr>
          <w:pgSz w:w="11900" w:h="16838" w:orient="portrait"/>
          <w:cols w:equalWidth="0" w:num="2">
            <w:col w:w="8440" w:space="720"/>
            <w:col w:w="2220"/>
          </w:cols>
          <w:pgMar w:left="240" w:top="118" w:right="279" w:bottom="0" w:gutter="0" w:footer="0" w:header="0"/>
          <w:type w:val="continuous"/>
        </w:sect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Barclays Capital Inc.</w:t>
            </w:r>
          </w:p>
        </w:tc>
        <w:tc>
          <w:tcPr>
            <w:tcW w:w="4400" w:type="dxa"/>
            <w:vAlign w:val="bottom"/>
          </w:tcPr>
          <w:p>
            <w:pPr>
              <w:ind w:left="1240"/>
              <w:spacing w:after="0"/>
              <w:rPr>
                <w:sz w:val="20"/>
                <w:szCs w:val="20"/>
                <w:color w:val="auto"/>
              </w:rPr>
            </w:pPr>
            <w:r>
              <w:rPr>
                <w:rFonts w:ascii="Arial" w:cs="Arial" w:eastAsia="Arial" w:hAnsi="Arial"/>
                <w:sz w:val="22"/>
                <w:szCs w:val="22"/>
                <w:color w:val="auto"/>
              </w:rPr>
              <w:t>19714</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745 Seventh Avenue</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10019</w:t>
      </w:r>
    </w:p>
    <w:p>
      <w:pPr>
        <w:spacing w:after="0" w:line="1045" w:lineRule="exact"/>
        <w:rPr>
          <w:sz w:val="20"/>
          <w:szCs w:val="20"/>
          <w:color w:val="auto"/>
        </w:rPr>
      </w:pPr>
    </w:p>
    <w:p>
      <w:pPr>
        <w:sectPr>
          <w:pgSz w:w="11900" w:h="16838" w:orient="portrait"/>
          <w:cols w:equalWidth="0" w:num="2">
            <w:col w:w="8440" w:space="720"/>
            <w:col w:w="2220"/>
          </w:cols>
          <w:pgMar w:left="240" w:top="118" w:right="279" w:bottom="0" w:gutter="0" w:footer="0" w:header="0"/>
          <w:type w:val="continuous"/>
        </w:sect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The Williams Capital Group, L.P. (Associated)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650 Fifth Avenue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35149</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11th Floor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ZIP/Postal Code</w:t>
      </w:r>
    </w:p>
    <w:p>
      <w:pPr>
        <w:sectPr>
          <w:pgSz w:w="11900" w:h="16838" w:orient="portrait"/>
          <w:cols w:equalWidth="0" w:num="3">
            <w:col w:w="4500" w:space="720"/>
            <w:col w:w="3220" w:space="720"/>
            <w:col w:w="2220"/>
          </w:cols>
          <w:pgMar w:left="240" w:top="118" w:right="27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120" w:type="dxa"/>
            <w:vAlign w:val="bottom"/>
          </w:tcPr>
          <w:p>
            <w:pPr>
              <w:spacing w:after="0"/>
              <w:rPr>
                <w:sz w:val="23"/>
                <w:szCs w:val="23"/>
                <w:color w:val="auto"/>
              </w:rPr>
            </w:pPr>
          </w:p>
        </w:tc>
        <w:tc>
          <w:tcPr>
            <w:tcW w:w="4800" w:type="dxa"/>
            <w:vAlign w:val="bottom"/>
          </w:tcPr>
          <w:p>
            <w:pPr>
              <w:ind w:left="1640"/>
              <w:spacing w:after="0"/>
              <w:rPr>
                <w:sz w:val="20"/>
                <w:szCs w:val="20"/>
                <w:color w:val="auto"/>
              </w:rPr>
            </w:pPr>
            <w:r>
              <w:rPr>
                <w:rFonts w:ascii="Arial" w:cs="Arial" w:eastAsia="Arial" w:hAnsi="Arial"/>
                <w:sz w:val="22"/>
                <w:szCs w:val="22"/>
                <w:color w:val="auto"/>
              </w:rPr>
              <w:t>NEW YORK</w:t>
            </w:r>
          </w:p>
        </w:tc>
        <w:tc>
          <w:tcPr>
            <w:tcW w:w="3040" w:type="dxa"/>
            <w:vAlign w:val="bottom"/>
          </w:tcPr>
          <w:p>
            <w:pPr>
              <w:jc w:val="right"/>
              <w:ind w:right="832"/>
              <w:spacing w:after="0"/>
              <w:rPr>
                <w:sz w:val="20"/>
                <w:szCs w:val="20"/>
                <w:color w:val="auto"/>
              </w:rPr>
            </w:pPr>
            <w:r>
              <w:rPr>
                <w:rFonts w:ascii="Arial" w:cs="Arial" w:eastAsia="Arial" w:hAnsi="Arial"/>
                <w:sz w:val="22"/>
                <w:szCs w:val="22"/>
                <w:color w:val="auto"/>
              </w:rPr>
              <w:t>10019</w:t>
            </w:r>
          </w:p>
        </w:tc>
      </w:tr>
      <w:tr>
        <w:trPr>
          <w:trHeight w:val="306"/>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State(s) of Solicitation (select all that apply)</w:t>
            </w:r>
          </w:p>
        </w:tc>
        <w:tc>
          <w:tcPr>
            <w:tcW w:w="3040" w:type="dxa"/>
            <w:vAlign w:val="bottom"/>
          </w:tcPr>
          <w:p>
            <w:pPr>
              <w:spacing w:after="0"/>
              <w:rPr>
                <w:sz w:val="24"/>
                <w:szCs w:val="24"/>
                <w:color w:val="auto"/>
              </w:rPr>
            </w:pPr>
          </w:p>
        </w:tc>
      </w:tr>
      <w:tr>
        <w:trPr>
          <w:trHeight w:val="243"/>
        </w:trPr>
        <w:tc>
          <w:tcPr>
            <w:tcW w:w="358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5"/>
              </w:rPr>
              <w:t>Check “All States” or check individual</w:t>
            </w:r>
          </w:p>
        </w:tc>
        <w:tc>
          <w:tcPr>
            <w:tcW w:w="4800" w:type="dxa"/>
            <w:vAlign w:val="bottom"/>
          </w:tcPr>
          <w:p>
            <w:pPr>
              <w:ind w:left="480"/>
              <w:spacing w:after="0" w:line="243" w:lineRule="exact"/>
              <w:rPr>
                <w:sz w:val="20"/>
                <w:szCs w:val="20"/>
                <w:color w:val="auto"/>
              </w:rPr>
            </w:pPr>
            <w:r>
              <w:rPr>
                <w:rFonts w:ascii="Arial" w:cs="Arial" w:eastAsia="Arial" w:hAnsi="Arial"/>
                <w:sz w:val="22"/>
                <w:szCs w:val="22"/>
                <w:color w:val="auto"/>
              </w:rPr>
              <w:t>X All States   Foreign/non-US</w:t>
            </w:r>
          </w:p>
        </w:tc>
        <w:tc>
          <w:tcPr>
            <w:tcW w:w="3040" w:type="dxa"/>
            <w:vAlign w:val="bottom"/>
          </w:tcPr>
          <w:p>
            <w:pPr>
              <w:spacing w:after="0"/>
              <w:rPr>
                <w:sz w:val="21"/>
                <w:szCs w:val="21"/>
                <w:color w:val="auto"/>
              </w:rPr>
            </w:pPr>
          </w:p>
        </w:tc>
      </w:tr>
      <w:tr>
        <w:trPr>
          <w:trHeight w:val="275"/>
        </w:trPr>
        <w:tc>
          <w:tcPr>
            <w:tcW w:w="2460" w:type="dxa"/>
            <w:vAlign w:val="bottom"/>
          </w:tcPr>
          <w:p>
            <w:pPr>
              <w:ind w:left="80"/>
              <w:spacing w:after="0"/>
              <w:rPr>
                <w:sz w:val="20"/>
                <w:szCs w:val="20"/>
                <w:color w:val="auto"/>
              </w:rPr>
            </w:pPr>
            <w:r>
              <w:rPr>
                <w:rFonts w:ascii="Arial" w:cs="Arial" w:eastAsia="Arial" w:hAnsi="Arial"/>
                <w:sz w:val="22"/>
                <w:szCs w:val="22"/>
                <w:color w:val="auto"/>
              </w:rPr>
              <w:t>States</w:t>
            </w:r>
          </w:p>
        </w:tc>
        <w:tc>
          <w:tcPr>
            <w:tcW w:w="11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40"/>
        </w:trPr>
        <w:tc>
          <w:tcPr>
            <w:tcW w:w="3580" w:type="dxa"/>
            <w:vAlign w:val="bottom"/>
            <w:tcBorders>
              <w:bottom w:val="single" w:sz="8" w:color="9A9A9A"/>
            </w:tcBorders>
            <w:gridSpan w:val="2"/>
          </w:tcPr>
          <w:p>
            <w:pPr>
              <w:spacing w:after="0"/>
              <w:rPr>
                <w:sz w:val="20"/>
                <w:szCs w:val="20"/>
                <w:color w:val="auto"/>
              </w:rPr>
            </w:pPr>
          </w:p>
        </w:tc>
        <w:tc>
          <w:tcPr>
            <w:tcW w:w="4800" w:type="dxa"/>
            <w:vAlign w:val="bottom"/>
            <w:tcBorders>
              <w:bottom w:val="single" w:sz="8" w:color="9A9A9A"/>
            </w:tcBorders>
          </w:tcPr>
          <w:p>
            <w:pPr>
              <w:spacing w:after="0"/>
              <w:rPr>
                <w:sz w:val="20"/>
                <w:szCs w:val="20"/>
                <w:color w:val="auto"/>
              </w:rPr>
            </w:pPr>
          </w:p>
        </w:tc>
        <w:tc>
          <w:tcPr>
            <w:tcW w:w="3040" w:type="dxa"/>
            <w:vAlign w:val="bottom"/>
            <w:tcBorders>
              <w:bottom w:val="single" w:sz="8" w:color="9A9A9A"/>
            </w:tcBorders>
          </w:tcPr>
          <w:p>
            <w:pPr>
              <w:spacing w:after="0"/>
              <w:rPr>
                <w:sz w:val="20"/>
                <w:szCs w:val="20"/>
                <w:color w:val="auto"/>
              </w:rPr>
            </w:pPr>
          </w:p>
        </w:tc>
      </w:tr>
      <w:tr>
        <w:trPr>
          <w:trHeight w:val="469"/>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8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22"/>
                <w:szCs w:val="22"/>
                <w:color w:val="auto"/>
              </w:rPr>
              <w:t>USD or X Indefinite</w:t>
            </w:r>
          </w:p>
        </w:tc>
        <w:tc>
          <w:tcPr>
            <w:tcW w:w="30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5920" w:type="dxa"/>
            <w:vAlign w:val="bottom"/>
            <w:gridSpan w:val="2"/>
          </w:tcPr>
          <w:p>
            <w:pPr>
              <w:ind w:left="20"/>
              <w:spacing w:after="0"/>
              <w:rPr>
                <w:sz w:val="20"/>
                <w:szCs w:val="20"/>
                <w:color w:val="auto"/>
              </w:rPr>
            </w:pPr>
            <w:r>
              <w:rPr>
                <w:rFonts w:ascii="Arial" w:cs="Arial" w:eastAsia="Arial" w:hAnsi="Arial"/>
                <w:sz w:val="22"/>
                <w:szCs w:val="22"/>
                <w:color w:val="auto"/>
              </w:rPr>
              <w:t>$725,000,000 USD</w:t>
            </w:r>
          </w:p>
        </w:tc>
        <w:tc>
          <w:tcPr>
            <w:tcW w:w="30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22"/>
                <w:szCs w:val="22"/>
                <w:color w:val="auto"/>
              </w:rPr>
              <w:t>USD or X Indefinite</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Ongoing CommPprPrgm w/ frequent issuances/maturities. Total amt outstanding at any time may not exceed $2.25billion. Amt sold represents 4/30/13 outstanding balance. Amt outstanding varies day to day based on liquidity needs of Co as does no. of investors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 X Estimate</w:t>
      </w:r>
    </w:p>
    <w:p>
      <w:pPr>
        <w:spacing w:after="0" w:line="160" w:lineRule="exact"/>
        <w:rPr>
          <w:sz w:val="20"/>
          <w:szCs w:val="20"/>
          <w:color w:val="auto"/>
        </w:rPr>
      </w:pPr>
    </w:p>
    <w:p>
      <w:pPr>
        <w:sectPr>
          <w:pgSz w:w="11900" w:h="16838" w:orient="portrait"/>
          <w:cols w:equalWidth="0" w:num="2">
            <w:col w:w="2080" w:space="720"/>
            <w:col w:w="862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340"/>
            <w:col w:w="758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*Typically sales commissions of approximately 5 basis points are paid to dealers. Regarding Q14: securities offered to accredited investors only.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673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67386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9"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w:t>
      </w:r>
    </w:p>
    <w:p>
      <w:pPr>
        <w:sectPr>
          <w:pgSz w:w="11900" w:h="16838" w:orient="portrait"/>
          <w:cols w:equalWidth="0" w:num="1">
            <w:col w:w="11420"/>
          </w:cols>
          <w:pgMar w:left="240" w:top="118" w:right="239" w:bottom="0" w:gutter="0" w:footer="0" w:header="0"/>
          <w:type w:val="continuous"/>
        </w:sectPr>
      </w:pPr>
    </w:p>
    <w:bookmarkStart w:id="7" w:name="page8"/>
    <w:bookmarkEnd w:id="7"/>
    <w:p>
      <w:pPr>
        <w:ind w:left="580" w:right="60"/>
        <w:spacing w:after="0" w:line="252" w:lineRule="auto"/>
        <w:rPr>
          <w:sz w:val="20"/>
          <w:szCs w:val="20"/>
          <w:color w:val="auto"/>
        </w:rPr>
      </w:pPr>
      <w:r>
        <w:rPr>
          <w:rFonts w:ascii="Arial" w:cs="Arial" w:eastAsia="Arial" w:hAnsi="Arial"/>
          <w:sz w:val="21"/>
          <w:szCs w:val="21"/>
          <w:color w:val="auto"/>
        </w:rPr>
        <w:t>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1226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line="155"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COMCAST CORP</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William E. Dordelman</w:t>
            </w:r>
          </w:p>
        </w:tc>
        <w:tc>
          <w:tcPr>
            <w:tcW w:w="2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William E. Dordelman</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SVP and Treasurer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2013-05-06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10"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2019-12-07T03:48:41Z</dcterms:created>
  <dcterms:modified xsi:type="dcterms:W3CDTF">2019-12-07T03:48:41Z</dcterms:modified>
</cp:coreProperties>
</file>