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500" w:right="120" w:hanging="844"/>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500" w:right="60" w:hanging="803"/>
        <w:spacing w:after="0" w:line="242"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w:t>
      </w:r>
    </w:p>
    <w:p>
      <w:pPr>
        <w:ind w:left="1500"/>
        <w:spacing w:after="0"/>
        <w:rPr>
          <w:rFonts w:ascii="Arial" w:cs="Arial" w:eastAsia="Arial" w:hAnsi="Arial"/>
          <w:sz w:val="22"/>
          <w:szCs w:val="22"/>
          <w:color w:val="auto"/>
        </w:rPr>
      </w:pPr>
      <w:r>
        <w:rPr>
          <w:rFonts w:ascii="Arial" w:cs="Arial" w:eastAsia="Arial" w:hAnsi="Arial"/>
          <w:sz w:val="22"/>
          <w:szCs w:val="22"/>
          <w:b w:val="1"/>
          <w:bCs w:val="1"/>
          <w:color w:val="auto"/>
        </w:rPr>
        <w:t>fromto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1270000</wp:posOffset>
            </wp:positionH>
            <wp:positionV relativeFrom="paragraph">
              <wp:posOffset>-29210</wp:posOffset>
            </wp:positionV>
            <wp:extent cx="1006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001-15471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COMCAST HOLDINGS CORPORATION</w:t>
      </w:r>
    </w:p>
    <w:p>
      <w:pPr>
        <w:spacing w:after="0" w:line="43" w:lineRule="exact"/>
        <w:rPr>
          <w:sz w:val="24"/>
          <w:szCs w:val="24"/>
          <w:color w:val="auto"/>
        </w:rPr>
      </w:pPr>
    </w:p>
    <w:tbl>
      <w:tblPr>
        <w:tblLayout w:type="fixed"/>
        <w:tblInd w:w="1760" w:type="dxa"/>
        <w:tblCellMar>
          <w:top w:w="0" w:type="dxa"/>
          <w:left w:w="0" w:type="dxa"/>
          <w:bottom w:w="0" w:type="dxa"/>
          <w:right w:w="0" w:type="dxa"/>
        </w:tblCellMar>
      </w:tblPr>
      <w:tr>
        <w:trPr>
          <w:trHeight w:val="222"/>
        </w:trPr>
        <w:tc>
          <w:tcPr>
            <w:tcW w:w="212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(Exact name of registrant as specified in its charter)</w:t>
            </w:r>
          </w:p>
        </w:tc>
      </w:tr>
      <w:tr>
        <w:trPr>
          <w:trHeight w:val="412"/>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PENNSYLVANIA</w:t>
            </w:r>
          </w:p>
        </w:tc>
        <w:tc>
          <w:tcPr>
            <w:tcW w:w="5400" w:type="dxa"/>
            <w:vAlign w:val="bottom"/>
          </w:tcPr>
          <w:p>
            <w:pPr>
              <w:jc w:val="center"/>
              <w:ind w:left="3992"/>
              <w:spacing w:after="0"/>
              <w:rPr>
                <w:sz w:val="20"/>
                <w:szCs w:val="20"/>
                <w:color w:val="auto"/>
              </w:rPr>
            </w:pPr>
            <w:r>
              <w:rPr>
                <w:rFonts w:ascii="Arial" w:cs="Arial" w:eastAsia="Arial" w:hAnsi="Arial"/>
                <w:sz w:val="18"/>
                <w:szCs w:val="18"/>
                <w:b w:val="1"/>
                <w:bCs w:val="1"/>
                <w:color w:val="auto"/>
                <w:w w:val="87"/>
              </w:rPr>
              <w:t>23-1709202</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89"/>
              </w:rPr>
              <w:t>(State or other jurisdiction of</w:t>
            </w:r>
          </w:p>
        </w:tc>
        <w:tc>
          <w:tcPr>
            <w:tcW w:w="5400" w:type="dxa"/>
            <w:vAlign w:val="bottom"/>
          </w:tcPr>
          <w:p>
            <w:pPr>
              <w:jc w:val="center"/>
              <w:ind w:left="3992"/>
              <w:spacing w:after="0"/>
              <w:rPr>
                <w:sz w:val="20"/>
                <w:szCs w:val="20"/>
                <w:color w:val="auto"/>
              </w:rPr>
            </w:pPr>
            <w:r>
              <w:rPr>
                <w:rFonts w:ascii="Arial" w:cs="Arial" w:eastAsia="Arial" w:hAnsi="Arial"/>
                <w:sz w:val="18"/>
                <w:szCs w:val="18"/>
                <w:color w:val="auto"/>
                <w:w w:val="90"/>
              </w:rPr>
              <w:t>(I.R.S. Employer</w:t>
            </w:r>
          </w:p>
        </w:tc>
      </w:tr>
      <w:tr>
        <w:trPr>
          <w:trHeight w:val="222"/>
        </w:trPr>
        <w:tc>
          <w:tcPr>
            <w:tcW w:w="2120" w:type="dxa"/>
            <w:vAlign w:val="bottom"/>
          </w:tcPr>
          <w:p>
            <w:pPr>
              <w:jc w:val="center"/>
              <w:spacing w:after="0"/>
              <w:rPr>
                <w:sz w:val="20"/>
                <w:szCs w:val="20"/>
                <w:color w:val="auto"/>
              </w:rPr>
            </w:pPr>
            <w:r>
              <w:rPr>
                <w:rFonts w:ascii="Arial" w:cs="Arial" w:eastAsia="Arial" w:hAnsi="Arial"/>
                <w:sz w:val="18"/>
                <w:szCs w:val="18"/>
                <w:color w:val="auto"/>
                <w:w w:val="89"/>
              </w:rPr>
              <w:t>incorporation or organization)</w:t>
            </w:r>
          </w:p>
        </w:tc>
        <w:tc>
          <w:tcPr>
            <w:tcW w:w="5400" w:type="dxa"/>
            <w:vAlign w:val="bottom"/>
          </w:tcPr>
          <w:p>
            <w:pPr>
              <w:jc w:val="center"/>
              <w:ind w:left="4012"/>
              <w:spacing w:after="0"/>
              <w:rPr>
                <w:sz w:val="20"/>
                <w:szCs w:val="20"/>
                <w:color w:val="auto"/>
              </w:rPr>
            </w:pPr>
            <w:r>
              <w:rPr>
                <w:rFonts w:ascii="Arial" w:cs="Arial" w:eastAsia="Arial" w:hAnsi="Arial"/>
                <w:sz w:val="18"/>
                <w:szCs w:val="18"/>
                <w:color w:val="auto"/>
                <w:w w:val="92"/>
              </w:rPr>
              <w:t>Identification No.)</w:t>
            </w:r>
          </w:p>
        </w:tc>
      </w:tr>
    </w:tbl>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(Zip Code)</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6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62" w:lineRule="exact"/>
        <w:rPr>
          <w:sz w:val="24"/>
          <w:szCs w:val="24"/>
          <w:color w:val="auto"/>
        </w:rPr>
      </w:pPr>
    </w:p>
    <w:p>
      <w:pPr>
        <w:jc w:val="center"/>
        <w:ind w:right="-39"/>
        <w:spacing w:after="0" w:line="207" w:lineRule="exact"/>
        <w:tabs>
          <w:tab w:leader="none" w:pos="3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167005</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0"/>
        <w:spacing w:after="0" w:line="184" w:lineRule="exact"/>
        <w:tabs>
          <w:tab w:leader="none" w:pos="91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firstLine="341"/>
        <w:spacing w:after="0" w:line="268" w:lineRule="auto"/>
        <w:rPr>
          <w:sz w:val="20"/>
          <w:szCs w:val="20"/>
          <w:color w:val="auto"/>
        </w:rPr>
      </w:pPr>
      <w:r>
        <w:rPr>
          <w:rFonts w:ascii="Arial" w:cs="Arial" w:eastAsia="Arial" w:hAnsi="Arial"/>
          <w:sz w:val="18"/>
          <w:szCs w:val="18"/>
          <w:color w:val="auto"/>
        </w:rPr>
        <w:t>As of March 31, 2005, there were 21,591,115 shares of Class A Common Stock, 916,198,519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right="600" w:firstLine="348"/>
        <w:spacing w:after="0" w:line="268" w:lineRule="auto"/>
        <w:rPr>
          <w:sz w:val="20"/>
          <w:szCs w:val="20"/>
          <w:color w:val="auto"/>
        </w:rPr>
      </w:pPr>
      <w:r>
        <w:rPr>
          <w:rFonts w:ascii="Arial" w:cs="Arial" w:eastAsia="Arial" w:hAnsi="Arial"/>
          <w:sz w:val="18"/>
          <w:szCs w:val="18"/>
          <w:color w:val="auto"/>
        </w:rPr>
        <w:t>The Registrant meets the conditions set forth in General Instructions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85"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160" w:type="dxa"/>
            <w:vAlign w:val="bottom"/>
          </w:tcPr>
          <w:p>
            <w:pPr>
              <w:jc w:val="right"/>
              <w:ind w:right="94"/>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260" w:type="dxa"/>
            <w:vAlign w:val="bottom"/>
            <w:gridSpan w:val="6"/>
            <w:vMerge w:val="restart"/>
          </w:tcPr>
          <w:p>
            <w:pPr>
              <w:ind w:left="6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300" w:type="dxa"/>
            <w:vAlign w:val="bottom"/>
            <w:gridSpan w:val="3"/>
            <w:vMerge w:val="restart"/>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Borders>
              <w:bottom w:val="single" w:sz="8" w:color="0000EE"/>
            </w:tcBorders>
            <w:vMerge w:val="continue"/>
          </w:tcPr>
          <w:p>
            <w:pPr>
              <w:spacing w:after="0"/>
              <w:rPr>
                <w:sz w:val="24"/>
                <w:szCs w:val="24"/>
                <w:color w:val="auto"/>
              </w:rPr>
            </w:pPr>
          </w:p>
        </w:tc>
        <w:tc>
          <w:tcPr>
            <w:tcW w:w="2260" w:type="dxa"/>
            <w:vAlign w:val="bottom"/>
            <w:tcBorders>
              <w:bottom w:val="single" w:sz="8" w:color="0000EE"/>
            </w:tcBorders>
            <w:gridSpan w:val="6"/>
            <w:vMerge w:val="continue"/>
          </w:tcPr>
          <w:p>
            <w:pPr>
              <w:spacing w:after="0"/>
              <w:rPr>
                <w:sz w:val="24"/>
                <w:szCs w:val="24"/>
                <w:color w:val="auto"/>
              </w:rPr>
            </w:pPr>
          </w:p>
        </w:tc>
        <w:tc>
          <w:tcPr>
            <w:tcW w:w="730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Financial Statements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Condensed Consolidated Balance Sheet as of March 31, 2005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and December 31, 2004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w w:val="91"/>
              </w:rPr>
              <w:t>Condensed Consolidated Statement of Operations for the Three Months Ended March 31, 2005 and 2004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w w:val="91"/>
              </w:rPr>
              <w:t>Condensed Consolidated Statement of Cash Flows for the Three Months Ended March 31, 2005 and 2004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900" w:type="dxa"/>
            <w:vAlign w:val="bottom"/>
            <w:gridSpan w:val="5"/>
          </w:tcPr>
          <w:p>
            <w:pPr>
              <w:ind w:left="140"/>
              <w:spacing w:after="0"/>
              <w:rPr>
                <w:sz w:val="20"/>
                <w:szCs w:val="20"/>
                <w:color w:val="auto"/>
              </w:rPr>
            </w:pPr>
            <w:r>
              <w:rPr>
                <w:rFonts w:ascii="Arial" w:cs="Arial" w:eastAsia="Arial" w:hAnsi="Arial"/>
                <w:sz w:val="18"/>
                <w:szCs w:val="18"/>
                <w:color w:val="auto"/>
              </w:rPr>
              <w:t>Notes to Condensed Consolidated Financial Statements (Unaudited)</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spacing w:after="0" w:line="184"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900" w:type="dxa"/>
            <w:vAlign w:val="bottom"/>
            <w:gridSpan w:val="5"/>
          </w:tcPr>
          <w:p>
            <w:pPr>
              <w:ind w:left="140"/>
              <w:spacing w:after="0" w:line="184"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jc w:val="right"/>
              <w:spacing w:after="0" w:line="184"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3.</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4.</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Controls and Procedures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PART II.</w:t>
              </w:r>
            </w:hyperlink>
          </w:p>
        </w:tc>
        <w:tc>
          <w:tcPr>
            <w:tcW w:w="9560" w:type="dxa"/>
            <w:vAlign w:val="bottom"/>
            <w:gridSpan w:val="9"/>
          </w:tcPr>
          <w:p>
            <w:pPr>
              <w:ind w:left="1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Legal Proceedings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7900" w:type="dxa"/>
            <w:vAlign w:val="bottom"/>
            <w:gridSpan w:val="5"/>
          </w:tcPr>
          <w:p>
            <w:pPr>
              <w:ind w:left="140"/>
              <w:spacing w:after="0" w:line="196" w:lineRule="exact"/>
              <w:rPr>
                <w:sz w:val="20"/>
                <w:szCs w:val="20"/>
                <w:color w:val="auto"/>
              </w:rPr>
            </w:pPr>
            <w:r>
              <w:rPr>
                <w:rFonts w:ascii="Arial" w:cs="Arial" w:eastAsia="Arial" w:hAnsi="Arial"/>
                <w:sz w:val="18"/>
                <w:szCs w:val="18"/>
                <w:color w:val="auto"/>
              </w:rPr>
              <w:t>Exhibits</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-2364105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Quarterly Report on Form 10-Q is for the three months ended March 31, 2005.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"Comcast Holdings," "we," "us" and "our" refer to Comcast Holdings Corporation and its subsidiaries, and "Comcast" refers to Comcast Corporation.</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and uncertainties outlined below and in other reports we file with the SEC. Actual events or our actual results may differ materially from any of our forward-looking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out future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Comcast's Chairman and CEO has considerable influence over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 of our 2004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03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86"/>
              </w:rPr>
              <w:t>(Dollars in millions, except share data)</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3"/>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doubtful accounts of $64 and $65</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18"/>
        </w:trPr>
        <w:tc>
          <w:tcPr>
            <w:tcW w:w="74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20" w:type="dxa"/>
            <w:vAlign w:val="bottom"/>
            <w:gridSpan w:val="2"/>
          </w:tcPr>
          <w:p>
            <w:pPr>
              <w:spacing w:after="0"/>
              <w:rPr>
                <w:sz w:val="20"/>
                <w:szCs w:val="20"/>
                <w:color w:val="auto"/>
              </w:rPr>
            </w:pPr>
            <w:r>
              <w:rPr>
                <w:rFonts w:ascii="Arial" w:cs="Arial" w:eastAsia="Arial" w:hAnsi="Arial"/>
                <w:sz w:val="18"/>
                <w:szCs w:val="18"/>
                <w:color w:val="auto"/>
              </w:rPr>
              <w:t>NOTES RECEIVABLE FROM AFFILIATES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AFFILIATES, net</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$5,679 and $5,410</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FRANCHISE RIGHTS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 $1,393 and $1,295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42,375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107"/>
        </w:trPr>
        <w:tc>
          <w:tcPr>
            <w:tcW w:w="74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3,528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NOTES PAYABLE TO AFFILIATES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Preferred stock—authorized, 20,000,000 shares; issued, zero</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Class A common stock, $1.00 par value—authorized, 200,000,000 shares; issued, 21,591,115</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w w:val="97"/>
              </w:rPr>
              <w:t>Class A Special common stock, $1.00 par value—authorized, 2,500,000,000 shares; issued,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20" w:type="dxa"/>
            <w:vAlign w:val="bottom"/>
            <w:gridSpan w:val="2"/>
          </w:tcPr>
          <w:p>
            <w:pPr>
              <w:ind w:left="220"/>
              <w:spacing w:after="0"/>
              <w:rPr>
                <w:sz w:val="20"/>
                <w:szCs w:val="20"/>
                <w:color w:val="auto"/>
              </w:rPr>
            </w:pPr>
            <w:r>
              <w:rPr>
                <w:rFonts w:ascii="Arial" w:cs="Arial" w:eastAsia="Arial" w:hAnsi="Arial"/>
                <w:sz w:val="18"/>
                <w:szCs w:val="18"/>
                <w:color w:val="auto"/>
              </w:rPr>
              <w:t>916,198,519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Class B common stock, $1.00 par value—authorized, 50,000,000 shares; issued, 9,444,375</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Additional capital</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42,375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-6943725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-6943725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-6943725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-6943725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-5965825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-5965825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-5965825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-5965825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-5674360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-5674360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-5674360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-5674360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-4422140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-4422140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-4422140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-4422140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-3118485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-3118485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-3118485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-3118485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-2827020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-2827020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-2827020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-2827020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-614680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-614680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-614680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-323215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380"/>
          </w:cols>
          <w:pgMar w:left="240" w:top="125" w:right="1279" w:bottom="1112"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25" w:right="1279" w:bottom="1112"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(Dollars in Millions)</w:t>
            </w:r>
          </w:p>
        </w:tc>
      </w:tr>
      <w:tr>
        <w:trPr>
          <w:trHeight w:val="366"/>
        </w:trPr>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r>
      <w:tr>
        <w:trPr>
          <w:trHeight w:val="174"/>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March 31,</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5"/>
        </w:trPr>
        <w:tc>
          <w:tcPr>
            <w:tcW w:w="9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266"/>
        </w:trPr>
        <w:tc>
          <w:tcPr>
            <w:tcW w:w="9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r>
      <w:tr>
        <w:trPr>
          <w:trHeight w:val="105"/>
        </w:trPr>
        <w:tc>
          <w:tcPr>
            <w:tcW w:w="9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9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32"/>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120" w:type="dxa"/>
            <w:vAlign w:val="bottom"/>
            <w:shd w:val="clear" w:color="auto" w:fill="CCEEFF"/>
          </w:tcPr>
          <w:p>
            <w:pPr>
              <w:spacing w:after="0"/>
              <w:rPr>
                <w:sz w:val="24"/>
                <w:szCs w:val="24"/>
                <w:color w:val="auto"/>
              </w:rPr>
            </w:pPr>
          </w:p>
        </w:tc>
      </w:tr>
      <w:tr>
        <w:trPr>
          <w:trHeight w:val="431"/>
        </w:trPr>
        <w:tc>
          <w:tcPr>
            <w:tcW w:w="902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(excluding depreciation)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112"/>
        </w:trPr>
        <w:tc>
          <w:tcPr>
            <w:tcW w:w="9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9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20" w:type="dxa"/>
            <w:vAlign w:val="bottom"/>
            <w:shd w:val="clear" w:color="auto" w:fill="CCEEFF"/>
          </w:tcPr>
          <w:p>
            <w:pPr>
              <w:spacing w:after="0"/>
              <w:rPr>
                <w:sz w:val="18"/>
                <w:szCs w:val="18"/>
                <w:color w:val="auto"/>
              </w:rPr>
            </w:pPr>
          </w:p>
        </w:tc>
      </w:tr>
      <w:tr>
        <w:trPr>
          <w:trHeight w:val="118"/>
        </w:trPr>
        <w:tc>
          <w:tcPr>
            <w:tcW w:w="9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20"/>
        </w:trPr>
        <w:tc>
          <w:tcPr>
            <w:tcW w:w="902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4"/>
                <w:szCs w:val="24"/>
                <w:color w:val="auto"/>
              </w:rPr>
            </w:pPr>
          </w:p>
        </w:tc>
      </w:tr>
      <w:tr>
        <w:trPr>
          <w:trHeight w:val="433"/>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on affiliate notes,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 affiliates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22"/>
        </w:trPr>
        <w:tc>
          <w:tcPr>
            <w:tcW w:w="9020" w:type="dxa"/>
            <w:vAlign w:val="bottom"/>
          </w:tcPr>
          <w:p>
            <w:pPr>
              <w:ind w:left="2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112"/>
        </w:trPr>
        <w:tc>
          <w:tcPr>
            <w:tcW w:w="9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9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118"/>
        </w:trPr>
        <w:tc>
          <w:tcPr>
            <w:tcW w:w="9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20"/>
        </w:trPr>
        <w:tc>
          <w:tcPr>
            <w:tcW w:w="9020" w:type="dxa"/>
            <w:vAlign w:val="bottom"/>
          </w:tcPr>
          <w:p>
            <w:pPr>
              <w:spacing w:after="0"/>
              <w:rPr>
                <w:sz w:val="20"/>
                <w:szCs w:val="20"/>
                <w:color w:val="auto"/>
              </w:rPr>
            </w:pPr>
            <w:r>
              <w:rPr>
                <w:rFonts w:ascii="Arial" w:cs="Arial" w:eastAsia="Arial" w:hAnsi="Arial"/>
                <w:sz w:val="18"/>
                <w:szCs w:val="18"/>
                <w:color w:val="auto"/>
              </w:rPr>
              <w:t>INCOME BEFORE INCOME TAXES AND MINORITY INTEREST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4"/>
                <w:szCs w:val="24"/>
                <w:color w:val="auto"/>
              </w:rPr>
            </w:pPr>
          </w:p>
        </w:tc>
      </w:tr>
      <w:tr>
        <w:trPr>
          <w:trHeight w:val="433"/>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118"/>
        </w:trPr>
        <w:tc>
          <w:tcPr>
            <w:tcW w:w="9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20"/>
        </w:trPr>
        <w:tc>
          <w:tcPr>
            <w:tcW w:w="9020" w:type="dxa"/>
            <w:vAlign w:val="bottom"/>
          </w:tcPr>
          <w:p>
            <w:pPr>
              <w:spacing w:after="0"/>
              <w:rPr>
                <w:sz w:val="20"/>
                <w:szCs w:val="20"/>
                <w:color w:val="auto"/>
              </w:rPr>
            </w:pPr>
            <w:r>
              <w:rPr>
                <w:rFonts w:ascii="Arial" w:cs="Arial" w:eastAsia="Arial" w:hAnsi="Arial"/>
                <w:sz w:val="18"/>
                <w:szCs w:val="18"/>
                <w:color w:val="auto"/>
              </w:rPr>
              <w:t>INCOME BEFORE MINORITY INTEREST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r>
      <w:tr>
        <w:trPr>
          <w:trHeight w:val="433"/>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118"/>
        </w:trPr>
        <w:tc>
          <w:tcPr>
            <w:tcW w:w="90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90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r>
      <w:tr>
        <w:trPr>
          <w:trHeight w:val="107"/>
        </w:trPr>
        <w:tc>
          <w:tcPr>
            <w:tcW w:w="9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90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-4791075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-4791075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-4542155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-4542155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-4542155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-4542155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-3290570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-3290570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-3290570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-3290570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-2998470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-2998470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-2998470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-2998470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-1746885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-1746885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-1746885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-1746885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-1454785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-1454785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-1454785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-889000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-889000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Non-cash interest expense,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Non-cash interest income on affiliate notes,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Equity in net (income) losses of affiliates</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Losses (gains) on investments and other non-cash (income) expense,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Non-cash contribution expense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10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2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Change in accounts receivable,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Retirements and repayments of debt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affiliates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18"/>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sales of (purchases of) short-term investments,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Proceeds from sales of investments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Additions to intangible and other noncurrent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430"/>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9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-6489065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-6489065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-6240145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-6240145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-6240145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-6240145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-3582035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-3582035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-3582035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-3582035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-3290570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-3290570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-3290570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-3290570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-2449830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-2449830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-2449830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-2449830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-2158365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-2158365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-2158365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-2158365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-1180465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-1180465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-1180465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-1180465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-889000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-889000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-889000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-323215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prepared these unaudited condensed consolidated financial statements based upon Securities and Exchange Commission ("SEC") rules that permit reduced disclosure for interim periods. We are an indirect, wholly-owned subsidiary of Comcast Corporation ("Comcast"). Our presentation differs from the condensed consolidated financial statements of Comcast by excluding both Comcast's corporate operations and certain cable operations, primarily those acquired from AT&amp;T in November 2002 (the "Broadband acquisition"). Subsequent to the Broadband acquisition, all of our and Comcast's cable operations are operated as a single, integrated cable business unit. Our condensed consolidated financial statements reflect the assets, liabilities, revenues and expenses directly attributable to us, as well as allocations deemed reasonable by management, to present our financial position, results of operations and cash flows on a stand-alone basis. These allocations are further described in Note 9. All significant intercompany accounts and transactions between entities consolidated in our financial statements have been eliminated.</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financial condition and results of operations for the interim periods shown, including normal recurring accruals and other items. The results of operations for the interim periods presented are not necessarily indicative of results for the full year.</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2005.</w:t>
      </w:r>
    </w:p>
    <w:p>
      <w:pPr>
        <w:spacing w:after="0" w:line="2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December 2004, the Financial Accounting Standards Board issued Statement of Financial Accounting Standards ("SFAS") No. 123 (revised 2004), "Share-Based Payment" ("SFAS No. 123R"), which replaces SFAS No. 123, "Accounting for Stock-Based Compensation" ("SFAS No. 123") and supersedes Accounting Principles Board ("APB") Opinion No. 25, "Accounting for Stock Issued to Employees" ("APB No. 25"). SFAS No. 123R requires all share-based payments to employees, including grants of employee stock options, to be recognized in the financial statements based on their fair values, beginning with the next fiscal year that begins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beginning January 1, 2006.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retroactively adjusted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retroactively adjusted. We are evaluating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requirements of SFAS No. 123R, and we expect that the adoption of SFAS No. 123R will have a material impact on our consolidated results of operations. We have not determined the date or method of adoption or the effect of adopting SFAS No. 123R.</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INVESTMENTS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jc w:val="right"/>
              <w:ind w:right="736"/>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3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Liberty Media Corporation</w:t>
            </w:r>
          </w:p>
        </w:tc>
        <w:tc>
          <w:tcPr>
            <w:tcW w:w="2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Liberty Media International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Sprint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method</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430"/>
        </w:trPr>
        <w:tc>
          <w:tcPr>
            <w:tcW w:w="4240" w:type="dxa"/>
            <w:vAlign w:val="bottom"/>
            <w:gridSpan w:val="2"/>
          </w:tcPr>
          <w:p>
            <w:pPr>
              <w:spacing w:after="0"/>
              <w:rPr>
                <w:sz w:val="20"/>
                <w:szCs w:val="20"/>
                <w:color w:val="auto"/>
              </w:rPr>
            </w:pPr>
            <w:r>
              <w:rPr>
                <w:rFonts w:ascii="Arial" w:cs="Arial" w:eastAsia="Arial" w:hAnsi="Arial"/>
                <w:sz w:val="18"/>
                <w:szCs w:val="18"/>
                <w:color w:val="auto"/>
              </w:rPr>
              <w:t>Less, current investments</w:t>
            </w: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-2432685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-2432685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-2432685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-2432685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-1591945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-1591945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-1591945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-1591945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-889000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-889000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-889000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-323215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unrestricted equity investments, which we account for as available for sale or trading securities, in publicly traded companies. Our investments in Liberty Media Corporation, Liberty Media International, Inc. ("Liberty International") and Sprint are accounted for as trading securities. The net unrealized pre-tax gains on investments accounted for as available for sale securities as of March 31, 2005, of $6 million has been reported in our consolidated balance sheet principally as a component of accumulated other comprehensive income, net of related deferred income taxes of $2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(dollars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79"/>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Unrealized gains</w:t>
            </w: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8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400" w:type="dxa"/>
            <w:vAlign w:val="bottom"/>
            <w:gridSpan w:val="2"/>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40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860" w:type="dxa"/>
            <w:vAlign w:val="bottom"/>
          </w:tcPr>
          <w:p>
            <w:pPr>
              <w:jc w:val="right"/>
              <w:ind w:right="708"/>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120" w:type="dxa"/>
            <w:vAlign w:val="bottom"/>
          </w:tcPr>
          <w:p>
            <w:pPr>
              <w:spacing w:after="0"/>
              <w:rPr>
                <w:sz w:val="24"/>
                <w:szCs w:val="2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-1026160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-1026160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-1026160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-1026160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-460375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-460375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-460375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-460375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February 23, 2005, we entered into a 10 year prepaid forward sale of approximately 2.7 million shares of Liberty International Series A common stock for proceeds of $99 million.</w:t>
      </w:r>
    </w:p>
    <w:p>
      <w:pPr>
        <w:spacing w:after="0" w:line="18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increase in our other fair value method investments relates principally to non-cash additions during 2005 in connection with the exchange of one of our equity method investments.</w:t>
      </w:r>
    </w:p>
    <w:p>
      <w:pPr>
        <w:sectPr>
          <w:pgSz w:w="11900" w:h="16838" w:orient="portrait"/>
          <w:cols w:equalWidth="0" w:num="1">
            <w:col w:w="11420"/>
          </w:cols>
          <w:pgMar w:left="240" w:top="125" w:right="2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Investment Loss,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loss, net for the interim periods includes the following (dollars in millions):</w:t>
      </w:r>
    </w:p>
    <w:p>
      <w:pPr>
        <w:spacing w:after="0" w:line="22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58420</wp:posOffset>
            </wp:positionV>
            <wp:extent cx="120459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04595"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Unrealized losses on trading securities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Mark to market adjustments on derivatives</w:t>
            </w: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-1026160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-1026160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-1026160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-1026160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(see Note 8) for the period presented are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Corporate and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Cable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7"/>
              <w:spacing w:after="0"/>
              <w:rPr>
                <w:sz w:val="20"/>
                <w:szCs w:val="20"/>
                <w:color w:val="auto"/>
              </w:rPr>
            </w:pPr>
            <w:r>
              <w:rPr>
                <w:rFonts w:ascii="Arial" w:cs="Arial" w:eastAsia="Arial" w:hAnsi="Arial"/>
                <w:sz w:val="14"/>
                <w:szCs w:val="14"/>
                <w:b w:val="1"/>
                <w:bCs w:val="1"/>
                <w:color w:val="auto"/>
              </w:rPr>
              <w:t>Content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2005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-751840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-751840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-751840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-751840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-751840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-751840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-323215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-323215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-323215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-323215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Comcast and certain of its cable holding company subsidiaries, including our wholly-owned subsidiary Comcast Cable Communications, LLC ("Comcast Cable"), have unconditionally guaranteed each other's debt securities and indebtedness for borrowed money. As of March 31, 2005, $20.275 billion of Comcast's debt securities were entitled to the benefits of the cross-guarantee structure, including $6.322 billion of Comcast Cable's debt securities. Comcast Holdings Corporation is not a guarantor, and none of its debt is guaranteed. As of March 31, 2005, $902 million of debt was outstanding at Comcast Holdings Corporation.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2005, certain of our subsidiaries had unused lines of credit of $287 million under our respective credit facilities.</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March 31, 2005, certain of our subsidiaries had unused irrevocable standby letters of credit totaling $13 million to cover potential fundings under various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ind w:right="-29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separated the accounting for the ZONES into derivative and debt components. We record the change in the carrying value of the debt component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ZONES (see Note 3) and the change in the fair value of the derivative component of the ZONES as follows (dollars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left="339"/>
              <w:spacing w:after="0"/>
              <w:rPr>
                <w:sz w:val="20"/>
                <w:szCs w:val="20"/>
                <w:color w:val="auto"/>
              </w:rPr>
            </w:pPr>
            <w:r>
              <w:rPr>
                <w:rFonts w:ascii="Arial" w:cs="Arial" w:eastAsia="Arial" w:hAnsi="Arial"/>
                <w:sz w:val="14"/>
                <w:szCs w:val="14"/>
                <w:b w:val="1"/>
                <w:bCs w:val="1"/>
                <w:color w:val="auto"/>
                <w:w w:val="95"/>
              </w:rPr>
              <w:t>ZONES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5"/>
          </w:tcPr>
          <w:p>
            <w:pPr>
              <w:jc w:val="center"/>
              <w:ind w:right="54"/>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4"/>
          </w:tcPr>
          <w:p>
            <w:pPr>
              <w:jc w:val="center"/>
              <w:ind w:left="199"/>
              <w:spacing w:after="0"/>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Debt component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540</w:t>
            </w:r>
          </w:p>
        </w:tc>
        <w:tc>
          <w:tcPr>
            <w:tcW w:w="2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component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500" w:type="dxa"/>
            <w:vAlign w:val="bottom"/>
          </w:tcPr>
          <w:p>
            <w:pPr>
              <w:ind w:left="5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Change in debt component to interest expense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Change in derivative component to investment loss, net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80"/>
              <w:spacing w:after="0"/>
              <w:rPr>
                <w:sz w:val="20"/>
                <w:szCs w:val="20"/>
                <w:color w:val="auto"/>
              </w:rPr>
            </w:pPr>
            <w:r>
              <w:rPr>
                <w:rFonts w:ascii="Arial" w:cs="Arial" w:eastAsia="Arial" w:hAnsi="Arial"/>
                <w:sz w:val="18"/>
                <w:szCs w:val="18"/>
                <w:color w:val="auto"/>
              </w:rPr>
              <w:t>Debt component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component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500" w:type="dxa"/>
            <w:vAlign w:val="bottom"/>
          </w:tcPr>
          <w:p>
            <w:pPr>
              <w:ind w:left="5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-2733040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-2733040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-2389505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-2389505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-2141220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-2141220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-2141220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-2141220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-1574800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-1574800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-1574800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-1574800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-323215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Excluding the derivative component of the ZONES whose changes in fair value are recorded to investment income (loss), net, our effective weighted average interest rate on our total debt outstanding was 7.50% and 7.48% as of March 31, 2005, and December 31, 2004, respectively. As of March 31, 2005, and December 31, 2004, accrued interest was $167 million and $111 million,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account for stock-based compensation in accordance with APB No. 25 and related interpretations, as permitted by SFAS No. 123, as amended. Compensation expense for stock options is measured as the excess, if any, of the quoted market price of Comcast's stock at the date of the grant over the amount an optionee must pay to acquire the stock. We record compensation expense for restricted stock awards based on the quoted market price of Comcast's stock at the date of the grant and the vesting period. We record compensation expense for stock appreciation rights based on the changes in quoted market prices of the underlying stock or other determinants of fair value.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illustrates the effect on net income if we had applied the fair value recognition provisions of SFAS No. 123 to stock-based compensation. Total stock-based compensation expense was determined under the fair value-based method for all awards using the accelerated recognition method as permitted under SFAS No. 123 (dollars in millions):</w:t>
      </w:r>
    </w:p>
    <w:p>
      <w:pPr>
        <w:spacing w:after="0" w:line="190"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58420</wp:posOffset>
            </wp:positionV>
            <wp:extent cx="116205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6205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 as reported above</w:t>
            </w: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Deduct: Stock-based compensation expense determined under fair value-based method</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for all awards, net of related tax effects</w:t>
            </w:r>
          </w:p>
        </w:tc>
        <w:tc>
          <w:tcPr>
            <w:tcW w:w="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8"/>
        </w:trPr>
        <w:tc>
          <w:tcPr>
            <w:tcW w:w="9360" w:type="dxa"/>
            <w:vAlign w:val="bottom"/>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520" w:type="dxa"/>
            <w:vAlign w:val="bottom"/>
          </w:tcPr>
          <w:p>
            <w:pPr>
              <w:jc w:val="right"/>
              <w:ind w:right="366"/>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191</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3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-1026160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-1026160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-1026160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-1026160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pro forma effect on net income for the interim periods by applying SFAS No. 123 may not be indicative of the effect on net income or loss in future years since SFAS No. 123 does not take into consideration additional awards that may be granted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interim periods was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60" w:type="dxa"/>
            <w:vAlign w:val="bottom"/>
            <w:gridSpan w:val="5"/>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8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8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Unrealized gains on marketable securities</w:t>
            </w:r>
          </w:p>
        </w:tc>
        <w:tc>
          <w:tcPr>
            <w:tcW w:w="3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w w:val="95"/>
              </w:rPr>
              <w:t>Reclassification adjustments for losses included in net income</w:t>
            </w:r>
          </w:p>
        </w:tc>
        <w:tc>
          <w:tcPr>
            <w:tcW w:w="3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00" w:type="dxa"/>
            <w:vAlign w:val="bottom"/>
            <w:gridSpan w:val="2"/>
          </w:tcPr>
          <w:p>
            <w:pPr>
              <w:spacing w:after="0"/>
              <w:rPr>
                <w:sz w:val="10"/>
                <w:szCs w:val="10"/>
                <w:color w:val="auto"/>
              </w:rPr>
            </w:pPr>
          </w:p>
        </w:tc>
        <w:tc>
          <w:tcPr>
            <w:tcW w:w="36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00" w:type="dxa"/>
            <w:vAlign w:val="bottom"/>
            <w:gridSpan w:val="2"/>
          </w:tcPr>
          <w:p>
            <w:pPr>
              <w:ind w:left="580"/>
              <w:spacing w:after="0"/>
              <w:rPr>
                <w:sz w:val="20"/>
                <w:szCs w:val="20"/>
                <w:color w:val="auto"/>
              </w:rPr>
            </w:pPr>
            <w:r>
              <w:rPr>
                <w:rFonts w:ascii="Arial" w:cs="Arial" w:eastAsia="Arial" w:hAnsi="Arial"/>
                <w:sz w:val="18"/>
                <w:szCs w:val="18"/>
                <w:color w:val="auto"/>
              </w:rPr>
              <w:t>Comprehensive income</w:t>
            </w:r>
          </w:p>
        </w:tc>
        <w:tc>
          <w:tcPr>
            <w:tcW w:w="424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208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3600" w:type="dxa"/>
            <w:vAlign w:val="bottom"/>
            <w:vMerge w:val="restart"/>
          </w:tcPr>
          <w:p>
            <w:pPr>
              <w:jc w:val="right"/>
              <w:ind w:right="3057"/>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4720" w:type="dxa"/>
            <w:vAlign w:val="bottom"/>
          </w:tcPr>
          <w:p>
            <w:pPr>
              <w:spacing w:after="0"/>
              <w:rPr>
                <w:sz w:val="5"/>
                <w:szCs w:val="5"/>
                <w:color w:val="auto"/>
              </w:rPr>
            </w:pPr>
          </w:p>
        </w:tc>
        <w:tc>
          <w:tcPr>
            <w:tcW w:w="3600" w:type="dxa"/>
            <w:vAlign w:val="bottom"/>
            <w:vMerge w:val="continue"/>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-1635125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-1635125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-1386205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-1386205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-1386205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-1386205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-820420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-820420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-820420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-820420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as amended, purported to have arisen in connection with certain transactions relating to At Home stock, effected pursuant to the March 2000 agreements.</w:t>
      </w:r>
    </w:p>
    <w:p>
      <w:pPr>
        <w:spacing w:after="0" w:line="18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On March 10, 2005, the court certified a class of all purchasers of publicly-traded At Home stock between March 28, 2000, and September 28, 2001.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may recommence the breach of fiduciary duty claim. In the meantime, we have entered into an agreement with plaintiffs tolling the statute of limitations for the breach of fiduciary duty claim.</w:t>
      </w:r>
    </w:p>
    <w:p>
      <w:pPr>
        <w:spacing w:after="0" w:line="1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FINANCIAL DATA BY BUSINESS SEGMENT</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reportable segments consist of our Cable and Content businesses. Our content segment consists of our national networks E! Entertainment and Style Network, The Golf Channel, Outdoor Life Network, G4 and AZN Television (formerly known as International Channel). In evaluating the profitability of our segments, the components of net income (loss) below operating income (loss) before depreciation and amortization are not separately evaluated by our management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Cable(1)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Content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Other(2)</w:t>
            </w:r>
          </w:p>
        </w:tc>
        <w:tc>
          <w:tcPr>
            <w:tcW w:w="220" w:type="dxa"/>
            <w:vAlign w:val="bottom"/>
          </w:tcPr>
          <w:p>
            <w:pPr>
              <w:spacing w:after="0"/>
              <w:rPr>
                <w:sz w:val="15"/>
                <w:szCs w:val="15"/>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Eliminations(3)</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2004</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 depreciation and amortization(5)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March 31, 2005</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39,153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2,484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42,375</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38,480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2,533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41,942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-2827020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-2827020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-2827020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-2827020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-2827020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-2827020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-2827020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-2827020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-2827020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-2827020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20" w:hanging="532"/>
        <w:spacing w:after="0" w:line="26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regional sports and news networks Comcast SportsNet, Comcast SportsNet Mid-Atlantic, Comcast SportsNet Chicago, Cable Sports Southeast and CN8-The Comcast Network are included in our cable segment.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ind w:left="532" w:right="340" w:hanging="532"/>
        <w:spacing w:after="0" w:line="268" w:lineRule="auto"/>
        <w:tabs>
          <w:tab w:leader="none" w:pos="5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includes Comcast-Spectacor, other businesses and activities not presented in our cable or content segments, and Comcast management fees and allocations.</w:t>
      </w:r>
    </w:p>
    <w:p>
      <w:pPr>
        <w:spacing w:after="0" w:line="212"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12" w:hanging="532"/>
        <w:spacing w:after="0" w:line="268" w:lineRule="auto"/>
        <w:tabs>
          <w:tab w:leader="none" w:pos="16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199" w:lineRule="exact"/>
        <w:rPr>
          <w:rFonts w:ascii="Arial" w:cs="Arial" w:eastAsia="Arial" w:hAnsi="Arial"/>
          <w:sz w:val="18"/>
          <w:szCs w:val="18"/>
          <w:color w:val="auto"/>
        </w:rPr>
      </w:pPr>
    </w:p>
    <w:p>
      <w:pPr>
        <w:ind w:left="1612" w:right="420" w:hanging="532"/>
        <w:spacing w:after="0" w:line="268" w:lineRule="auto"/>
        <w:tabs>
          <w:tab w:leader="none" w:pos="16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212" w:lineRule="exact"/>
        <w:rPr>
          <w:rFonts w:ascii="Arial" w:cs="Arial" w:eastAsia="Arial" w:hAnsi="Arial"/>
          <w:sz w:val="18"/>
          <w:szCs w:val="18"/>
          <w:color w:val="auto"/>
        </w:rPr>
      </w:pPr>
    </w:p>
    <w:p>
      <w:pPr>
        <w:ind w:left="1612" w:hanging="532"/>
        <w:spacing w:after="0"/>
        <w:tabs>
          <w:tab w:leader="none" w:pos="16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38" w:lineRule="exact"/>
        <w:rPr>
          <w:rFonts w:ascii="Arial" w:cs="Arial" w:eastAsia="Arial" w:hAnsi="Arial"/>
          <w:sz w:val="18"/>
          <w:szCs w:val="18"/>
          <w:color w:val="auto"/>
        </w:rPr>
      </w:pPr>
    </w:p>
    <w:p>
      <w:pPr>
        <w:ind w:left="1612" w:right="260" w:hanging="532"/>
        <w:spacing w:after="0" w:line="256" w:lineRule="auto"/>
        <w:tabs>
          <w:tab w:leader="none" w:pos="16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its fiber-optic lines and site conditioning to business activities included in the Other caption, who pay our cable segment a lump sum and hold the property and the related depreciation expense and accumulated depreciation. Our cable segment's revenue is generated through the amortization of the deferred revenue recorded for the lump sum payment.</w:t>
      </w:r>
    </w:p>
    <w:p>
      <w:pPr>
        <w:spacing w:after="0" w:line="210" w:lineRule="exact"/>
        <w:rPr>
          <w:rFonts w:ascii="Arial" w:cs="Arial" w:eastAsia="Arial" w:hAnsi="Arial"/>
          <w:sz w:val="18"/>
          <w:szCs w:val="18"/>
          <w:color w:val="auto"/>
        </w:rPr>
      </w:pPr>
    </w:p>
    <w:p>
      <w:pPr>
        <w:ind w:left="1612" w:hanging="532"/>
        <w:spacing w:after="0"/>
        <w:tabs>
          <w:tab w:leader="none" w:pos="1612" w:val="left"/>
        </w:tabs>
        <w:numPr>
          <w:ilvl w:val="1"/>
          <w:numId w:val="5"/>
        </w:numPr>
        <w:rPr>
          <w:rFonts w:ascii="Arial" w:cs="Arial" w:eastAsia="Arial" w:hAnsi="Arial"/>
          <w:sz w:val="18"/>
          <w:szCs w:val="18"/>
          <w:color w:val="auto"/>
        </w:rPr>
      </w:pPr>
      <w:r>
        <w:rPr>
          <w:rFonts w:ascii="Arial" w:cs="Arial" w:eastAsia="Arial" w:hAnsi="Arial"/>
          <w:sz w:val="18"/>
          <w:szCs w:val="18"/>
          <w:color w:val="auto"/>
        </w:rPr>
        <w:t>other generates revenue by selling long-distance services to our cable segment.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32" w:hanging="532"/>
        <w:spacing w:after="0"/>
        <w:tabs>
          <w:tab w:leader="none" w:pos="532"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261" w:lineRule="exact"/>
        <w:rPr>
          <w:rFonts w:ascii="Arial" w:cs="Arial" w:eastAsia="Arial" w:hAnsi="Arial"/>
          <w:sz w:val="16"/>
          <w:szCs w:val="16"/>
          <w:color w:val="auto"/>
        </w:rPr>
      </w:pPr>
    </w:p>
    <w:p>
      <w:pPr>
        <w:ind w:left="532" w:right="40" w:hanging="532"/>
        <w:spacing w:after="0" w:line="287" w:lineRule="auto"/>
        <w:tabs>
          <w:tab w:leader="none" w:pos="532"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related party transactions for the interim periods presented are as follows (dollars in millions):</w:t>
      </w:r>
    </w:p>
    <w:p>
      <w:pPr>
        <w:spacing w:after="0" w:line="22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58420</wp:posOffset>
            </wp:positionV>
            <wp:extent cx="118745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8745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4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Content affiliation agreement revenue</w:t>
            </w:r>
          </w:p>
        </w:tc>
        <w:tc>
          <w:tcPr>
            <w:tcW w:w="4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Comcast management fees</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Comcast cost sharing charges:</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Cable-related costs</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costs</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Software licensing fees</w:t>
            </w:r>
          </w:p>
        </w:tc>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affiliate notes, net</w:t>
            </w:r>
          </w:p>
        </w:tc>
        <w:tc>
          <w:tcPr>
            <w:tcW w:w="3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-1041400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-1041400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-1041400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-1041400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Our content businesses generate a portion of their revenues through the sale of subscriber services under affiliation agreements with cable subsidiaries of Comcast. These amounts are included in service revenues in our consolidated statement of operations. Amounts related to similar affiliation agreements between our content businesses and our wholly-owned subsidiaries are eliminated in our condensed consolidated financial statements.</w:t>
      </w:r>
    </w:p>
    <w:p>
      <w:pPr>
        <w:spacing w:after="0" w:line="161"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Comcast has entered into management agreements with our cable subsidiaries. The management agreements generally provide that Comcast supervise the management and operations of the cable systems and arrange for and supervise certain administrative functions. As compensation for such services, the agreements provide for Comcast to charge management fees based on a percentage of gross revenues. These charges are included in selling, general and administrative expenses in our consolidated statement of operations.</w:t>
      </w:r>
    </w:p>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reimburse Comcast for certain cable-related costs under a cost sharing agreement. These charges are included in selling, general and administrative expenses in our consolidated statement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(Concluded)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purchase certain other services from Comcast under cost sharing arrangements on terms that reflect Comcast's actual cost. These charges are included in selling, general and administrative expenses in our consolidated statement of operations.</w:t>
      </w:r>
    </w:p>
    <w:p>
      <w:pPr>
        <w:spacing w:after="0" w:line="18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color w:val="auto"/>
        </w:rPr>
        <w:t>Comcast has purchased long-term, non-exclusive patent and software licenses to use on Comcast's and our interactive program guides. Comcast charges us a licensing fee for use of this software. This charge is included in selling, general and administrative expenses in our consolidated statement of operations.</w:t>
      </w:r>
    </w:p>
    <w:p>
      <w:pPr>
        <w:spacing w:after="0" w:line="1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Comcast Financial Agency Corporation ("CFAC"), an indirect wholly-owned subsidiary of ours, provides cash management services to certain cable subsidiaries of Comcast. Under this arrangement, Comcast's and these subsidiaries' cash receipts are deposited with and held by CFAC, as custodian and agent, which invests and disburses such funds at our direction. Interest income related to this cash was not significant during the 2005 or 2004 interim periods.</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With the exception of cash payments related to interest and state income taxes, we consider all of our transactions with Comcast or its affiliates to be financing transactions, which are presented as net transactions with affiliates in our consolidated statement of cash flows. Our significant financing transactions with Comcast and its affiliates are described below.</w:t>
      </w:r>
    </w:p>
    <w:p>
      <w:pPr>
        <w:spacing w:after="0" w:line="19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As of March 31, 2005, and December 31, 2004, due from affiliates, net in our consolidated balance sheet primarily consists of amounts due from Comcast and from certain cable subsidiaries of Comcast for advances we made for working capital and capital expenditures in the ordinary course of business. We act as the paying agent for all programming payments for all of Comcast's cable subsidiaries, including ours. Programming payments related to Comcast's other cable subsidiaries are recorded as due from affiliates. As a result, included in accounts payable and accrued expenses related to trade creditors as of March 31, 2005, and December 31, 2004, is approximately $638 million and $600 million, respectively, related to other Comcast subsidiaries.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March 31, 2005, and December 31, 2004, notes receivable from affiliates and notes payable to affiliates consist of notes receivable from and notes payable to Comcast and certain cable subsidiaries of Comcast. Our notes receivable and notes payable, whose interest receivable and payable are included in our condensed consolidated balance sheet, have the following characteristics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80" w:type="dxa"/>
            <w:vAlign w:val="bottom"/>
            <w:gridSpan w:val="3"/>
          </w:tcPr>
          <w:p>
            <w:pPr>
              <w:jc w:val="right"/>
              <w:ind w:right="1302"/>
              <w:spacing w:after="0"/>
              <w:rPr>
                <w:sz w:val="20"/>
                <w:szCs w:val="20"/>
                <w:color w:val="auto"/>
              </w:rPr>
            </w:pPr>
            <w:r>
              <w:rPr>
                <w:rFonts w:ascii="Arial" w:cs="Arial" w:eastAsia="Arial" w:hAnsi="Arial"/>
                <w:sz w:val="14"/>
                <w:szCs w:val="14"/>
                <w:b w:val="1"/>
                <w:bCs w:val="1"/>
                <w:color w:val="auto"/>
                <w:w w:val="88"/>
              </w:rPr>
              <w:t>March 31, 2005</w:t>
            </w:r>
          </w:p>
        </w:tc>
        <w:tc>
          <w:tcPr>
            <w:tcW w:w="220" w:type="dxa"/>
            <w:vAlign w:val="bottom"/>
          </w:tcPr>
          <w:p>
            <w:pPr>
              <w:spacing w:after="0"/>
              <w:rPr>
                <w:sz w:val="15"/>
                <w:szCs w:val="15"/>
                <w:color w:val="auto"/>
              </w:rPr>
            </w:pPr>
          </w:p>
        </w:tc>
        <w:tc>
          <w:tcPr>
            <w:tcW w:w="3720" w:type="dxa"/>
            <w:vAlign w:val="bottom"/>
            <w:gridSpan w:val="3"/>
          </w:tcPr>
          <w:p>
            <w:pPr>
              <w:ind w:left="132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380" w:type="dxa"/>
            <w:vAlign w:val="bottom"/>
          </w:tcPr>
          <w:p>
            <w:pPr>
              <w:jc w:val="center"/>
              <w:ind w:left="276"/>
              <w:spacing w:after="0"/>
              <w:rPr>
                <w:sz w:val="20"/>
                <w:szCs w:val="20"/>
                <w:color w:val="auto"/>
              </w:rPr>
            </w:pPr>
            <w:r>
              <w:rPr>
                <w:rFonts w:ascii="Arial" w:cs="Arial" w:eastAsia="Arial" w:hAnsi="Arial"/>
                <w:sz w:val="14"/>
                <w:szCs w:val="14"/>
                <w:b w:val="1"/>
                <w:bCs w:val="1"/>
                <w:color w:val="auto"/>
                <w:w w:val="84"/>
              </w:rPr>
              <w:t>Notes Receivable</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5"/>
              </w:rPr>
              <w:t>Notes Payable</w:t>
            </w:r>
          </w:p>
        </w:tc>
        <w:tc>
          <w:tcPr>
            <w:tcW w:w="22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4"/>
              </w:rPr>
              <w:t>Notes Receivable</w:t>
            </w:r>
          </w:p>
        </w:tc>
        <w:tc>
          <w:tcPr>
            <w:tcW w:w="2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3"/>
              </w:rPr>
              <w:t>Notes Payable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Principal balance</w:t>
            </w:r>
          </w:p>
        </w:tc>
        <w:tc>
          <w:tcPr>
            <w:tcW w:w="138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7"/>
              </w:rPr>
              <w:t>$5,696</w:t>
            </w:r>
          </w:p>
        </w:tc>
        <w:tc>
          <w:tcPr>
            <w:tcW w:w="2280" w:type="dxa"/>
            <w:vAlign w:val="bottom"/>
            <w:gridSpan w:val="3"/>
            <w:shd w:val="clear" w:color="auto" w:fill="CCEEFF"/>
          </w:tcPr>
          <w:p>
            <w:pPr>
              <w:jc w:val="center"/>
              <w:ind w:left="496"/>
              <w:spacing w:after="0"/>
              <w:rPr>
                <w:sz w:val="20"/>
                <w:szCs w:val="20"/>
                <w:color w:val="auto"/>
              </w:rPr>
            </w:pPr>
            <w:r>
              <w:rPr>
                <w:rFonts w:ascii="Arial" w:cs="Arial" w:eastAsia="Arial" w:hAnsi="Arial"/>
                <w:sz w:val="18"/>
                <w:szCs w:val="18"/>
                <w:color w:val="auto"/>
                <w:w w:val="84"/>
              </w:rPr>
              <w:t>$711</w:t>
            </w:r>
          </w:p>
        </w:tc>
        <w:tc>
          <w:tcPr>
            <w:tcW w:w="19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7"/>
              </w:rPr>
              <w:t>$5,378</w:t>
            </w:r>
          </w:p>
        </w:tc>
        <w:tc>
          <w:tcPr>
            <w:tcW w:w="19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receivable (payable)</w:t>
            </w:r>
          </w:p>
        </w:tc>
        <w:tc>
          <w:tcPr>
            <w:tcW w:w="1380" w:type="dxa"/>
            <w:vAlign w:val="bottom"/>
          </w:tcPr>
          <w:p>
            <w:pPr>
              <w:jc w:val="center"/>
              <w:ind w:left="256"/>
              <w:spacing w:after="0"/>
              <w:rPr>
                <w:sz w:val="20"/>
                <w:szCs w:val="20"/>
                <w:color w:val="auto"/>
              </w:rPr>
            </w:pPr>
            <w:r>
              <w:rPr>
                <w:rFonts w:ascii="Arial" w:cs="Arial" w:eastAsia="Arial" w:hAnsi="Arial"/>
                <w:sz w:val="18"/>
                <w:szCs w:val="18"/>
                <w:color w:val="auto"/>
                <w:w w:val="93"/>
              </w:rPr>
              <w:t>$92</w:t>
            </w:r>
          </w:p>
        </w:tc>
        <w:tc>
          <w:tcPr>
            <w:tcW w:w="2280" w:type="dxa"/>
            <w:vAlign w:val="bottom"/>
            <w:gridSpan w:val="3"/>
          </w:tcPr>
          <w:p>
            <w:pPr>
              <w:jc w:val="center"/>
              <w:ind w:left="496"/>
              <w:spacing w:after="0"/>
              <w:rPr>
                <w:sz w:val="20"/>
                <w:szCs w:val="20"/>
                <w:color w:val="auto"/>
              </w:rPr>
            </w:pPr>
            <w:r>
              <w:rPr>
                <w:rFonts w:ascii="Arial" w:cs="Arial" w:eastAsia="Arial" w:hAnsi="Arial"/>
                <w:sz w:val="18"/>
                <w:szCs w:val="18"/>
                <w:color w:val="auto"/>
                <w:w w:val="90"/>
              </w:rPr>
              <w:t>$(42)</w:t>
            </w:r>
          </w:p>
        </w:tc>
        <w:tc>
          <w:tcPr>
            <w:tcW w:w="196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$72</w:t>
            </w:r>
          </w:p>
        </w:tc>
        <w:tc>
          <w:tcPr>
            <w:tcW w:w="198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range</w:t>
            </w:r>
          </w:p>
        </w:tc>
        <w:tc>
          <w:tcPr>
            <w:tcW w:w="138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6.75% to 7.5%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6.75% to 7.5%</w:t>
            </w: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6.25% to 7.5%</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6.25% to 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Maturity date range</w:t>
            </w:r>
          </w:p>
        </w:tc>
        <w:tc>
          <w:tcPr>
            <w:tcW w:w="1380" w:type="dxa"/>
            <w:vAlign w:val="bottom"/>
          </w:tcPr>
          <w:p>
            <w:pPr>
              <w:jc w:val="center"/>
              <w:ind w:left="256"/>
              <w:spacing w:after="0"/>
              <w:rPr>
                <w:sz w:val="20"/>
                <w:szCs w:val="20"/>
                <w:color w:val="auto"/>
              </w:rPr>
            </w:pPr>
            <w:r>
              <w:rPr>
                <w:rFonts w:ascii="Arial" w:cs="Arial" w:eastAsia="Arial" w:hAnsi="Arial"/>
                <w:sz w:val="18"/>
                <w:szCs w:val="18"/>
                <w:color w:val="auto"/>
                <w:w w:val="88"/>
              </w:rPr>
              <w:t>2009-2014</w:t>
            </w:r>
          </w:p>
        </w:tc>
        <w:tc>
          <w:tcPr>
            <w:tcW w:w="2280" w:type="dxa"/>
            <w:vAlign w:val="bottom"/>
            <w:gridSpan w:val="3"/>
          </w:tcPr>
          <w:p>
            <w:pPr>
              <w:jc w:val="center"/>
              <w:ind w:left="476"/>
              <w:spacing w:after="0"/>
              <w:rPr>
                <w:sz w:val="20"/>
                <w:szCs w:val="20"/>
                <w:color w:val="auto"/>
              </w:rPr>
            </w:pPr>
            <w:r>
              <w:rPr>
                <w:rFonts w:ascii="Arial" w:cs="Arial" w:eastAsia="Arial" w:hAnsi="Arial"/>
                <w:sz w:val="18"/>
                <w:szCs w:val="18"/>
                <w:color w:val="auto"/>
                <w:w w:val="88"/>
              </w:rPr>
              <w:t>2012-2014</w:t>
            </w:r>
          </w:p>
        </w:tc>
        <w:tc>
          <w:tcPr>
            <w:tcW w:w="196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2009-2014</w:t>
            </w:r>
          </w:p>
        </w:tc>
        <w:tc>
          <w:tcPr>
            <w:tcW w:w="19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2012-2014</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80" w:type="dxa"/>
            <w:vAlign w:val="bottom"/>
            <w:gridSpan w:val="3"/>
          </w:tcPr>
          <w:p>
            <w:pPr>
              <w:jc w:val="right"/>
              <w:ind w:right="1602"/>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-1309370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-1309370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-1309370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-1309370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-1060450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-1060450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-1060450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-1060450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-1060450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-1060450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-1060450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this item is omitted pursuant to SEC General Instruction H to Form 10-Q, except as noted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an indirect, wholly-owned subsidiary of Comcast. We are principally involved in the management and operation of broadband communications networks (our cable segment) and in the management of programming content that is distributed over national cable television networks (our content segment). During the first quarter of 2005, we received nearly 88%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historically met our cash needs for operations through our cash flows from operating activities. We have generally financed our acquisitions and capital expenditures through issuances of Comcast common stock, borrowings of long-term debt, sales of investments and from existing cash, cash equivalents and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April 20, 2005, Comcast and Time Warner reached definitive agreements to acquire substantially all the assets of Adelphia Communications Corporation for a total of $12.7 billion in cash and 16% of the common stock of Time Warner's cable subsidiary, Time Warner Cable Inc. ("TWC"). Comcast also will exchange certain of its cable systems with TWC for certain TWC cable systems. In addition, TWC will redeem Comcast's 17.9% interest in TWC and Time Warner Entertainment Company, L.P. ("TWE") will redeem Comcast's 4.7% interest in TWE (together an effective 21% economic ownership of TWC). As a result of these transactions, Comcast will add approximately 1.8 million basic subscribers for a net cash investment of approximately $1.5 billion. Following these transactions, Comcast will serve a total of approximately 23.3 million basic subscribers. These transactions are subject to customary regulatory review and approvals, including Hart-Scott-Rodino, Federal Communications Commission and local franchise approvals, as well as the Adelphia bankruptcy process, which involves approvals by the bankruptcy court having jurisdiction of Adelphia's Chapter 11 case and Adelphia's creditors. Closing is expected to occur in the first or second quarter of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Consolidated revenues for the first quarter of 2005 increased $176 million, or 8.4%, from the same quarter in 2004. Of this increase, $164 million relates to our cable segment and $37 million relates to our content segment, which are discussed separately below. The remaining change relates to our other business activities, primarily Comcast-Spectacor, whose revenues were negatively affected by the National Hockey League ("NHL") lockout.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selling, general and administrative expenses</w:t>
      </w:r>
    </w:p>
    <w:p>
      <w:pPr>
        <w:spacing w:after="0" w:line="225"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Consolidated operating, selling, general and administrative expenses for the first quarter of 2005 increased $56 million, or 4.2%, from the same quarter in 2004. Of this increase, $61 million relates to our cable segment and $29 million relates to our content segment, which are discussed separately below. The remaining change relates to our other business activities, primarily Comcast-Spectacor, whose operating expenses were positively affected by the NHL lockout.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Depreciation expense for the first quarter of 2005 increased $6 million, or 1.8%, compared to the same quarter in 2004. This slight increase is primarily attributable to our cable segment, principally due to the level of our recent capital expenditures.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Amortization expense for the first quarter of 2005 increased $16 million, or 34.0%, compared to the same quarter in 2004, primarily attributable to our recent acquisitions and intangible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condensed consolidated financial statements. This measure should not be considered as a substitute for operating income (loss), net income (loss), net cash provided by operating activities or other measures of performance or liquidity reported in accordance with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ind w:left="360"/>
              <w:spacing w:after="0"/>
              <w:rPr>
                <w:sz w:val="20"/>
                <w:szCs w:val="20"/>
                <w:color w:val="auto"/>
              </w:rPr>
            </w:pPr>
            <w:r>
              <w:rPr>
                <w:rFonts w:ascii="Arial" w:cs="Arial" w:eastAsia="Arial" w:hAnsi="Arial"/>
                <w:sz w:val="14"/>
                <w:szCs w:val="14"/>
                <w:b w:val="1"/>
                <w:bCs w:val="1"/>
                <w:color w:val="auto"/>
                <w:w w:val="98"/>
              </w:rPr>
              <w:t>Increase</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High-speed Internet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60" w:type="dxa"/>
            <w:vAlign w:val="bottom"/>
            <w:gridSpan w:val="3"/>
          </w:tcPr>
          <w:p>
            <w:pPr>
              <w:ind w:left="20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18"/>
        </w:trPr>
        <w:tc>
          <w:tcPr>
            <w:tcW w:w="4900" w:type="dxa"/>
            <w:vAlign w:val="bottom"/>
            <w:gridSpan w:val="2"/>
          </w:tcPr>
          <w:p>
            <w:pPr>
              <w:spacing w:after="0"/>
              <w:rPr>
                <w:sz w:val="10"/>
                <w:szCs w:val="10"/>
                <w:color w:val="auto"/>
              </w:rPr>
            </w:pPr>
          </w:p>
        </w:tc>
        <w:tc>
          <w:tcPr>
            <w:tcW w:w="1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80" w:type="dxa"/>
            <w:vAlign w:val="bottom"/>
            <w:gridSpan w:val="4"/>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-1995170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-1995170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-1995170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-1995170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-1746885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-1746885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-1746885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-1746885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-1746885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-1746885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-1746885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-1746885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-906145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-906145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-906145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-906145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-906145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-906145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-477520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-477520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-477520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-477520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-477520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-477520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Video revenue consists of our basic, expanded basic, premium, pay-per-view and digital cable services, as well as equipment rentals. The increase in video revenue for the interim period from 2004 to 2005 is primarily due to subscriber growth in our digital video service and rate increases. From March 31, 2004, to March 31, 2005, we added approximately 424,000 digital subscribers, or a 15.4% increase in digital subscribers. We expect continued growth in our video revenue.</w:t>
      </w:r>
    </w:p>
    <w:p>
      <w:pPr>
        <w:spacing w:after="0" w:line="197"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The increase in high-speed Internet revenue for the interim period from 2004 to 2005 is primarily due to the addition of approximately 592,000 high-speed Internet subscribers since March 31, 2004, or a 25.0% increase in high-speed Internet subscribers. We expect continued growth in our high-speed Internet revenue.</w:t>
      </w:r>
    </w:p>
    <w:p>
      <w:pPr>
        <w:spacing w:after="0" w:line="19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increase in advertising sales revenue for the interim period from 2004 to 2005 is primarily due to the effects of growth in regional/national advertising as a result of the continuing success of our regional interconnects and a stronger local advertising market, offset, in part, by a decrease in political advertising during 2005. We expect continued growth in our advertising sales revenue.</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Other revenue includes installation revenues, revenue from our regional sports and news networks, guide revenues, commissions from electronic retailing, revenue from commercial data services and revenue from other service offerings.</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increase in franchise fees collected from our cable subscribers for the interim period from 2004 to 2005 is primarily attributable to the increase in our revenues upon which the fees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Operating, selling, general and administrative expenses for the interim period from 2004 to 2005 increased $61 million, primarily as a result of higher operating, marketing and administrative costs associated with the growth in our high-speed Internet and digital cable services, and increases in management fees and allocations.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2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58420</wp:posOffset>
            </wp:positionV>
            <wp:extent cx="118745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8745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5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-751840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-751840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-323215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The Golf Channel, Outdoor Life Network, G4 and AZN Television (formerly known as International Channel).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content segment revenue increased $37 million, or 20.9%, for the first quarter of 2005 compared to the same period in 2004. The increase reflects increases in distribution and advertising revenue for all of the networks and the effects of the acquisitions of TechTV by G4 and AZN Television in May 2004 and July 2004,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Operating, selling, general and administrative expenses increased $29 million, or 26.5%, for the first quarter of 2005 compared to the same period in 2004. Expenses increased in the 2005 interim period as a result of higher development and marketing expenses for signature events and other original programming in all of our networks, as well as due to the effects of the acquisitions of TechTV by G4 and AZN Television in May 2004 and July 2004,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(Expense) Items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 in interest expense for the interim period from 2004 to 2005 is principally due to a decrease in our total debt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Affiliate Notes, Net</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change in interest income on affiliate notes, net for the interim period from 2004 to 2005 is principally due to an increase in our notes receivable from affiliates.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Investment Loss,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 loss, net for the interim periods includes the following (dollars in millions):</w:t>
      </w:r>
    </w:p>
    <w:p>
      <w:pPr>
        <w:spacing w:after="0" w:line="221"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58420</wp:posOffset>
            </wp:positionV>
            <wp:extent cx="150495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0495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dividend and other investment income (expense)</w:t>
            </w:r>
          </w:p>
        </w:tc>
        <w:tc>
          <w:tcPr>
            <w:tcW w:w="68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Unrealized losses on trading securities</w:t>
            </w:r>
          </w:p>
        </w:tc>
        <w:tc>
          <w:tcPr>
            <w:tcW w:w="6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3"/>
          </w:tcPr>
          <w:p>
            <w:pPr>
              <w:spacing w:after="0"/>
              <w:rPr>
                <w:sz w:val="20"/>
                <w:szCs w:val="20"/>
                <w:color w:val="auto"/>
              </w:rPr>
            </w:pPr>
            <w:r>
              <w:rPr>
                <w:rFonts w:ascii="Arial" w:cs="Arial" w:eastAsia="Arial" w:hAnsi="Arial"/>
                <w:sz w:val="18"/>
                <w:szCs w:val="18"/>
                <w:color w:val="auto"/>
              </w:rPr>
              <w:t>Mark to market adjustments on derivatives</w:t>
            </w:r>
          </w:p>
        </w:tc>
        <w:tc>
          <w:tcPr>
            <w:tcW w:w="68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loss, net</w:t>
            </w:r>
          </w:p>
        </w:tc>
        <w:tc>
          <w:tcPr>
            <w:tcW w:w="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-1180465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-1180465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-1180465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-1180465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-477520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-477520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-477520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-477520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March 31, 2005) of our investments accounted for as trading securities. The differences between the unrealized gains (losses) on trading securities and the mark-to-market adjustments on derivatives related to trading securities, as presented in the table above, result from one or more of the following:</w:t>
      </w:r>
    </w:p>
    <w:p>
      <w:pPr>
        <w:spacing w:after="0" w:line="211"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change in other income (expense) for the interim period from 2004 to 2005 is primarily due to a $24 million gain on the exchange of one of our equity method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rate differs from the statutory rate primarily due to the effects of state income taxes and adjustments to prior year accruals.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change in minority interest for the interim period from 2004 to 2005 is attributable to the effects of changes in the net income or loss of our less than wholly owned consolidated subsidiaries and to the minority interests in certain subsidiaries acquired or formed during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121285</wp:posOffset>
            </wp:positionV>
            <wp:extent cx="105029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2004 Form 10-K.</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Conclusion regarding disclosure and procedures. </w:t>
      </w:r>
      <w:r>
        <w:rPr>
          <w:rFonts w:ascii="Arial" w:cs="Arial" w:eastAsia="Arial" w:hAnsi="Arial"/>
          <w:sz w:val="18"/>
          <w:szCs w:val="18"/>
          <w:color w:val="auto"/>
        </w:rPr>
        <w:t>Our chief executive officer and co-chief financial officers, after evaluating the effectiveness of our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9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Refer to Note 7 to our condensed consolidated financial statements included in Item 1 of this Quarterly Report on Form 10-Q for a discussion of recent developments related to our legal proceedings.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 required to be filed by Item 601 of Regulation S-K:</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Certification of Chief Executive Officer and Co-Chief Financial Officers pursuant to Section 906 of the Sarbanes-Oxley Act of 2002.</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1" w:name="page22"/>
    <w:bookmarkEnd w:id="21"/>
    <w:p>
      <w:pPr>
        <w:jc w:val="center"/>
        <w:ind w:right="-79"/>
        <w:spacing w:after="0"/>
        <w:rPr>
          <w:sz w:val="20"/>
          <w:szCs w:val="20"/>
          <w:color w:val="auto"/>
        </w:rPr>
      </w:pPr>
      <w:r>
        <w:rPr>
          <w:rFonts w:ascii="Arial" w:cs="Arial" w:eastAsia="Arial" w:hAnsi="Arial"/>
          <w:sz w:val="18"/>
          <w:szCs w:val="18"/>
          <w:b w:val="1"/>
          <w:bCs w:val="1"/>
          <w:color w:val="auto"/>
        </w:rPr>
        <w:t>COMCAST HOLDINGS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77470</wp:posOffset>
            </wp:positionV>
            <wp:extent cx="420624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06240" cy="21590"/>
                    </a:xfrm>
                    <a:prstGeom prst="rect">
                      <a:avLst/>
                    </a:prstGeom>
                    <a:noFill/>
                  </pic:spPr>
                </pic:pic>
              </a:graphicData>
            </a:graphic>
          </wp:anchor>
        </w:drawing>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rFonts w:ascii="Arial" w:cs="Arial" w:eastAsia="Arial" w:hAnsi="Arial"/>
          <w:sz w:val="22"/>
          <w:szCs w:val="22"/>
          <w:color w:val="0000EE"/>
        </w:rPr>
      </w:pPr>
      <w:hyperlink w:anchor="page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40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40" w:hanging="532"/>
        <w:spacing w:after="0" w:line="370" w:lineRule="auto"/>
        <w:tabs>
          <w:tab w:leader="none" w:pos="1080" w:val="left"/>
        </w:tabs>
        <w:numPr>
          <w:ilvl w:val="1"/>
          <w:numId w:val="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right="20" w:hanging="532"/>
        <w:spacing w:after="0" w:line="259"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20" w:hanging="532"/>
        <w:spacing w:after="0" w:line="332"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300" w:hanging="532"/>
        <w:spacing w:after="0" w:line="268"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Holdings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238"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13,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173605"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736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27" w:name="page28"/>
    <w:bookmarkEnd w:id="27"/>
    <w:p>
      <w:pPr>
        <w:spacing w:after="0"/>
        <w:rPr>
          <w:rFonts w:ascii="Arial" w:cs="Arial" w:eastAsia="Arial" w:hAnsi="Arial"/>
          <w:sz w:val="22"/>
          <w:szCs w:val="22"/>
          <w:color w:val="0000EE"/>
        </w:rPr>
      </w:pPr>
      <w:hyperlink w:anchor="page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ind w:left="10440"/>
        <w:spacing w:after="0"/>
        <w:rPr>
          <w:sz w:val="20"/>
          <w:szCs w:val="20"/>
          <w:color w:val="auto"/>
        </w:rPr>
      </w:pPr>
      <w:r>
        <w:rPr>
          <w:rFonts w:ascii="Arial" w:cs="Arial" w:eastAsia="Arial" w:hAnsi="Arial"/>
          <w:sz w:val="16"/>
          <w:szCs w:val="16"/>
          <w:color w:val="auto"/>
        </w:rPr>
        <w:t>May 13, 2005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Holdings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Brian L. Roberts, the Chief Executive Officer, Lawrence S. Smith, the Co-Chief Financial Officer and John R. Alchin, the Co-Chief Financial Officer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 each certifies that, to the best of his knowledge:</w:t>
      </w:r>
    </w:p>
    <w:p>
      <w:pPr>
        <w:spacing w:after="0" w:line="232"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Holdings Corporation.</w:t>
      </w:r>
    </w:p>
    <w:p>
      <w:pPr>
        <w:spacing w:after="0" w:line="200" w:lineRule="exact"/>
        <w:rPr>
          <w:sz w:val="20"/>
          <w:szCs w:val="20"/>
          <w:color w:val="auto"/>
        </w:rPr>
      </w:pP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77470</wp:posOffset>
            </wp:positionV>
            <wp:extent cx="35547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3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2019-12-12T08:53:43Z</dcterms:created>
  <dcterms:modified xsi:type="dcterms:W3CDTF">2019-12-12T08:53:43Z</dcterms:modified>
</cp:coreProperties>
</file>