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2006</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121"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1880" w:type="dxa"/>
            <w:vAlign w:val="bottom"/>
          </w:tcPr>
          <w:p>
            <w:pPr>
              <w:jc w:val="center"/>
              <w:ind w:right="42"/>
              <w:spacing w:after="0"/>
              <w:rPr>
                <w:sz w:val="20"/>
                <w:szCs w:val="20"/>
                <w:color w:val="auto"/>
              </w:rPr>
            </w:pPr>
            <w:r>
              <w:rPr>
                <w:rFonts w:ascii="Arial" w:cs="Arial" w:eastAsia="Arial" w:hAnsi="Arial"/>
                <w:sz w:val="18"/>
                <w:szCs w:val="18"/>
                <w:b w:val="1"/>
                <w:bCs w:val="1"/>
                <w:color w:val="auto"/>
                <w:w w:val="86"/>
              </w:rPr>
              <w:t>Pennsylvania</w:t>
            </w:r>
          </w:p>
        </w:tc>
        <w:tc>
          <w:tcPr>
            <w:tcW w:w="5360" w:type="dxa"/>
            <w:vAlign w:val="bottom"/>
            <w:gridSpan w:val="3"/>
          </w:tcPr>
          <w:p>
            <w:pPr>
              <w:jc w:val="center"/>
              <w:ind w:left="4198"/>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1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8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88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incorporation or organization)</w:t>
            </w:r>
          </w:p>
        </w:tc>
        <w:tc>
          <w:tcPr>
            <w:tcW w:w="8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91"/>
              </w:rPr>
              <w:t>1500 Market Street</w:t>
            </w:r>
          </w:p>
        </w:tc>
      </w:tr>
      <w:tr>
        <w:trPr>
          <w:trHeight w:val="216"/>
        </w:trPr>
        <w:tc>
          <w:tcPr>
            <w:tcW w:w="1880" w:type="dxa"/>
            <w:vAlign w:val="bottom"/>
          </w:tcPr>
          <w:p>
            <w:pPr>
              <w:spacing w:after="0"/>
              <w:rPr>
                <w:sz w:val="18"/>
                <w:szCs w:val="18"/>
                <w:color w:val="auto"/>
              </w:rPr>
            </w:pPr>
          </w:p>
        </w:tc>
        <w:tc>
          <w:tcPr>
            <w:tcW w:w="536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88"/>
              </w:rPr>
              <w:t>Philadelphia, PA 19102-2148</w:t>
            </w:r>
          </w:p>
        </w:tc>
      </w:tr>
      <w:tr>
        <w:trPr>
          <w:trHeight w:val="218"/>
        </w:trPr>
        <w:tc>
          <w:tcPr>
            <w:tcW w:w="1880" w:type="dxa"/>
            <w:vAlign w:val="bottom"/>
          </w:tcPr>
          <w:p>
            <w:pPr>
              <w:spacing w:after="0"/>
              <w:rPr>
                <w:sz w:val="18"/>
                <w:szCs w:val="18"/>
                <w:color w:val="auto"/>
              </w:rPr>
            </w:pPr>
          </w:p>
        </w:tc>
        <w:tc>
          <w:tcPr>
            <w:tcW w:w="2840" w:type="dxa"/>
            <w:vAlign w:val="bottom"/>
            <w:gridSpan w:val="2"/>
          </w:tcPr>
          <w:p>
            <w:pPr>
              <w:jc w:val="center"/>
              <w:ind w:left="778"/>
              <w:spacing w:after="0"/>
              <w:rPr>
                <w:sz w:val="20"/>
                <w:szCs w:val="20"/>
                <w:color w:val="auto"/>
              </w:rPr>
            </w:pPr>
            <w:r>
              <w:rPr>
                <w:rFonts w:ascii="Arial" w:cs="Arial" w:eastAsia="Arial" w:hAnsi="Arial"/>
                <w:sz w:val="18"/>
                <w:szCs w:val="18"/>
                <w:b w:val="1"/>
                <w:bCs w:val="1"/>
                <w:color w:val="auto"/>
                <w:w w:val="89"/>
              </w:rPr>
              <w:t>(215) 665-1700</w:t>
            </w:r>
          </w:p>
        </w:tc>
        <w:tc>
          <w:tcPr>
            <w:tcW w:w="2520" w:type="dxa"/>
            <w:vAlign w:val="bottom"/>
          </w:tcPr>
          <w:p>
            <w:pPr>
              <w:spacing w:after="0"/>
              <w:rPr>
                <w:sz w:val="18"/>
                <w:szCs w:val="18"/>
                <w:color w:val="auto"/>
              </w:rPr>
            </w:pPr>
          </w:p>
        </w:tc>
      </w:tr>
      <w:tr>
        <w:trPr>
          <w:trHeight w:val="174"/>
        </w:trPr>
        <w:tc>
          <w:tcPr>
            <w:tcW w:w="1880" w:type="dxa"/>
            <w:vAlign w:val="bottom"/>
          </w:tcPr>
          <w:p>
            <w:pPr>
              <w:spacing w:after="0"/>
              <w:rPr>
                <w:sz w:val="15"/>
                <w:szCs w:val="15"/>
                <w:color w:val="auto"/>
              </w:rPr>
            </w:pPr>
          </w:p>
        </w:tc>
        <w:tc>
          <w:tcPr>
            <w:tcW w:w="5360" w:type="dxa"/>
            <w:vAlign w:val="bottom"/>
            <w:gridSpan w:val="3"/>
          </w:tcPr>
          <w:p>
            <w:pPr>
              <w:jc w:val="center"/>
              <w:ind w:right="1572"/>
              <w:spacing w:after="0"/>
              <w:rPr>
                <w:sz w:val="20"/>
                <w:szCs w:val="20"/>
                <w:color w:val="auto"/>
              </w:rPr>
            </w:pPr>
            <w:r>
              <w:rPr>
                <w:rFonts w:ascii="Arial" w:cs="Arial" w:eastAsia="Arial" w:hAnsi="Arial"/>
                <w:sz w:val="14"/>
                <w:szCs w:val="14"/>
                <w:b w:val="1"/>
                <w:bCs w:val="1"/>
                <w:color w:val="auto"/>
                <w:w w:val="85"/>
              </w:rPr>
              <w:t>(Address of principal executive offices)</w:t>
            </w:r>
          </w:p>
        </w:tc>
      </w:tr>
      <w:tr>
        <w:trPr>
          <w:trHeight w:val="339"/>
        </w:trPr>
        <w:tc>
          <w:tcPr>
            <w:tcW w:w="7240" w:type="dxa"/>
            <w:vAlign w:val="bottom"/>
            <w:gridSpan w:val="4"/>
          </w:tcPr>
          <w:p>
            <w:pPr>
              <w:jc w:val="center"/>
              <w:ind w:left="142"/>
              <w:spacing w:after="0"/>
              <w:rPr>
                <w:sz w:val="20"/>
                <w:szCs w:val="20"/>
                <w:color w:val="auto"/>
              </w:rPr>
            </w:pPr>
            <w:r>
              <w:rPr>
                <w:rFonts w:ascii="Arial" w:cs="Arial" w:eastAsia="Arial" w:hAnsi="Arial"/>
                <w:sz w:val="18"/>
                <w:szCs w:val="18"/>
                <w:b w:val="1"/>
                <w:bCs w:val="1"/>
                <w:color w:val="auto"/>
                <w:w w:val="96"/>
              </w:rPr>
              <w:t>COMCAST CORPORATION 2002 EMPLOYEE STOCK PURCHASE PLAN</w:t>
            </w:r>
          </w:p>
        </w:tc>
      </w:tr>
      <w:tr>
        <w:trPr>
          <w:trHeight w:val="174"/>
        </w:trPr>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4"/>
                <w:szCs w:val="14"/>
                <w:b w:val="1"/>
                <w:bCs w:val="1"/>
                <w:color w:val="auto"/>
                <w:w w:val="88"/>
              </w:rPr>
              <w:t>(Full title of the plan)</w:t>
            </w:r>
          </w:p>
        </w:tc>
      </w:tr>
      <w:tr>
        <w:trPr>
          <w:trHeight w:val="337"/>
        </w:trPr>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92"/>
              </w:rPr>
              <w:t>Arthur R. Block</w:t>
            </w:r>
          </w:p>
        </w:tc>
      </w:tr>
      <w:tr>
        <w:trPr>
          <w:trHeight w:val="216"/>
        </w:trPr>
        <w:tc>
          <w:tcPr>
            <w:tcW w:w="1880" w:type="dxa"/>
            <w:vAlign w:val="bottom"/>
          </w:tcPr>
          <w:p>
            <w:pPr>
              <w:spacing w:after="0"/>
              <w:rPr>
                <w:sz w:val="18"/>
                <w:szCs w:val="18"/>
                <w:color w:val="auto"/>
              </w:rPr>
            </w:pPr>
          </w:p>
        </w:tc>
        <w:tc>
          <w:tcPr>
            <w:tcW w:w="5360" w:type="dxa"/>
            <w:vAlign w:val="bottom"/>
            <w:gridSpan w:val="3"/>
          </w:tcPr>
          <w:p>
            <w:pPr>
              <w:jc w:val="center"/>
              <w:ind w:right="1572"/>
              <w:spacing w:after="0"/>
              <w:rPr>
                <w:sz w:val="20"/>
                <w:szCs w:val="20"/>
                <w:color w:val="auto"/>
              </w:rPr>
            </w:pPr>
            <w:r>
              <w:rPr>
                <w:rFonts w:ascii="Arial" w:cs="Arial" w:eastAsia="Arial" w:hAnsi="Arial"/>
                <w:sz w:val="18"/>
                <w:szCs w:val="18"/>
                <w:b w:val="1"/>
                <w:bCs w:val="1"/>
                <w:color w:val="auto"/>
                <w:w w:val="87"/>
              </w:rPr>
              <w:t>Senior Vice President and General Counsel</w:t>
            </w:r>
          </w:p>
        </w:tc>
      </w:tr>
      <w:tr>
        <w:trPr>
          <w:trHeight w:val="216"/>
        </w:trPr>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89"/>
              </w:rPr>
              <w:t>Comcast Corporation</w:t>
            </w:r>
          </w:p>
        </w:tc>
      </w:tr>
      <w:tr>
        <w:trPr>
          <w:trHeight w:val="216"/>
        </w:trPr>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91"/>
              </w:rPr>
              <w:t>1500 Market Street</w:t>
            </w:r>
          </w:p>
        </w:tc>
      </w:tr>
      <w:tr>
        <w:trPr>
          <w:trHeight w:val="218"/>
        </w:trPr>
        <w:tc>
          <w:tcPr>
            <w:tcW w:w="1880" w:type="dxa"/>
            <w:vAlign w:val="bottom"/>
          </w:tcPr>
          <w:p>
            <w:pPr>
              <w:spacing w:after="0"/>
              <w:rPr>
                <w:sz w:val="18"/>
                <w:szCs w:val="18"/>
                <w:color w:val="auto"/>
              </w:rPr>
            </w:pPr>
          </w:p>
        </w:tc>
        <w:tc>
          <w:tcPr>
            <w:tcW w:w="5360" w:type="dxa"/>
            <w:vAlign w:val="bottom"/>
            <w:gridSpan w:val="3"/>
          </w:tcPr>
          <w:p>
            <w:pPr>
              <w:jc w:val="center"/>
              <w:ind w:right="1572"/>
              <w:spacing w:after="0"/>
              <w:rPr>
                <w:sz w:val="20"/>
                <w:szCs w:val="20"/>
                <w:color w:val="auto"/>
              </w:rPr>
            </w:pPr>
            <w:r>
              <w:rPr>
                <w:rFonts w:ascii="Arial" w:cs="Arial" w:eastAsia="Arial" w:hAnsi="Arial"/>
                <w:sz w:val="18"/>
                <w:szCs w:val="18"/>
                <w:b w:val="1"/>
                <w:bCs w:val="1"/>
                <w:color w:val="auto"/>
                <w:w w:val="87"/>
              </w:rPr>
              <w:t>Philadelphia, Pennsylvania 19102-2148</w:t>
            </w:r>
          </w:p>
        </w:tc>
      </w:tr>
      <w:tr>
        <w:trPr>
          <w:trHeight w:val="174"/>
        </w:trPr>
        <w:tc>
          <w:tcPr>
            <w:tcW w:w="1880" w:type="dxa"/>
            <w:vAlign w:val="bottom"/>
          </w:tcPr>
          <w:p>
            <w:pPr>
              <w:spacing w:after="0"/>
              <w:rPr>
                <w:sz w:val="15"/>
                <w:szCs w:val="15"/>
                <w:color w:val="auto"/>
              </w:rPr>
            </w:pPr>
          </w:p>
        </w:tc>
        <w:tc>
          <w:tcPr>
            <w:tcW w:w="5360" w:type="dxa"/>
            <w:vAlign w:val="bottom"/>
            <w:gridSpan w:val="3"/>
          </w:tcPr>
          <w:p>
            <w:pPr>
              <w:jc w:val="center"/>
              <w:ind w:right="1572"/>
              <w:spacing w:after="0"/>
              <w:rPr>
                <w:sz w:val="20"/>
                <w:szCs w:val="20"/>
                <w:color w:val="auto"/>
              </w:rPr>
            </w:pPr>
            <w:r>
              <w:rPr>
                <w:rFonts w:ascii="Arial" w:cs="Arial" w:eastAsia="Arial" w:hAnsi="Arial"/>
                <w:sz w:val="14"/>
                <w:szCs w:val="14"/>
                <w:b w:val="1"/>
                <w:bCs w:val="1"/>
                <w:color w:val="auto"/>
                <w:w w:val="85"/>
              </w:rPr>
              <w:t>(Name and address of agent for service)</w:t>
            </w:r>
          </w:p>
        </w:tc>
      </w:tr>
      <w:tr>
        <w:trPr>
          <w:trHeight w:val="339"/>
        </w:trPr>
        <w:tc>
          <w:tcPr>
            <w:tcW w:w="1880" w:type="dxa"/>
            <w:vAlign w:val="bottom"/>
          </w:tcPr>
          <w:p>
            <w:pPr>
              <w:spacing w:after="0"/>
              <w:rPr>
                <w:sz w:val="24"/>
                <w:szCs w:val="24"/>
                <w:color w:val="auto"/>
              </w:rPr>
            </w:pPr>
          </w:p>
        </w:tc>
        <w:tc>
          <w:tcPr>
            <w:tcW w:w="2840" w:type="dxa"/>
            <w:vAlign w:val="bottom"/>
            <w:gridSpan w:val="2"/>
          </w:tcPr>
          <w:p>
            <w:pPr>
              <w:jc w:val="center"/>
              <w:ind w:left="778"/>
              <w:spacing w:after="0"/>
              <w:rPr>
                <w:sz w:val="20"/>
                <w:szCs w:val="20"/>
                <w:color w:val="auto"/>
              </w:rPr>
            </w:pPr>
            <w:r>
              <w:rPr>
                <w:rFonts w:ascii="Arial" w:cs="Arial" w:eastAsia="Arial" w:hAnsi="Arial"/>
                <w:sz w:val="18"/>
                <w:szCs w:val="18"/>
                <w:b w:val="1"/>
                <w:bCs w:val="1"/>
                <w:color w:val="auto"/>
                <w:w w:val="89"/>
              </w:rPr>
              <w:t>(215) 665-1700</w:t>
            </w:r>
          </w:p>
        </w:tc>
        <w:tc>
          <w:tcPr>
            <w:tcW w:w="2520" w:type="dxa"/>
            <w:vAlign w:val="bottom"/>
          </w:tcPr>
          <w:p>
            <w:pPr>
              <w:spacing w:after="0"/>
              <w:rPr>
                <w:sz w:val="24"/>
                <w:szCs w:val="24"/>
                <w:color w:val="auto"/>
              </w:rPr>
            </w:pPr>
          </w:p>
        </w:tc>
      </w:tr>
      <w:tr>
        <w:trPr>
          <w:trHeight w:val="174"/>
        </w:trPr>
        <w:tc>
          <w:tcPr>
            <w:tcW w:w="1880" w:type="dxa"/>
            <w:vAlign w:val="bottom"/>
          </w:tcPr>
          <w:p>
            <w:pPr>
              <w:spacing w:after="0"/>
              <w:rPr>
                <w:sz w:val="15"/>
                <w:szCs w:val="15"/>
                <w:color w:val="auto"/>
              </w:rPr>
            </w:pPr>
          </w:p>
        </w:tc>
        <w:tc>
          <w:tcPr>
            <w:tcW w:w="5360" w:type="dxa"/>
            <w:vAlign w:val="bottom"/>
            <w:gridSpan w:val="3"/>
          </w:tcPr>
          <w:p>
            <w:pPr>
              <w:jc w:val="center"/>
              <w:ind w:right="1572"/>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r>
      <w:tr>
        <w:trPr>
          <w:trHeight w:val="163"/>
        </w:trPr>
        <w:tc>
          <w:tcPr>
            <w:tcW w:w="1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520" w:type="dxa"/>
            <w:vAlign w:val="bottom"/>
          </w:tcPr>
          <w:p>
            <w:pPr>
              <w:spacing w:after="0"/>
              <w:rPr>
                <w:sz w:val="14"/>
                <w:szCs w:val="14"/>
                <w:color w:val="auto"/>
              </w:rPr>
            </w:pPr>
          </w:p>
        </w:tc>
      </w:tr>
      <w:tr>
        <w:trPr>
          <w:trHeight w:val="383"/>
        </w:trPr>
        <w:tc>
          <w:tcPr>
            <w:tcW w:w="1880" w:type="dxa"/>
            <w:vAlign w:val="bottom"/>
          </w:tcPr>
          <w:p>
            <w:pPr>
              <w:spacing w:after="0"/>
              <w:rPr>
                <w:sz w:val="24"/>
                <w:szCs w:val="24"/>
                <w:color w:val="auto"/>
              </w:rPr>
            </w:pPr>
          </w:p>
        </w:tc>
        <w:tc>
          <w:tcPr>
            <w:tcW w:w="536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99"/>
              </w:rPr>
              <w:t>CALCULATION OF REGISTRATION FEE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0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06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4800" w:type="dxa"/>
            <w:vAlign w:val="bottom"/>
          </w:tcPr>
          <w:p>
            <w:pPr>
              <w:jc w:val="center"/>
              <w:ind w:left="646"/>
              <w:spacing w:after="0" w:line="149" w:lineRule="exact"/>
              <w:rPr>
                <w:sz w:val="20"/>
                <w:szCs w:val="20"/>
                <w:color w:val="auto"/>
              </w:rPr>
            </w:pPr>
            <w:r>
              <w:rPr>
                <w:rFonts w:ascii="Arial" w:cs="Arial" w:eastAsia="Arial" w:hAnsi="Arial"/>
                <w:sz w:val="14"/>
                <w:szCs w:val="14"/>
                <w:b w:val="1"/>
                <w:bCs w:val="1"/>
                <w:color w:val="auto"/>
                <w:w w:val="86"/>
              </w:rPr>
              <w:t>Title of securities</w:t>
            </w:r>
          </w:p>
        </w:tc>
        <w:tc>
          <w:tcPr>
            <w:tcW w:w="246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Amount to be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060" w:type="dxa"/>
            <w:vAlign w:val="bottom"/>
          </w:tcPr>
          <w:p>
            <w:pPr>
              <w:jc w:val="center"/>
              <w:ind w:left="18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4800" w:type="dxa"/>
            <w:vAlign w:val="bottom"/>
            <w:tcBorders>
              <w:bottom w:val="single" w:sz="8" w:color="auto"/>
            </w:tcBorders>
          </w:tcPr>
          <w:p>
            <w:pPr>
              <w:jc w:val="center"/>
              <w:ind w:left="646"/>
              <w:spacing w:after="0"/>
              <w:rPr>
                <w:sz w:val="20"/>
                <w:szCs w:val="20"/>
                <w:color w:val="auto"/>
              </w:rPr>
            </w:pPr>
            <w:r>
              <w:rPr>
                <w:rFonts w:ascii="Arial" w:cs="Arial" w:eastAsia="Arial" w:hAnsi="Arial"/>
                <w:sz w:val="14"/>
                <w:szCs w:val="14"/>
                <w:b w:val="1"/>
                <w:bCs w:val="1"/>
                <w:color w:val="auto"/>
                <w:w w:val="83"/>
              </w:rPr>
              <w:t>to be registered</w:t>
            </w:r>
          </w:p>
        </w:tc>
        <w:tc>
          <w:tcPr>
            <w:tcW w:w="2460" w:type="dxa"/>
            <w:vAlign w:val="bottom"/>
            <w:tcBorders>
              <w:bottom w:val="single" w:sz="8" w:color="auto"/>
            </w:tcBorders>
          </w:tcPr>
          <w:p>
            <w:pPr>
              <w:jc w:val="center"/>
              <w:ind w:left="946"/>
              <w:spacing w:after="0"/>
              <w:rPr>
                <w:sz w:val="20"/>
                <w:szCs w:val="20"/>
                <w:color w:val="auto"/>
              </w:rPr>
            </w:pPr>
            <w:r>
              <w:rPr>
                <w:rFonts w:ascii="Arial" w:cs="Arial" w:eastAsia="Arial" w:hAnsi="Arial"/>
                <w:sz w:val="14"/>
                <w:szCs w:val="14"/>
                <w:b w:val="1"/>
                <w:bCs w:val="1"/>
                <w:color w:val="auto"/>
                <w:w w:val="86"/>
              </w:rPr>
              <w:t>registered(1) (2)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 unit(1)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price(3)</w:t>
            </w:r>
          </w:p>
        </w:tc>
        <w:tc>
          <w:tcPr>
            <w:tcW w:w="1060" w:type="dxa"/>
            <w:vAlign w:val="bottom"/>
            <w:tcBorders>
              <w:bottom w:val="single" w:sz="8" w:color="auto"/>
            </w:tcBorders>
          </w:tcPr>
          <w:p>
            <w:pPr>
              <w:jc w:val="center"/>
              <w:ind w:left="187"/>
              <w:spacing w:after="0"/>
              <w:rPr>
                <w:sz w:val="20"/>
                <w:szCs w:val="20"/>
                <w:color w:val="auto"/>
              </w:rPr>
            </w:pPr>
            <w:r>
              <w:rPr>
                <w:rFonts w:ascii="Arial" w:cs="Arial" w:eastAsia="Arial" w:hAnsi="Arial"/>
                <w:sz w:val="14"/>
                <w:szCs w:val="14"/>
                <w:b w:val="1"/>
                <w:bCs w:val="1"/>
                <w:color w:val="auto"/>
                <w:w w:val="85"/>
              </w:rPr>
              <w:t>fee(3)</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Class A Common Stock, par value $0.01 per share</w:t>
            </w:r>
          </w:p>
        </w:tc>
        <w:tc>
          <w:tcPr>
            <w:tcW w:w="2460" w:type="dxa"/>
            <w:vAlign w:val="bottom"/>
          </w:tcPr>
          <w:p>
            <w:pPr>
              <w:jc w:val="right"/>
              <w:ind w:right="306"/>
              <w:spacing w:after="0"/>
              <w:rPr>
                <w:sz w:val="20"/>
                <w:szCs w:val="20"/>
                <w:color w:val="auto"/>
              </w:rPr>
            </w:pPr>
            <w:r>
              <w:rPr>
                <w:rFonts w:ascii="Arial" w:cs="Arial" w:eastAsia="Arial" w:hAnsi="Arial"/>
                <w:sz w:val="18"/>
                <w:szCs w:val="18"/>
                <w:color w:val="auto"/>
              </w:rPr>
              <w:t>6,000,000</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$25.98</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$155,880,000.00</w:t>
            </w:r>
          </w:p>
        </w:tc>
        <w:tc>
          <w:tcPr>
            <w:tcW w:w="1060" w:type="dxa"/>
            <w:vAlign w:val="bottom"/>
          </w:tcPr>
          <w:p>
            <w:pPr>
              <w:jc w:val="right"/>
              <w:spacing w:after="0"/>
              <w:rPr>
                <w:sz w:val="20"/>
                <w:szCs w:val="20"/>
                <w:color w:val="auto"/>
              </w:rPr>
            </w:pPr>
            <w:r>
              <w:rPr>
                <w:rFonts w:ascii="Arial" w:cs="Arial" w:eastAsia="Arial" w:hAnsi="Arial"/>
                <w:sz w:val="18"/>
                <w:szCs w:val="18"/>
                <w:color w:val="auto"/>
              </w:rPr>
              <w:t>$16,679.16</w:t>
            </w:r>
          </w:p>
        </w:tc>
      </w:tr>
      <w:tr>
        <w:trPr>
          <w:trHeight w:val="125"/>
        </w:trPr>
        <w:tc>
          <w:tcPr>
            <w:tcW w:w="2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4"/>
          <w:szCs w:val="24"/>
          <w:color w:val="auto"/>
        </w:rPr>
      </w:pPr>
    </w:p>
    <w:p>
      <w:pPr>
        <w:jc w:val="both"/>
        <w:ind w:left="460" w:right="10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(the “Registration Statement”) registers the issuance of 6,000,000 shares of the Class A Common Stock (the “Common Stock”) of Comcast Corporation (the “Registrant”), par value $0.01, which are issuable pursuant to the Comcast Corporation 2002 Employee Stock Purchase Plan, as amended and restated (the “2002 Plan”).</w:t>
      </w:r>
    </w:p>
    <w:p>
      <w:pPr>
        <w:spacing w:after="0" w:line="45" w:lineRule="exact"/>
        <w:rPr>
          <w:rFonts w:ascii="Arial" w:cs="Arial" w:eastAsia="Arial" w:hAnsi="Arial"/>
          <w:sz w:val="18"/>
          <w:szCs w:val="18"/>
          <w:color w:val="auto"/>
        </w:rPr>
      </w:pPr>
    </w:p>
    <w:p>
      <w:pPr>
        <w:ind w:left="460" w:right="32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shares as may result from anti-dilution adjustments under the Plan and which may hereinafter be offered or issued to prevent dilution resulting from stock splits, stock dividends, recapitalizations or certain other capital adjustments.</w:t>
      </w:r>
    </w:p>
    <w:p>
      <w:pPr>
        <w:spacing w:after="0" w:line="45"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paragraphs (c) and (h) of Rule 457 of the Securities Act of 1933, as amended, solely for the purpose of calculating the registration fee on the basis of the high and low sales prices of shares of Class A Common Stock on the Nasdaq National Market on December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General Instruction E of Form S-8, this registration statement on Form S-8 (the “Registration Statement”) is being filed in order to register an additional 6,000,000 shares of the Registrant’s Class A Common Stock, par value $0.01 per share, which are securities of the same class and relate to the same employee benefit plan, the Comcast Corporation 2002 Employee Stock Purchase Plan, as amended and restated, as those shares registered in the Registrant’s registration statements on Form S-8 and Form S-8 POS, previously filed with the Commission on November 19, 2002, December 4, 2002 (Registration No. 333-101295) and December 4, 2002 (Registration No. 333-101645), which are hereby incorporated by reference.</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164"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8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8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 5.1).</w:t>
      </w:r>
    </w:p>
    <w:p>
      <w:pPr>
        <w:spacing w:after="0" w:line="117" w:lineRule="exact"/>
        <w:rPr>
          <w:sz w:val="20"/>
          <w:szCs w:val="20"/>
          <w:color w:val="auto"/>
        </w:rPr>
      </w:pPr>
    </w:p>
    <w:p>
      <w:pPr>
        <w:ind w:left="48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Commonwealth of Pennsylvania, on December 30, 2005.</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Arthur R. Block</w:t>
            </w:r>
          </w:p>
        </w:tc>
      </w:tr>
      <w:tr>
        <w:trPr>
          <w:trHeight w:val="145"/>
        </w:trPr>
        <w:tc>
          <w:tcPr>
            <w:tcW w:w="460" w:type="dxa"/>
            <w:vAlign w:val="bottom"/>
          </w:tcPr>
          <w:p>
            <w:pPr>
              <w:spacing w:after="0" w:line="145" w:lineRule="exact"/>
              <w:rPr>
                <w:sz w:val="20"/>
                <w:szCs w:val="20"/>
                <w:color w:val="auto"/>
              </w:rPr>
            </w:pPr>
            <w:r>
              <w:rPr>
                <w:rFonts w:ascii="Arial" w:cs="Arial" w:eastAsia="Arial" w:hAnsi="Arial"/>
                <w:sz w:val="16"/>
                <w:szCs w:val="16"/>
                <w:color w:val="auto"/>
                <w:w w:val="93"/>
              </w:rPr>
              <w:t>Name:</w:t>
            </w:r>
          </w:p>
        </w:tc>
        <w:tc>
          <w:tcPr>
            <w:tcW w:w="4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Arthur R. Block, Senior Vice President, General Counsel and</w:t>
            </w:r>
          </w:p>
        </w:tc>
      </w:tr>
      <w:tr>
        <w:trPr>
          <w:trHeight w:val="174"/>
        </w:trPr>
        <w:tc>
          <w:tcPr>
            <w:tcW w:w="4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7"/>
              </w:rPr>
              <w:t>Secretary</w:t>
            </w: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each of David L. Cohen, Lawrence S. Smith, Arthur R. Block and Lawrence J. Salva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either of them, or their or his substitute or substitutes, may lawfully do or cause to be done by virtue hereof.</w:t>
      </w:r>
    </w:p>
    <w:p>
      <w:pPr>
        <w:spacing w:after="0" w:line="1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14" w:lineRule="exact"/>
        <w:rPr>
          <w:sz w:val="20"/>
          <w:szCs w:val="20"/>
          <w:color w:val="auto"/>
        </w:rPr>
      </w:pPr>
    </w:p>
    <w:p>
      <w:pPr>
        <w:ind w:left="2120"/>
        <w:spacing w:after="0"/>
        <w:tabs>
          <w:tab w:leader="none" w:pos="7000" w:val="left"/>
          <w:tab w:leader="none" w:pos="103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68580</wp:posOffset>
            </wp:positionV>
            <wp:extent cx="660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68580</wp:posOffset>
            </wp:positionV>
            <wp:extent cx="411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68580</wp:posOffset>
            </wp:positionV>
            <wp:extent cx="420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jc w:val="center"/>
              <w:spacing w:after="0"/>
              <w:rPr>
                <w:sz w:val="20"/>
                <w:szCs w:val="20"/>
                <w:color w:val="auto"/>
              </w:rPr>
            </w:pPr>
            <w:r>
              <w:rPr>
                <w:rFonts w:ascii="Arial" w:cs="Arial" w:eastAsia="Arial" w:hAnsi="Arial"/>
                <w:sz w:val="18"/>
                <w:szCs w:val="18"/>
                <w:color w:val="auto"/>
                <w:w w:val="87"/>
              </w:rPr>
              <w:t>/s/ Ralph J. Roberts</w:t>
            </w:r>
          </w:p>
        </w:tc>
        <w:tc>
          <w:tcPr>
            <w:tcW w:w="4300" w:type="dxa"/>
            <w:vAlign w:val="bottom"/>
          </w:tcPr>
          <w:p>
            <w:pPr>
              <w:ind w:left="240"/>
              <w:spacing w:after="0"/>
              <w:rPr>
                <w:sz w:val="20"/>
                <w:szCs w:val="20"/>
                <w:color w:val="auto"/>
              </w:rPr>
            </w:pPr>
            <w:r>
              <w:rPr>
                <w:rFonts w:ascii="Arial" w:cs="Arial" w:eastAsia="Arial" w:hAnsi="Arial"/>
                <w:sz w:val="18"/>
                <w:szCs w:val="18"/>
                <w:color w:val="auto"/>
              </w:rPr>
              <w:t>Chairman of the Executive and Finance</w:t>
            </w:r>
          </w:p>
        </w:tc>
        <w:tc>
          <w:tcPr>
            <w:tcW w:w="1920" w:type="dxa"/>
            <w:vAlign w:val="bottom"/>
          </w:tcPr>
          <w:p>
            <w:pPr>
              <w:ind w:left="80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300" w:type="dxa"/>
            <w:vAlign w:val="bottom"/>
            <w:vMerge w:val="restart"/>
          </w:tcPr>
          <w:p>
            <w:pPr>
              <w:ind w:left="240"/>
              <w:spacing w:after="0"/>
              <w:rPr>
                <w:sz w:val="20"/>
                <w:szCs w:val="20"/>
                <w:color w:val="auto"/>
              </w:rPr>
            </w:pPr>
            <w:r>
              <w:rPr>
                <w:rFonts w:ascii="Arial" w:cs="Arial" w:eastAsia="Arial" w:hAnsi="Arial"/>
                <w:sz w:val="18"/>
                <w:szCs w:val="18"/>
                <w:color w:val="auto"/>
              </w:rPr>
              <w:t>Committee of the Board of Directors; Director</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Ralph J. Roberts</w:t>
            </w:r>
          </w:p>
        </w:tc>
        <w:tc>
          <w:tcPr>
            <w:tcW w:w="430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4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Brian L. Roberts</w:t>
            </w:r>
          </w:p>
        </w:tc>
        <w:tc>
          <w:tcPr>
            <w:tcW w:w="4300" w:type="dxa"/>
            <w:vAlign w:val="bottom"/>
          </w:tcPr>
          <w:p>
            <w:pPr>
              <w:ind w:left="240"/>
              <w:spacing w:after="0"/>
              <w:rPr>
                <w:sz w:val="20"/>
                <w:szCs w:val="20"/>
                <w:color w:val="auto"/>
              </w:rPr>
            </w:pPr>
            <w:r>
              <w:rPr>
                <w:rFonts w:ascii="Arial" w:cs="Arial" w:eastAsia="Arial" w:hAnsi="Arial"/>
                <w:sz w:val="18"/>
                <w:szCs w:val="18"/>
                <w:color w:val="auto"/>
              </w:rPr>
              <w:t>Chairman of the Board, President and Chief</w:t>
            </w:r>
          </w:p>
        </w:tc>
        <w:tc>
          <w:tcPr>
            <w:tcW w:w="1920" w:type="dxa"/>
            <w:vAlign w:val="bottom"/>
          </w:tcPr>
          <w:p>
            <w:pPr>
              <w:ind w:left="80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300" w:type="dxa"/>
            <w:vAlign w:val="bottom"/>
            <w:vMerge w:val="restart"/>
          </w:tcPr>
          <w:p>
            <w:pPr>
              <w:ind w:left="240"/>
              <w:spacing w:after="0"/>
              <w:rPr>
                <w:sz w:val="20"/>
                <w:szCs w:val="20"/>
                <w:color w:val="auto"/>
              </w:rPr>
            </w:pPr>
            <w:r>
              <w:rPr>
                <w:rFonts w:ascii="Arial" w:cs="Arial" w:eastAsia="Arial" w:hAnsi="Arial"/>
                <w:sz w:val="18"/>
                <w:szCs w:val="18"/>
                <w:color w:val="auto"/>
              </w:rPr>
              <w:t>Executive Officer; Director (Principal</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Brian L. Roberts</w:t>
            </w:r>
          </w:p>
        </w:tc>
        <w:tc>
          <w:tcPr>
            <w:tcW w:w="4300" w:type="dxa"/>
            <w:vAlign w:val="bottom"/>
          </w:tcPr>
          <w:p>
            <w:pPr>
              <w:ind w:left="240"/>
              <w:spacing w:after="0"/>
              <w:rPr>
                <w:sz w:val="20"/>
                <w:szCs w:val="20"/>
                <w:color w:val="auto"/>
              </w:rPr>
            </w:pPr>
            <w:r>
              <w:rPr>
                <w:rFonts w:ascii="Arial" w:cs="Arial" w:eastAsia="Arial" w:hAnsi="Arial"/>
                <w:sz w:val="18"/>
                <w:szCs w:val="18"/>
                <w:color w:val="auto"/>
              </w:rPr>
              <w:t>Executive Officer)</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John R. Alchin</w:t>
            </w:r>
          </w:p>
        </w:tc>
        <w:tc>
          <w:tcPr>
            <w:tcW w:w="4300" w:type="dxa"/>
            <w:vAlign w:val="bottom"/>
          </w:tcPr>
          <w:p>
            <w:pPr>
              <w:ind w:left="240"/>
              <w:spacing w:after="0"/>
              <w:rPr>
                <w:sz w:val="20"/>
                <w:szCs w:val="20"/>
                <w:color w:val="auto"/>
              </w:rPr>
            </w:pPr>
            <w:r>
              <w:rPr>
                <w:rFonts w:ascii="Arial" w:cs="Arial" w:eastAsia="Arial" w:hAnsi="Arial"/>
                <w:sz w:val="18"/>
                <w:szCs w:val="18"/>
                <w:color w:val="auto"/>
              </w:rPr>
              <w:t>Executive Vice President, Co-Chief Financial</w:t>
            </w:r>
          </w:p>
        </w:tc>
        <w:tc>
          <w:tcPr>
            <w:tcW w:w="1920" w:type="dxa"/>
            <w:vAlign w:val="bottom"/>
          </w:tcPr>
          <w:p>
            <w:pPr>
              <w:ind w:left="80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300" w:type="dxa"/>
            <w:vAlign w:val="bottom"/>
            <w:vMerge w:val="restart"/>
          </w:tcPr>
          <w:p>
            <w:pPr>
              <w:ind w:left="240"/>
              <w:spacing w:after="0"/>
              <w:rPr>
                <w:sz w:val="20"/>
                <w:szCs w:val="20"/>
                <w:color w:val="auto"/>
              </w:rPr>
            </w:pPr>
            <w:r>
              <w:rPr>
                <w:rFonts w:ascii="Arial" w:cs="Arial" w:eastAsia="Arial" w:hAnsi="Arial"/>
                <w:sz w:val="18"/>
                <w:szCs w:val="18"/>
                <w:color w:val="auto"/>
              </w:rPr>
              <w:t>Officer and Treasurer (Co-Principal Financial</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John R. Alchin</w:t>
            </w:r>
          </w:p>
        </w:tc>
        <w:tc>
          <w:tcPr>
            <w:tcW w:w="4300" w:type="dxa"/>
            <w:vAlign w:val="bottom"/>
          </w:tcPr>
          <w:p>
            <w:pPr>
              <w:ind w:left="240"/>
              <w:spacing w:after="0"/>
              <w:rPr>
                <w:sz w:val="20"/>
                <w:szCs w:val="20"/>
                <w:color w:val="auto"/>
              </w:rPr>
            </w:pPr>
            <w:r>
              <w:rPr>
                <w:rFonts w:ascii="Arial" w:cs="Arial" w:eastAsia="Arial" w:hAnsi="Arial"/>
                <w:sz w:val="18"/>
                <w:szCs w:val="18"/>
                <w:color w:val="auto"/>
              </w:rPr>
              <w:t>Officer)</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800" w:type="dxa"/>
            <w:vAlign w:val="bottom"/>
          </w:tcPr>
          <w:p>
            <w:pPr>
              <w:spacing w:after="0"/>
              <w:rPr>
                <w:sz w:val="24"/>
                <w:szCs w:val="24"/>
                <w:color w:val="auto"/>
              </w:rPr>
            </w:pPr>
          </w:p>
        </w:tc>
        <w:tc>
          <w:tcPr>
            <w:tcW w:w="4300" w:type="dxa"/>
            <w:vAlign w:val="bottom"/>
          </w:tcPr>
          <w:p>
            <w:pPr>
              <w:ind w:left="820"/>
              <w:spacing w:after="0"/>
              <w:rPr>
                <w:sz w:val="20"/>
                <w:szCs w:val="20"/>
                <w:color w:val="auto"/>
              </w:rPr>
            </w:pPr>
            <w:r>
              <w:rPr>
                <w:rFonts w:ascii="Arial" w:cs="Arial" w:eastAsia="Arial" w:hAnsi="Arial"/>
                <w:sz w:val="18"/>
                <w:szCs w:val="18"/>
                <w:color w:val="auto"/>
              </w:rPr>
              <w:t>-2-</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ind w:left="2120"/>
        <w:spacing w:after="0"/>
        <w:tabs>
          <w:tab w:leader="none" w:pos="7000" w:val="left"/>
          <w:tab w:leader="none" w:pos="1030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68580</wp:posOffset>
            </wp:positionV>
            <wp:extent cx="660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68580</wp:posOffset>
            </wp:positionV>
            <wp:extent cx="411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68580</wp:posOffset>
            </wp:positionV>
            <wp:extent cx="4203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 Lawrence S. Smith</w:t>
            </w:r>
          </w:p>
        </w:tc>
        <w:tc>
          <w:tcPr>
            <w:tcW w:w="4240" w:type="dxa"/>
            <w:vAlign w:val="bottom"/>
          </w:tcPr>
          <w:p>
            <w:pPr>
              <w:ind w:left="240"/>
              <w:spacing w:after="0"/>
              <w:rPr>
                <w:sz w:val="20"/>
                <w:szCs w:val="20"/>
                <w:color w:val="auto"/>
              </w:rPr>
            </w:pPr>
            <w:r>
              <w:rPr>
                <w:rFonts w:ascii="Arial" w:cs="Arial" w:eastAsia="Arial" w:hAnsi="Arial"/>
                <w:sz w:val="18"/>
                <w:szCs w:val="18"/>
                <w:color w:val="auto"/>
              </w:rPr>
              <w:t>Executive Vice President and Co-Chief</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240" w:type="dxa"/>
            <w:vAlign w:val="bottom"/>
            <w:vMerge w:val="restart"/>
          </w:tcPr>
          <w:p>
            <w:pPr>
              <w:ind w:left="240"/>
              <w:spacing w:after="0"/>
              <w:rPr>
                <w:sz w:val="20"/>
                <w:szCs w:val="20"/>
                <w:color w:val="auto"/>
              </w:rPr>
            </w:pPr>
            <w:r>
              <w:rPr>
                <w:rFonts w:ascii="Arial" w:cs="Arial" w:eastAsia="Arial" w:hAnsi="Arial"/>
                <w:sz w:val="18"/>
                <w:szCs w:val="18"/>
                <w:color w:val="auto"/>
              </w:rPr>
              <w:t>Financial Officer (Co-Principal Financial</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4240" w:type="dxa"/>
            <w:vAlign w:val="bottom"/>
            <w:vMerge w:val="continue"/>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6"/>
              </w:rPr>
              <w:t>Lawrence S. Smith</w:t>
            </w:r>
          </w:p>
        </w:tc>
        <w:tc>
          <w:tcPr>
            <w:tcW w:w="4240" w:type="dxa"/>
            <w:vAlign w:val="bottom"/>
          </w:tcPr>
          <w:p>
            <w:pPr>
              <w:ind w:left="240"/>
              <w:spacing w:after="0"/>
              <w:rPr>
                <w:sz w:val="20"/>
                <w:szCs w:val="20"/>
                <w:color w:val="auto"/>
              </w:rPr>
            </w:pPr>
            <w:r>
              <w:rPr>
                <w:rFonts w:ascii="Arial" w:cs="Arial" w:eastAsia="Arial" w:hAnsi="Arial"/>
                <w:sz w:val="18"/>
                <w:szCs w:val="18"/>
                <w:color w:val="auto"/>
              </w:rPr>
              <w:t>Officer)</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800" w:type="dxa"/>
            <w:vAlign w:val="bottom"/>
          </w:tcPr>
          <w:p>
            <w:pPr>
              <w:spacing w:after="0"/>
              <w:rPr>
                <w:sz w:val="20"/>
                <w:szCs w:val="20"/>
                <w:color w:val="auto"/>
              </w:rPr>
            </w:pPr>
            <w:r>
              <w:rPr>
                <w:rFonts w:ascii="Arial" w:cs="Arial" w:eastAsia="Arial" w:hAnsi="Arial"/>
                <w:sz w:val="18"/>
                <w:szCs w:val="18"/>
                <w:color w:val="auto"/>
              </w:rPr>
              <w:t>/s/ Lawrence J. Salva</w:t>
            </w:r>
          </w:p>
        </w:tc>
        <w:tc>
          <w:tcPr>
            <w:tcW w:w="4240" w:type="dxa"/>
            <w:vAlign w:val="bottom"/>
          </w:tcPr>
          <w:p>
            <w:pPr>
              <w:ind w:left="240"/>
              <w:spacing w:after="0"/>
              <w:rPr>
                <w:sz w:val="20"/>
                <w:szCs w:val="20"/>
                <w:color w:val="auto"/>
              </w:rPr>
            </w:pPr>
            <w:r>
              <w:rPr>
                <w:rFonts w:ascii="Arial" w:cs="Arial" w:eastAsia="Arial" w:hAnsi="Arial"/>
                <w:sz w:val="18"/>
                <w:szCs w:val="18"/>
                <w:color w:val="auto"/>
              </w:rPr>
              <w:t>Senior Vice President, Chief Accounting</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240" w:type="dxa"/>
            <w:vAlign w:val="bottom"/>
            <w:vMerge w:val="restart"/>
          </w:tcPr>
          <w:p>
            <w:pPr>
              <w:ind w:left="240"/>
              <w:spacing w:after="0"/>
              <w:rPr>
                <w:sz w:val="20"/>
                <w:szCs w:val="20"/>
                <w:color w:val="auto"/>
              </w:rPr>
            </w:pPr>
            <w:r>
              <w:rPr>
                <w:rFonts w:ascii="Arial" w:cs="Arial" w:eastAsia="Arial" w:hAnsi="Arial"/>
                <w:sz w:val="18"/>
                <w:szCs w:val="18"/>
                <w:color w:val="auto"/>
              </w:rPr>
              <w:t>Officer and Controller (Principal Accounting</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4240" w:type="dxa"/>
            <w:vAlign w:val="bottom"/>
            <w:vMerge w:val="continue"/>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Lawrence J. Salva</w:t>
            </w:r>
          </w:p>
        </w:tc>
        <w:tc>
          <w:tcPr>
            <w:tcW w:w="4240" w:type="dxa"/>
            <w:vAlign w:val="bottom"/>
          </w:tcPr>
          <w:p>
            <w:pPr>
              <w:ind w:left="240"/>
              <w:spacing w:after="0"/>
              <w:rPr>
                <w:sz w:val="20"/>
                <w:szCs w:val="20"/>
                <w:color w:val="auto"/>
              </w:rPr>
            </w:pPr>
            <w:r>
              <w:rPr>
                <w:rFonts w:ascii="Arial" w:cs="Arial" w:eastAsia="Arial" w:hAnsi="Arial"/>
                <w:sz w:val="18"/>
                <w:szCs w:val="18"/>
                <w:color w:val="auto"/>
              </w:rPr>
              <w:t>Officer)</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S. Decker Anstrom</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S. Decker Anstrom</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Kenneth J. Bacon</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6"/>
              </w:rPr>
              <w:t>Kenneth J. Bacon</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Sheldon M. Bonovitz</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Sheldon M. Bonovitz</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Edward Breen</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Edward Breen</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Julian A. Brodsky</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Julian A. Brodsky</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Joseph J. Collins</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5"/>
              </w:rPr>
              <w:t>Joseph J. Collins</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J. Michael Cook</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8"/>
              </w:rPr>
              <w:t>J. Michael Cook</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Dr. Judith Rodin</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Dr. Judith Rodin</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Michael I. Sovern</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Michael I. Sovern</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4800" w:type="dxa"/>
            <w:vAlign w:val="bottom"/>
            <w:tcBorders>
              <w:bottom w:val="single" w:sz="8" w:color="auto"/>
            </w:tcBorders>
          </w:tcPr>
          <w:p>
            <w:pPr>
              <w:spacing w:after="0"/>
              <w:rPr>
                <w:sz w:val="24"/>
                <w:szCs w:val="24"/>
                <w:color w:val="auto"/>
              </w:rPr>
            </w:pPr>
          </w:p>
        </w:tc>
        <w:tc>
          <w:tcPr>
            <w:tcW w:w="4240" w:type="dxa"/>
            <w:vAlign w:val="bottom"/>
            <w:vMerge w:val="restart"/>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Jeffrey A. Honickman</w:t>
            </w:r>
          </w:p>
        </w:tc>
        <w:tc>
          <w:tcPr>
            <w:tcW w:w="424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4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800" w:type="dxa"/>
            <w:vAlign w:val="bottom"/>
          </w:tcPr>
          <w:p>
            <w:pPr>
              <w:spacing w:after="0"/>
              <w:rPr>
                <w:sz w:val="24"/>
                <w:szCs w:val="24"/>
                <w:color w:val="auto"/>
              </w:rPr>
            </w:pPr>
          </w:p>
        </w:tc>
        <w:tc>
          <w:tcPr>
            <w:tcW w:w="4240" w:type="dxa"/>
            <w:vAlign w:val="bottom"/>
          </w:tcPr>
          <w:p>
            <w:pPr>
              <w:ind w:left="820"/>
              <w:spacing w:after="0"/>
              <w:rPr>
                <w:sz w:val="20"/>
                <w:szCs w:val="20"/>
                <w:color w:val="auto"/>
              </w:rPr>
            </w:pPr>
            <w:r>
              <w:rPr>
                <w:rFonts w:ascii="Arial" w:cs="Arial" w:eastAsia="Arial" w:hAnsi="Arial"/>
                <w:sz w:val="18"/>
                <w:szCs w:val="18"/>
                <w:color w:val="auto"/>
              </w:rPr>
              <w:t>-3-</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275" w:right="6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140" w:type="dxa"/>
            <w:vAlign w:val="bottom"/>
          </w:tcPr>
          <w:p>
            <w:pPr>
              <w:ind w:left="2840"/>
              <w:spacing w:after="0"/>
              <w:rPr>
                <w:sz w:val="20"/>
                <w:szCs w:val="20"/>
                <w:color w:val="auto"/>
              </w:rPr>
            </w:pPr>
            <w:r>
              <w:rPr>
                <w:rFonts w:ascii="Arial" w:cs="Arial" w:eastAsia="Arial" w:hAnsi="Arial"/>
                <w:sz w:val="18"/>
                <w:szCs w:val="18"/>
                <w:color w:val="auto"/>
                <w:w w:val="98"/>
              </w:rPr>
              <w:t>EXHIBIT INDEX</w:t>
            </w:r>
          </w:p>
        </w:tc>
      </w:tr>
      <w:tr>
        <w:trPr>
          <w:trHeight w:val="286"/>
        </w:trPr>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174"/>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r>
      <w:tr>
        <w:trPr>
          <w:trHeight w:val="316"/>
        </w:trPr>
        <w:tc>
          <w:tcPr>
            <w:tcW w:w="44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58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440" w:type="dxa"/>
            <w:vAlign w:val="bottom"/>
            <w:gridSpan w:val="2"/>
          </w:tcPr>
          <w:p>
            <w:pPr>
              <w:jc w:val="center"/>
              <w:spacing w:after="0"/>
              <w:rPr>
                <w:sz w:val="20"/>
                <w:szCs w:val="20"/>
                <w:color w:val="auto"/>
              </w:rPr>
            </w:pPr>
            <w:r>
              <w:rPr>
                <w:rFonts w:ascii="Arial" w:cs="Arial" w:eastAsia="Arial" w:hAnsi="Arial"/>
                <w:sz w:val="18"/>
                <w:szCs w:val="18"/>
                <w:color w:val="auto"/>
                <w:w w:val="85"/>
              </w:rPr>
              <w:t>23.1</w:t>
            </w:r>
          </w:p>
        </w:tc>
        <w:tc>
          <w:tcPr>
            <w:tcW w:w="58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440" w:type="dxa"/>
            <w:vAlign w:val="bottom"/>
            <w:gridSpan w:val="2"/>
          </w:tcPr>
          <w:p>
            <w:pPr>
              <w:jc w:val="center"/>
              <w:spacing w:after="0"/>
              <w:rPr>
                <w:sz w:val="20"/>
                <w:szCs w:val="20"/>
                <w:color w:val="auto"/>
              </w:rPr>
            </w:pPr>
            <w:r>
              <w:rPr>
                <w:rFonts w:ascii="Arial" w:cs="Arial" w:eastAsia="Arial" w:hAnsi="Arial"/>
                <w:sz w:val="18"/>
                <w:szCs w:val="18"/>
                <w:color w:val="auto"/>
                <w:w w:val="85"/>
              </w:rPr>
              <w:t>23.2</w:t>
            </w:r>
          </w:p>
        </w:tc>
        <w:tc>
          <w:tcPr>
            <w:tcW w:w="58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Consent of Pepper Hamilton LLP (contained in Exhibit 5.1).</w:t>
            </w:r>
          </w:p>
        </w:tc>
      </w:tr>
      <w:tr>
        <w:trPr>
          <w:trHeight w:val="324"/>
        </w:trPr>
        <w:tc>
          <w:tcPr>
            <w:tcW w:w="440" w:type="dxa"/>
            <w:vAlign w:val="bottom"/>
            <w:gridSpan w:val="2"/>
          </w:tcPr>
          <w:p>
            <w:pPr>
              <w:jc w:val="center"/>
              <w:spacing w:after="0"/>
              <w:rPr>
                <w:sz w:val="20"/>
                <w:szCs w:val="20"/>
                <w:color w:val="auto"/>
              </w:rPr>
            </w:pPr>
            <w:r>
              <w:rPr>
                <w:rFonts w:ascii="Arial" w:cs="Arial" w:eastAsia="Arial" w:hAnsi="Arial"/>
                <w:sz w:val="18"/>
                <w:szCs w:val="18"/>
                <w:color w:val="auto"/>
                <w:w w:val="85"/>
              </w:rPr>
              <w:t>24.1</w:t>
            </w:r>
          </w:p>
        </w:tc>
        <w:tc>
          <w:tcPr>
            <w:tcW w:w="58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Power of Attorney (contained in the signature pages hereto).</w:t>
            </w:r>
          </w:p>
        </w:tc>
      </w:tr>
    </w:tbl>
    <w:p>
      <w:pPr>
        <w:sectPr>
          <w:pgSz w:w="11900" w:h="16838" w:orient="portrait"/>
          <w:cols w:equalWidth="0" w:num="1">
            <w:col w:w="10199"/>
          </w:cols>
          <w:pgMar w:left="260" w:top="28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215.981.4750</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January 3,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19102-2148</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Registration Statement relates to 6,000,000 shares of Class A Common Stock, par value $.01, of the Company (the “Shares”), which may be issued by the Company pursuant to the Comcast Corporation 2002 Employee Stock Purchase Plan (the “Plan”).</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the Company’s By-laws, the Plan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the foregoing, we are of the opinion that the Shares, when issued in accordance with the terms of the Plan,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21, 2005, relating to the financial statements and financial statement schedule of Comcast Corporation, and management’s report on the effectiveness of internal control over financial reporting appearing in the Annual Report on Form 10-K of Comcast Corporation for the year ended December 31,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3,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2019-12-15T06:54:01Z</dcterms:created>
  <dcterms:modified xsi:type="dcterms:W3CDTF">2019-12-15T06:54:01Z</dcterms:modified>
</cp:coreProperties>
</file>