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right="160"/>
        <w:spacing w:after="0" w:line="244" w:lineRule="auto"/>
        <w:rPr>
          <w:sz w:val="20"/>
          <w:szCs w:val="20"/>
          <w:color w:val="auto"/>
        </w:rPr>
      </w:pPr>
      <w:r>
        <w:rPr>
          <w:rFonts w:ascii="Arial" w:cs="Arial" w:eastAsia="Arial" w:hAnsi="Arial"/>
          <w:sz w:val="18"/>
          <w:szCs w:val="18"/>
          <w:b w:val="1"/>
          <w:bCs w:val="1"/>
          <w:color w:val="B23040"/>
        </w:rPr>
        <w:t>This preliminary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122"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333-179678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B23040"/>
        </w:rPr>
        <w:t>PRELIMINARY 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B23040"/>
        </w:rPr>
        <w:t>(Subject to Completion, dated November 29,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February 24,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238760</wp:posOffset>
            </wp:positionV>
            <wp:extent cx="139763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5200" w:hanging="1462"/>
        <w:spacing w:after="0"/>
        <w:tabs>
          <w:tab w:leader="none" w:pos="5200" w:val="left"/>
        </w:tabs>
        <w:numPr>
          <w:ilvl w:val="0"/>
          <w:numId w:val="1"/>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240" w:firstLine="456"/>
        <w:spacing w:after="0" w:line="306" w:lineRule="auto"/>
        <w:rPr>
          <w:sz w:val="20"/>
          <w:szCs w:val="20"/>
          <w:color w:val="auto"/>
        </w:rPr>
      </w:pPr>
      <w:r>
        <w:rPr>
          <w:rFonts w:ascii="Arial" w:cs="Arial" w:eastAsia="Arial" w:hAnsi="Arial"/>
          <w:sz w:val="16"/>
          <w:szCs w:val="16"/>
          <w:color w:val="auto"/>
        </w:rPr>
        <w:t>We will pay interest on the notes quarterly on March 15, June 15, September 15 and December 15 of each year, beginning on March 15, 2013. The notes will bear interest at a rate of % per year and will mature on December 15, 2061. We may redeem the notes, in whole or in part, at any time on or after December 15, 2017 at a redemption price equal to 100% of the principal amount redeemed plus accrued and unpaid interest to the redemption date.</w:t>
      </w:r>
    </w:p>
    <w:p>
      <w:pPr>
        <w:spacing w:after="0" w:line="107" w:lineRule="exact"/>
        <w:rPr>
          <w:sz w:val="24"/>
          <w:szCs w:val="24"/>
          <w:color w:val="auto"/>
        </w:rPr>
      </w:pPr>
    </w:p>
    <w:p>
      <w:pPr>
        <w:ind w:right="160" w:firstLine="456"/>
        <w:spacing w:after="0" w:line="259" w:lineRule="auto"/>
        <w:rPr>
          <w:sz w:val="20"/>
          <w:szCs w:val="20"/>
          <w:color w:val="auto"/>
        </w:rPr>
      </w:pPr>
      <w:r>
        <w:rPr>
          <w:rFonts w:ascii="Arial" w:cs="Arial" w:eastAsia="Arial" w:hAnsi="Arial"/>
          <w:sz w:val="18"/>
          <w:szCs w:val="18"/>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 The notes will be issued in minimum denominations of $25 and multiples in excess thereof.</w:t>
      </w:r>
    </w:p>
    <w:p>
      <w:pPr>
        <w:spacing w:after="0" w:line="140" w:lineRule="exact"/>
        <w:rPr>
          <w:sz w:val="24"/>
          <w:szCs w:val="24"/>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We intend to apply to list the notes on the New York Stock Exchange under the symbol “CCV”. If the application is approved, we expect trading in the notes on the New York Stock Exchange to begin within 30 days after the original issue date. The notes are expected to trade “flat.” This means that purchasers will not pay, and sellers will not receive, any accrued and unpaid interest on the notes that is not included in the trading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5" w:lineRule="exact"/>
        <w:rPr>
          <w:sz w:val="24"/>
          <w:szCs w:val="24"/>
          <w:color w:val="auto"/>
        </w:rPr>
      </w:pPr>
    </w:p>
    <w:p>
      <w:pPr>
        <w:ind w:right="40" w:firstLine="456"/>
        <w:spacing w:after="0" w:line="28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 notes involves risks that are described in the “</w:t>
      </w:r>
      <w:hyperlink w:anchor="page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section of our Annual Report on Form 10-K for the year ended December 31, 2011 and beginning on page S-4 of this prospectus supplement.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Price to Investors</w:t>
            </w:r>
            <w:r>
              <w:rPr>
                <w:rFonts w:ascii="Arial" w:cs="Arial" w:eastAsia="Arial" w:hAnsi="Arial"/>
                <w:sz w:val="22"/>
                <w:szCs w:val="22"/>
                <w:b w:val="1"/>
                <w:bCs w:val="1"/>
                <w:color w:val="auto"/>
                <w:w w:val="84"/>
                <w:vertAlign w:val="superscript"/>
              </w:rPr>
              <w:t>(1)</w:t>
            </w:r>
          </w:p>
        </w:tc>
        <w:tc>
          <w:tcPr>
            <w:tcW w:w="9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Proceeds to Us Before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ind w:left="80"/>
              <w:spacing w:after="0" w:line="162" w:lineRule="exact"/>
              <w:rPr>
                <w:sz w:val="20"/>
                <w:szCs w:val="20"/>
                <w:color w:val="auto"/>
              </w:rPr>
            </w:pPr>
            <w:r>
              <w:rPr>
                <w:rFonts w:ascii="Arial" w:cs="Arial" w:eastAsia="Arial" w:hAnsi="Arial"/>
                <w:sz w:val="12"/>
                <w:szCs w:val="12"/>
                <w:b w:val="1"/>
                <w:bCs w:val="1"/>
                <w:color w:val="auto"/>
              </w:rPr>
              <w:t>Discount</w:t>
            </w:r>
            <w:r>
              <w:rPr>
                <w:rFonts w:ascii="Arial" w:cs="Arial" w:eastAsia="Arial" w:hAnsi="Arial"/>
                <w:sz w:val="18"/>
                <w:szCs w:val="18"/>
                <w:b w:val="1"/>
                <w:bCs w:val="1"/>
                <w:color w:val="auto"/>
                <w:vertAlign w:val="superscript"/>
              </w:rPr>
              <w:t>(2)</w:t>
            </w:r>
          </w:p>
        </w:tc>
        <w:tc>
          <w:tcPr>
            <w:tcW w:w="1480" w:type="dxa"/>
            <w:vAlign w:val="bottom"/>
            <w:gridSpan w:val="2"/>
          </w:tcPr>
          <w:p>
            <w:pPr>
              <w:ind w:left="320"/>
              <w:spacing w:after="0" w:line="162" w:lineRule="exact"/>
              <w:rPr>
                <w:sz w:val="20"/>
                <w:szCs w:val="20"/>
                <w:color w:val="auto"/>
              </w:rPr>
            </w:pPr>
            <w:r>
              <w:rPr>
                <w:rFonts w:ascii="Arial" w:cs="Arial" w:eastAsia="Arial" w:hAnsi="Arial"/>
                <w:sz w:val="12"/>
                <w:szCs w:val="12"/>
                <w:b w:val="1"/>
                <w:bCs w:val="1"/>
                <w:color w:val="auto"/>
              </w:rPr>
              <w:t>Expenses</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3220" w:type="dxa"/>
            <w:vAlign w:val="bottom"/>
            <w:tcBorders>
              <w:top w:val="single" w:sz="8" w:color="CCEEFF"/>
            </w:tcBorders>
            <w:gridSpan w:val="3"/>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jc w:val="right"/>
              <w:ind w:right="872"/>
              <w:spacing w:after="0" w:line="202" w:lineRule="exact"/>
              <w:rPr>
                <w:sz w:val="20"/>
                <w:szCs w:val="20"/>
                <w:color w:val="auto"/>
              </w:rPr>
            </w:pPr>
            <w:r>
              <w:rPr>
                <w:rFonts w:ascii="Arial" w:cs="Arial" w:eastAsia="Arial" w:hAnsi="Arial"/>
                <w:sz w:val="18"/>
                <w:szCs w:val="18"/>
                <w:color w:val="auto"/>
                <w:w w:val="87"/>
              </w:rPr>
              <w:t>%</w:t>
            </w: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160" w:type="dxa"/>
            <w:vAlign w:val="bottom"/>
            <w:tcBorders>
              <w:bottom w:val="single" w:sz="8" w:color="auto"/>
            </w:tcBorders>
            <w:gridSpan w:val="2"/>
          </w:tcPr>
          <w:p>
            <w:pPr>
              <w:spacing w:after="0"/>
              <w:rPr>
                <w:sz w:val="7"/>
                <w:szCs w:val="7"/>
                <w:color w:val="auto"/>
              </w:rPr>
            </w:pPr>
          </w:p>
        </w:tc>
        <w:tc>
          <w:tcPr>
            <w:tcW w:w="2540" w:type="dxa"/>
            <w:vAlign w:val="bottom"/>
          </w:tcPr>
          <w:p>
            <w:pPr>
              <w:spacing w:after="0"/>
              <w:rPr>
                <w:sz w:val="7"/>
                <w:szCs w:val="7"/>
                <w:color w:val="auto"/>
              </w:rPr>
            </w:pPr>
          </w:p>
        </w:tc>
        <w:tc>
          <w:tcPr>
            <w:tcW w:w="3220" w:type="dxa"/>
            <w:vAlign w:val="bottom"/>
            <w:gridSpan w:val="3"/>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700" w:type="dxa"/>
            <w:vAlign w:val="bottom"/>
            <w:gridSpan w:val="3"/>
          </w:tcPr>
          <w:p>
            <w:pPr>
              <w:spacing w:after="0"/>
              <w:rPr>
                <w:sz w:val="20"/>
                <w:szCs w:val="20"/>
                <w:color w:val="auto"/>
              </w:rPr>
            </w:pPr>
            <w:r>
              <w:rPr>
                <w:rFonts w:ascii="Arial" w:cs="Arial" w:eastAsia="Arial" w:hAnsi="Arial"/>
                <w:sz w:val="18"/>
                <w:szCs w:val="18"/>
                <w:color w:val="auto"/>
                <w:w w:val="93"/>
              </w:rPr>
              <w:t>(1)   Plus accrued interest, if any, from December</w:t>
            </w:r>
          </w:p>
        </w:tc>
        <w:tc>
          <w:tcPr>
            <w:tcW w:w="322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 2012, if settlement occurs after that date.</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60" w:right="1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weighted average underwriting discount for orders by retail and institutional investors. See “Underwriting” beginning on page S-14 of this prospectus supplement for a discussion regarding underwriting discounts.</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described below.</w:t>
      </w:r>
    </w:p>
    <w:p>
      <w:pPr>
        <w:spacing w:after="0" w:line="165"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80" w:type="dxa"/>
            <w:vAlign w:val="bottom"/>
            <w:gridSpan w:val="3"/>
          </w:tcPr>
          <w:p>
            <w:pPr>
              <w:ind w:left="460"/>
              <w:spacing w:after="0"/>
              <w:rPr>
                <w:sz w:val="20"/>
                <w:szCs w:val="20"/>
                <w:color w:val="auto"/>
              </w:rPr>
            </w:pPr>
            <w:r>
              <w:rPr>
                <w:rFonts w:ascii="Arial" w:cs="Arial" w:eastAsia="Arial" w:hAnsi="Arial"/>
                <w:sz w:val="18"/>
                <w:szCs w:val="18"/>
                <w:color w:val="auto"/>
                <w:w w:val="92"/>
              </w:rPr>
              <w:t>We have granted the underwriters the right to purchase up to an additional $</w:t>
            </w:r>
          </w:p>
        </w:tc>
        <w:tc>
          <w:tcPr>
            <w:tcW w:w="5340" w:type="dxa"/>
            <w:vAlign w:val="bottom"/>
            <w:gridSpan w:val="3"/>
          </w:tcPr>
          <w:p>
            <w:pPr>
              <w:ind w:left="120"/>
              <w:spacing w:after="0"/>
              <w:rPr>
                <w:sz w:val="20"/>
                <w:szCs w:val="20"/>
                <w:color w:val="auto"/>
              </w:rPr>
            </w:pPr>
            <w:r>
              <w:rPr>
                <w:rFonts w:ascii="Arial" w:cs="Arial" w:eastAsia="Arial" w:hAnsi="Arial"/>
                <w:sz w:val="18"/>
                <w:szCs w:val="18"/>
                <w:color w:val="auto"/>
                <w:w w:val="93"/>
              </w:rPr>
              <w:t>aggregate principal amount of notes solely to cover over-allotments, if</w:t>
            </w: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any.</w:t>
            </w:r>
          </w:p>
        </w:tc>
        <w:tc>
          <w:tcPr>
            <w:tcW w:w="1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72"/>
        </w:trPr>
        <w:tc>
          <w:tcPr>
            <w:tcW w:w="11420" w:type="dxa"/>
            <w:vAlign w:val="bottom"/>
            <w:gridSpan w:val="6"/>
          </w:tcPr>
          <w:p>
            <w:pPr>
              <w:ind w:left="460"/>
              <w:spacing w:after="0"/>
              <w:rPr>
                <w:sz w:val="20"/>
                <w:szCs w:val="20"/>
                <w:color w:val="auto"/>
              </w:rPr>
            </w:pPr>
            <w:r>
              <w:rPr>
                <w:rFonts w:ascii="Arial" w:cs="Arial" w:eastAsia="Arial" w:hAnsi="Arial"/>
                <w:sz w:val="18"/>
                <w:szCs w:val="18"/>
                <w:color w:val="auto"/>
                <w:w w:val="94"/>
              </w:rPr>
              <w:t>The notes will be ready for delivery only through The Depository Trust Company and its participants, including Euroclear SA/NV (“Euroclear”) and</w:t>
            </w:r>
          </w:p>
        </w:tc>
      </w:tr>
      <w:tr>
        <w:trPr>
          <w:trHeight w:val="222"/>
        </w:trPr>
        <w:tc>
          <w:tcPr>
            <w:tcW w:w="6080" w:type="dxa"/>
            <w:vAlign w:val="bottom"/>
            <w:gridSpan w:val="3"/>
          </w:tcPr>
          <w:p>
            <w:pPr>
              <w:spacing w:after="0"/>
              <w:rPr>
                <w:sz w:val="20"/>
                <w:szCs w:val="20"/>
                <w:color w:val="auto"/>
              </w:rPr>
            </w:pPr>
            <w:r>
              <w:rPr>
                <w:rFonts w:ascii="Arial" w:cs="Arial" w:eastAsia="Arial" w:hAnsi="Arial"/>
                <w:sz w:val="18"/>
                <w:szCs w:val="18"/>
                <w:color w:val="auto"/>
                <w:w w:val="91"/>
              </w:rPr>
              <w:t>Clearstream Banking SA (“Clearstream”), in book-entry form on or about December</w:t>
            </w:r>
          </w:p>
        </w:tc>
        <w:tc>
          <w:tcPr>
            <w:tcW w:w="820" w:type="dxa"/>
            <w:vAlign w:val="bottom"/>
          </w:tcPr>
          <w:p>
            <w:pPr>
              <w:ind w:left="100"/>
              <w:spacing w:after="0"/>
              <w:rPr>
                <w:sz w:val="20"/>
                <w:szCs w:val="20"/>
                <w:color w:val="auto"/>
              </w:rPr>
            </w:pPr>
            <w:r>
              <w:rPr>
                <w:rFonts w:ascii="Arial" w:cs="Arial" w:eastAsia="Arial" w:hAnsi="Arial"/>
                <w:sz w:val="18"/>
                <w:szCs w:val="18"/>
                <w:color w:val="auto"/>
              </w:rPr>
              <w:t>, 2012.</w:t>
            </w:r>
          </w:p>
        </w:tc>
        <w:tc>
          <w:tcPr>
            <w:tcW w:w="20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78"/>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i w:val="1"/>
                <w:iCs w:val="1"/>
                <w:color w:val="auto"/>
              </w:rPr>
              <w:t>Joint Book-Running Managers</w:t>
            </w:r>
          </w:p>
        </w:tc>
        <w:tc>
          <w:tcPr>
            <w:tcW w:w="2460" w:type="dxa"/>
            <w:vAlign w:val="bottom"/>
          </w:tcPr>
          <w:p>
            <w:pPr>
              <w:spacing w:after="0"/>
              <w:rPr>
                <w:sz w:val="24"/>
                <w:szCs w:val="24"/>
                <w:color w:val="auto"/>
              </w:rPr>
            </w:pPr>
          </w:p>
        </w:tc>
      </w:tr>
      <w:tr>
        <w:trPr>
          <w:trHeight w:val="458"/>
        </w:trPr>
        <w:tc>
          <w:tcPr>
            <w:tcW w:w="258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3500" w:type="dxa"/>
            <w:vAlign w:val="bottom"/>
            <w:gridSpan w:val="2"/>
          </w:tcPr>
          <w:p>
            <w:pPr>
              <w:ind w:left="760"/>
              <w:spacing w:after="0"/>
              <w:rPr>
                <w:sz w:val="20"/>
                <w:szCs w:val="20"/>
                <w:color w:val="auto"/>
              </w:rPr>
            </w:pPr>
            <w:r>
              <w:rPr>
                <w:rFonts w:ascii="Arial" w:cs="Arial" w:eastAsia="Arial" w:hAnsi="Arial"/>
                <w:sz w:val="22"/>
                <w:szCs w:val="22"/>
                <w:b w:val="1"/>
                <w:bCs w:val="1"/>
                <w:color w:val="auto"/>
              </w:rPr>
              <w:t>Morgan Stanley</w:t>
            </w:r>
          </w:p>
        </w:tc>
        <w:tc>
          <w:tcPr>
            <w:tcW w:w="2880" w:type="dxa"/>
            <w:vAlign w:val="bottom"/>
            <w:gridSpan w:val="2"/>
          </w:tcPr>
          <w:p>
            <w:pPr>
              <w:ind w:left="440"/>
              <w:spacing w:after="0"/>
              <w:rPr>
                <w:sz w:val="20"/>
                <w:szCs w:val="20"/>
                <w:color w:val="auto"/>
              </w:rPr>
            </w:pPr>
            <w:r>
              <w:rPr>
                <w:rFonts w:ascii="Arial" w:cs="Arial" w:eastAsia="Arial" w:hAnsi="Arial"/>
                <w:sz w:val="22"/>
                <w:szCs w:val="22"/>
                <w:b w:val="1"/>
                <w:bCs w:val="1"/>
                <w:color w:val="auto"/>
              </w:rPr>
              <w:t>UBS Investment Bank</w:t>
            </w:r>
          </w:p>
        </w:tc>
        <w:tc>
          <w:tcPr>
            <w:tcW w:w="2460" w:type="dxa"/>
            <w:vAlign w:val="bottom"/>
          </w:tcPr>
          <w:p>
            <w:pPr>
              <w:ind w:left="400"/>
              <w:spacing w:after="0"/>
              <w:rPr>
                <w:sz w:val="20"/>
                <w:szCs w:val="20"/>
                <w:color w:val="auto"/>
              </w:rPr>
            </w:pPr>
            <w:r>
              <w:rPr>
                <w:rFonts w:ascii="Arial" w:cs="Arial" w:eastAsia="Arial" w:hAnsi="Arial"/>
                <w:sz w:val="22"/>
                <w:szCs w:val="22"/>
                <w:b w:val="1"/>
                <w:bCs w:val="1"/>
                <w:color w:val="auto"/>
                <w:w w:val="86"/>
              </w:rPr>
              <w:t>Wells Fargo Securities</w:t>
            </w:r>
          </w:p>
        </w:tc>
      </w:tr>
      <w:tr>
        <w:trPr>
          <w:trHeight w:val="287"/>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848995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1286510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07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The date of this prospectus supplement is November</w:t>
      </w:r>
      <w:r>
        <w:rPr>
          <w:sz w:val="20"/>
          <w:szCs w:val="20"/>
          <w:color w:val="auto"/>
        </w:rPr>
        <w:tab/>
      </w:r>
      <w:r>
        <w:rPr>
          <w:rFonts w:ascii="Arial" w:cs="Arial" w:eastAsia="Arial" w:hAnsi="Arial"/>
          <w:sz w:val="15"/>
          <w:szCs w:val="15"/>
          <w:b w:val="1"/>
          <w:bCs w:val="1"/>
          <w:color w:val="auto"/>
        </w:rPr>
        <w:t>, 2012.</w:t>
      </w:r>
    </w:p>
    <w:p>
      <w:pPr>
        <w:sectPr>
          <w:pgSz w:w="11900" w:h="16838" w:orient="portrait"/>
          <w:cols w:equalWidth="0" w:num="1">
            <w:col w:w="11420"/>
          </w:cols>
          <w:pgMar w:left="240" w:top="230" w:right="239" w:bottom="1072"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80" w:type="dxa"/>
            <w:vAlign w:val="bottom"/>
            <w:gridSpan w:val="14"/>
            <w:vMerge w:val="restart"/>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Prospectus Supplement Summary</w:t>
              </w:r>
            </w:hyperlink>
          </w:p>
        </w:tc>
        <w:tc>
          <w:tcPr>
            <w:tcW w:w="8560" w:type="dxa"/>
            <w:vAlign w:val="bottom"/>
            <w:gridSpan w:val="8"/>
            <w:vMerge w:val="restart"/>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2380" w:type="dxa"/>
            <w:vAlign w:val="bottom"/>
            <w:tcBorders>
              <w:bottom w:val="single" w:sz="8" w:color="0000EE"/>
            </w:tcBorders>
            <w:gridSpan w:val="14"/>
            <w:vMerge w:val="continue"/>
          </w:tcPr>
          <w:p>
            <w:pPr>
              <w:spacing w:after="0"/>
              <w:rPr>
                <w:sz w:val="13"/>
                <w:szCs w:val="13"/>
                <w:color w:val="auto"/>
              </w:rPr>
            </w:pPr>
          </w:p>
        </w:tc>
        <w:tc>
          <w:tcPr>
            <w:tcW w:w="856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10040" w:type="dxa"/>
            <w:vAlign w:val="bottom"/>
            <w:gridSpan w:val="19"/>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Ratios of Earnings to Fixed Charges and of Earnings to Combined Fixed Charges and Preferred</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Dividends</w:t>
              </w:r>
            </w:hyperlink>
          </w:p>
        </w:tc>
        <w:tc>
          <w:tcPr>
            <w:tcW w:w="42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the Notes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Material U.S. Federal Income Tax Consequences for Non-U.S. Holders</w:t>
              </w:r>
            </w:hyperlink>
          </w:p>
        </w:tc>
        <w:tc>
          <w:tcPr>
            <w:tcW w:w="592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Underwriting</w:t>
              </w:r>
            </w:hyperlink>
          </w:p>
        </w:tc>
        <w:tc>
          <w:tcPr>
            <w:tcW w:w="998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451"/>
        </w:trPr>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4"/>
          </w:tcPr>
          <w:p>
            <w:pPr>
              <w:ind w:left="2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The Companies</w:t>
              </w:r>
            </w:hyperlink>
          </w:p>
        </w:tc>
        <w:tc>
          <w:tcPr>
            <w:tcW w:w="980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Caution Concerning Forward-Looking Statements</w:t>
              </w:r>
            </w:hyperlink>
          </w:p>
        </w:tc>
        <w:tc>
          <w:tcPr>
            <w:tcW w:w="74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Dividend Policy</w:t>
              </w:r>
            </w:hyperlink>
          </w:p>
        </w:tc>
        <w:tc>
          <w:tcPr>
            <w:tcW w:w="97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Debt Securities and Cable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Global Securities</w:t>
              </w:r>
            </w:hyperlink>
          </w:p>
        </w:tc>
        <w:tc>
          <w:tcPr>
            <w:tcW w:w="72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Description of Capital Stock</w:t>
              </w:r>
            </w:hyperlink>
          </w:p>
        </w:tc>
        <w:tc>
          <w:tcPr>
            <w:tcW w:w="89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95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11"/>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Incorporation of Certain Documents by Reference</w:t>
              </w:r>
            </w:hyperlink>
          </w:p>
        </w:tc>
        <w:tc>
          <w:tcPr>
            <w:tcW w:w="74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a leading provider of entertainment, information and communication products and services. On January 28, 2011, we closed the NBCUniversal transaction in which we acquired control of the businesses of NBC Universal, Inc. (now named NBCUniversal Media, LLC) (“NBCUniversal”), and on July 1, 2011, we closed the Universal Orlando transaction in which we acquired the remaining 50% equity interest in Universal City Development Partners, Ltd. that we did not already own.</w:t>
      </w:r>
    </w:p>
    <w:p>
      <w:pPr>
        <w:spacing w:after="0" w:line="143" w:lineRule="exact"/>
        <w:rPr>
          <w:sz w:val="20"/>
          <w:szCs w:val="20"/>
          <w:color w:val="auto"/>
        </w:rPr>
      </w:pPr>
    </w:p>
    <w:p>
      <w:pPr>
        <w:ind w:left="200" w:right="120" w:firstLine="443"/>
        <w:spacing w:after="0" w:line="298" w:lineRule="auto"/>
        <w:rPr>
          <w:sz w:val="20"/>
          <w:szCs w:val="20"/>
          <w:color w:val="auto"/>
        </w:rPr>
      </w:pPr>
      <w:r>
        <w:rPr>
          <w:rFonts w:ascii="Arial" w:cs="Arial" w:eastAsia="Arial" w:hAnsi="Arial"/>
          <w:sz w:val="16"/>
          <w:szCs w:val="16"/>
          <w:color w:val="auto"/>
        </w:rPr>
        <w:t>We are one of the nation’s leading providers of video, high-speed Internet and voice services to residential and business customers. As of September 30, 2012, our cable systems served 22 million video customers, 19 million high-speed Internet customers and 9.8 million voice customers and passed more than 52 million homes and businesses in 39 states and the District of Columbia. Our Cable Communications segment generates revenue primarily from subscriptions to our cable services, which we market individually and in packages, and from the sale of advertising.</w:t>
      </w:r>
    </w:p>
    <w:p>
      <w:pPr>
        <w:spacing w:after="0" w:line="11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NBCUniversal is a leading media and entertainment company that develops, produces and distributes entertainment, news and information, sports and other content for global audiences. 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11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140"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143" w:lineRule="exact"/>
        <w:rPr>
          <w:sz w:val="20"/>
          <w:szCs w:val="20"/>
          <w:color w:val="auto"/>
        </w:rPr>
      </w:pPr>
    </w:p>
    <w:p>
      <w:pPr>
        <w:jc w:val="both"/>
        <w:ind w:left="200" w:right="320" w:firstLine="443"/>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113"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 large, multipurpose arena in Philadelphia. Comcast Spectacor also owns Global Spectrum, which provides facilities management services, and Ovations Food Services, which provides food services for sporting events, concerts and other events.</w:t>
      </w:r>
    </w:p>
    <w:p>
      <w:pPr>
        <w:spacing w:after="0" w:line="140" w:lineRule="exact"/>
        <w:rPr>
          <w:sz w:val="20"/>
          <w:szCs w:val="20"/>
          <w:color w:val="auto"/>
        </w:rPr>
      </w:pPr>
    </w:p>
    <w:p>
      <w:pPr>
        <w:ind w:left="200" w:right="440" w:firstLine="443"/>
        <w:spacing w:after="0" w:line="268"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(“SEC”) incorporated by reference in</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3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26371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720"/>
        <w:spacing w:after="0" w:line="268" w:lineRule="auto"/>
        <w:rPr>
          <w:sz w:val="20"/>
          <w:szCs w:val="20"/>
          <w:color w:val="auto"/>
        </w:rPr>
      </w:pPr>
      <w:r>
        <w:rPr>
          <w:rFonts w:ascii="Arial" w:cs="Arial" w:eastAsia="Arial" w:hAnsi="Arial"/>
          <w:sz w:val="18"/>
          <w:szCs w:val="18"/>
          <w:color w:val="auto"/>
        </w:rPr>
        <w:t>the accompanying prospectus. For instructions on how to find copies of these and our other filings incorporated by reference in the accompanying prospectus, see “Available Information” in the accompanying prospectus.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 is located at One Comcast Center, Philadelphia, Pennsylvania 19103-2838. Our telephone number is (215) 286-1700.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address of our website is www.comcast.com. The information on our website is not part of this prospectus supplement or the accompanying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Communications, LLC, Comcast Cable Holdings, LLC, Comcast MO Group, Inc. and Comcast MO of Delaware, LLC. In this prospectus supplement, we refer to these guarantors as the cable guarantors and to these guarantees as the cable guarantees.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1060" w:right="300" w:hanging="323"/>
        <w:spacing w:after="0" w:line="26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43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243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2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80" w:type="dxa"/>
            <w:vAlign w:val="bottom"/>
          </w:tcPr>
          <w:p>
            <w:pPr>
              <w:ind w:left="6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2860" w:type="dxa"/>
            <w:vAlign w:val="bottom"/>
          </w:tcPr>
          <w:p>
            <w:pPr>
              <w:spacing w:after="0"/>
              <w:rPr>
                <w:sz w:val="20"/>
                <w:szCs w:val="20"/>
                <w:color w:val="auto"/>
              </w:rPr>
            </w:pPr>
            <w:r>
              <w:rPr>
                <w:rFonts w:ascii="Arial" w:cs="Arial" w:eastAsia="Arial" w:hAnsi="Arial"/>
                <w:sz w:val="18"/>
                <w:szCs w:val="18"/>
                <w:color w:val="auto"/>
              </w:rPr>
              <w:t>Issuer</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rPr>
              <w:t>Comcast Corporation.</w:t>
            </w:r>
          </w:p>
        </w:tc>
      </w:tr>
      <w:tr>
        <w:trPr>
          <w:trHeight w:val="426"/>
        </w:trPr>
        <w:tc>
          <w:tcPr>
            <w:tcW w:w="2860" w:type="dxa"/>
            <w:vAlign w:val="bottom"/>
          </w:tcPr>
          <w:p>
            <w:pPr>
              <w:spacing w:after="0"/>
              <w:rPr>
                <w:sz w:val="20"/>
                <w:szCs w:val="20"/>
                <w:color w:val="auto"/>
              </w:rPr>
            </w:pPr>
            <w:r>
              <w:rPr>
                <w:rFonts w:ascii="Arial" w:cs="Arial" w:eastAsia="Arial" w:hAnsi="Arial"/>
                <w:sz w:val="18"/>
                <w:szCs w:val="18"/>
                <w:color w:val="auto"/>
              </w:rPr>
              <w:t>Securities Offered</w:t>
            </w:r>
          </w:p>
        </w:tc>
        <w:tc>
          <w:tcPr>
            <w:tcW w:w="1620" w:type="dxa"/>
            <w:vAlign w:val="bottom"/>
          </w:tcPr>
          <w:p>
            <w:pPr>
              <w:ind w:left="13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80" w:type="dxa"/>
            <w:vAlign w:val="bottom"/>
          </w:tcPr>
          <w:p>
            <w:pPr>
              <w:ind w:left="240"/>
              <w:spacing w:after="0"/>
              <w:rPr>
                <w:sz w:val="20"/>
                <w:szCs w:val="20"/>
                <w:color w:val="auto"/>
              </w:rPr>
            </w:pPr>
            <w:r>
              <w:rPr>
                <w:rFonts w:ascii="Arial" w:cs="Arial" w:eastAsia="Arial" w:hAnsi="Arial"/>
                <w:sz w:val="18"/>
                <w:szCs w:val="18"/>
                <w:color w:val="auto"/>
                <w:w w:val="91"/>
              </w:rPr>
              <w:t>if the underwriters exercise their over-allotment option in full) aggregate principal</w:t>
            </w:r>
          </w:p>
        </w:tc>
      </w:tr>
      <w:tr>
        <w:trPr>
          <w:trHeight w:val="222"/>
        </w:trPr>
        <w:tc>
          <w:tcPr>
            <w:tcW w:w="2860" w:type="dxa"/>
            <w:vAlign w:val="bottom"/>
          </w:tcPr>
          <w:p>
            <w:pPr>
              <w:spacing w:after="0"/>
              <w:rPr>
                <w:sz w:val="19"/>
                <w:szCs w:val="19"/>
                <w:color w:val="auto"/>
              </w:rPr>
            </w:pPr>
          </w:p>
        </w:tc>
        <w:tc>
          <w:tcPr>
            <w:tcW w:w="2120" w:type="dxa"/>
            <w:vAlign w:val="bottom"/>
            <w:gridSpan w:val="2"/>
          </w:tcPr>
          <w:p>
            <w:pPr>
              <w:ind w:left="1340"/>
              <w:spacing w:after="0"/>
              <w:rPr>
                <w:sz w:val="20"/>
                <w:szCs w:val="20"/>
                <w:color w:val="auto"/>
              </w:rPr>
            </w:pPr>
            <w:r>
              <w:rPr>
                <w:rFonts w:ascii="Arial" w:cs="Arial" w:eastAsia="Arial" w:hAnsi="Arial"/>
                <w:sz w:val="18"/>
                <w:szCs w:val="18"/>
                <w:color w:val="auto"/>
                <w:w w:val="94"/>
              </w:rPr>
              <w:t>amount of</w:t>
            </w:r>
          </w:p>
        </w:tc>
        <w:tc>
          <w:tcPr>
            <w:tcW w:w="6080" w:type="dxa"/>
            <w:vAlign w:val="bottom"/>
          </w:tcPr>
          <w:p>
            <w:pPr>
              <w:ind w:left="160"/>
              <w:spacing w:after="0"/>
              <w:rPr>
                <w:sz w:val="20"/>
                <w:szCs w:val="20"/>
                <w:color w:val="auto"/>
              </w:rPr>
            </w:pPr>
            <w:r>
              <w:rPr>
                <w:rFonts w:ascii="Arial" w:cs="Arial" w:eastAsia="Arial" w:hAnsi="Arial"/>
                <w:sz w:val="18"/>
                <w:szCs w:val="18"/>
                <w:color w:val="auto"/>
              </w:rPr>
              <w:t>% Notes due 2061.</w:t>
            </w:r>
          </w:p>
        </w:tc>
      </w:tr>
      <w:tr>
        <w:trPr>
          <w:trHeight w:val="419"/>
        </w:trPr>
        <w:tc>
          <w:tcPr>
            <w:tcW w:w="2860" w:type="dxa"/>
            <w:vAlign w:val="bottom"/>
          </w:tcPr>
          <w:p>
            <w:pPr>
              <w:spacing w:after="0"/>
              <w:rPr>
                <w:sz w:val="20"/>
                <w:szCs w:val="20"/>
                <w:color w:val="auto"/>
              </w:rPr>
            </w:pPr>
            <w:r>
              <w:rPr>
                <w:rFonts w:ascii="Arial" w:cs="Arial" w:eastAsia="Arial" w:hAnsi="Arial"/>
                <w:sz w:val="18"/>
                <w:szCs w:val="18"/>
                <w:color w:val="auto"/>
              </w:rPr>
              <w:t>Maturity</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rPr>
              <w:t>The notes will mature on December 15, 2061.</w:t>
            </w:r>
          </w:p>
        </w:tc>
      </w:tr>
      <w:tr>
        <w:trPr>
          <w:trHeight w:val="426"/>
        </w:trPr>
        <w:tc>
          <w:tcPr>
            <w:tcW w:w="2860" w:type="dxa"/>
            <w:vAlign w:val="bottom"/>
          </w:tcPr>
          <w:p>
            <w:pPr>
              <w:spacing w:after="0"/>
              <w:rPr>
                <w:sz w:val="20"/>
                <w:szCs w:val="20"/>
                <w:color w:val="auto"/>
              </w:rPr>
            </w:pPr>
            <w:r>
              <w:rPr>
                <w:rFonts w:ascii="Arial" w:cs="Arial" w:eastAsia="Arial" w:hAnsi="Arial"/>
                <w:sz w:val="18"/>
                <w:szCs w:val="18"/>
                <w:color w:val="auto"/>
              </w:rPr>
              <w:t>Interest</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0"/>
              </w:rPr>
              <w:t>Interest on the notes will accrue at the rate of   % per year, payable quarterly in cash in arrears</w:t>
            </w:r>
          </w:p>
        </w:tc>
      </w:tr>
      <w:tr>
        <w:trPr>
          <w:trHeight w:val="222"/>
        </w:trPr>
        <w:tc>
          <w:tcPr>
            <w:tcW w:w="2860" w:type="dxa"/>
            <w:vAlign w:val="bottom"/>
          </w:tcPr>
          <w:p>
            <w:pPr>
              <w:spacing w:after="0"/>
              <w:rPr>
                <w:sz w:val="19"/>
                <w:szCs w:val="19"/>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2"/>
              </w:rPr>
              <w:t>on each March 15, June 15, September 15 and December 15, beginning on March 15, 2013.</w:t>
            </w:r>
          </w:p>
        </w:tc>
      </w:tr>
      <w:tr>
        <w:trPr>
          <w:trHeight w:val="412"/>
        </w:trPr>
        <w:tc>
          <w:tcPr>
            <w:tcW w:w="2860" w:type="dxa"/>
            <w:vAlign w:val="bottom"/>
          </w:tcPr>
          <w:p>
            <w:pPr>
              <w:spacing w:after="0"/>
              <w:rPr>
                <w:sz w:val="20"/>
                <w:szCs w:val="20"/>
                <w:color w:val="auto"/>
              </w:rPr>
            </w:pPr>
            <w:r>
              <w:rPr>
                <w:rFonts w:ascii="Arial" w:cs="Arial" w:eastAsia="Arial" w:hAnsi="Arial"/>
                <w:sz w:val="18"/>
                <w:szCs w:val="18"/>
                <w:color w:val="auto"/>
              </w:rPr>
              <w:t>Ranking</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0"/>
              </w:rPr>
              <w:t>The notes will be unsecured and will rank equally with all of our unsecured and unsubordinated</w:t>
            </w:r>
          </w:p>
        </w:tc>
      </w:tr>
      <w:tr>
        <w:trPr>
          <w:trHeight w:val="222"/>
        </w:trPr>
        <w:tc>
          <w:tcPr>
            <w:tcW w:w="2860" w:type="dxa"/>
            <w:vAlign w:val="bottom"/>
          </w:tcPr>
          <w:p>
            <w:pPr>
              <w:spacing w:after="0"/>
              <w:rPr>
                <w:sz w:val="19"/>
                <w:szCs w:val="19"/>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rPr>
              <w:t>indebtedness.</w:t>
            </w:r>
          </w:p>
        </w:tc>
      </w:tr>
      <w:tr>
        <w:trPr>
          <w:trHeight w:val="412"/>
        </w:trPr>
        <w:tc>
          <w:tcPr>
            <w:tcW w:w="2860" w:type="dxa"/>
            <w:vAlign w:val="bottom"/>
          </w:tcPr>
          <w:p>
            <w:pPr>
              <w:spacing w:after="0"/>
              <w:rPr>
                <w:sz w:val="20"/>
                <w:szCs w:val="20"/>
                <w:color w:val="auto"/>
              </w:rPr>
            </w:pPr>
            <w:r>
              <w:rPr>
                <w:rFonts w:ascii="Arial" w:cs="Arial" w:eastAsia="Arial" w:hAnsi="Arial"/>
                <w:sz w:val="18"/>
                <w:szCs w:val="18"/>
                <w:color w:val="auto"/>
              </w:rPr>
              <w:t>Cable Guarantors</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3"/>
              </w:rPr>
              <w:t>Comcast Cable Communications, LLC, Comcast Cable Holdings, LLC, Comcast MO Group,</w:t>
            </w:r>
          </w:p>
        </w:tc>
      </w:tr>
      <w:tr>
        <w:trPr>
          <w:trHeight w:val="222"/>
        </w:trPr>
        <w:tc>
          <w:tcPr>
            <w:tcW w:w="2860" w:type="dxa"/>
            <w:vAlign w:val="bottom"/>
          </w:tcPr>
          <w:p>
            <w:pPr>
              <w:spacing w:after="0"/>
              <w:rPr>
                <w:sz w:val="19"/>
                <w:szCs w:val="19"/>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rPr>
              <w:t>Inc. and Comcast MO of Delaware, LLC.</w:t>
            </w:r>
          </w:p>
        </w:tc>
      </w:tr>
      <w:tr>
        <w:trPr>
          <w:trHeight w:val="412"/>
        </w:trPr>
        <w:tc>
          <w:tcPr>
            <w:tcW w:w="2860" w:type="dxa"/>
            <w:vAlign w:val="bottom"/>
          </w:tcPr>
          <w:p>
            <w:pPr>
              <w:spacing w:after="0"/>
              <w:rPr>
                <w:sz w:val="20"/>
                <w:szCs w:val="20"/>
                <w:color w:val="auto"/>
              </w:rPr>
            </w:pPr>
            <w:r>
              <w:rPr>
                <w:rFonts w:ascii="Arial" w:cs="Arial" w:eastAsia="Arial" w:hAnsi="Arial"/>
                <w:sz w:val="18"/>
                <w:szCs w:val="18"/>
                <w:color w:val="auto"/>
              </w:rPr>
              <w:t>Cable Guarantees</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89"/>
              </w:rPr>
              <w:t>The cable guarantors will fully and unconditionally guarantee the notes, including the payment of</w:t>
            </w:r>
          </w:p>
        </w:tc>
      </w:tr>
      <w:tr>
        <w:trPr>
          <w:trHeight w:val="216"/>
        </w:trPr>
        <w:tc>
          <w:tcPr>
            <w:tcW w:w="2860" w:type="dxa"/>
            <w:vAlign w:val="bottom"/>
          </w:tcPr>
          <w:p>
            <w:pPr>
              <w:spacing w:after="0"/>
              <w:rPr>
                <w:sz w:val="18"/>
                <w:szCs w:val="18"/>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4"/>
              </w:rPr>
              <w:t>principal, premium, if any, and interest. The cable guarantees will rank equally with all other</w:t>
            </w:r>
          </w:p>
        </w:tc>
      </w:tr>
      <w:tr>
        <w:trPr>
          <w:trHeight w:val="222"/>
        </w:trPr>
        <w:tc>
          <w:tcPr>
            <w:tcW w:w="2860" w:type="dxa"/>
            <w:vAlign w:val="bottom"/>
          </w:tcPr>
          <w:p>
            <w:pPr>
              <w:spacing w:after="0"/>
              <w:rPr>
                <w:sz w:val="19"/>
                <w:szCs w:val="19"/>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rPr>
              <w:t>general unsecured and unsubordinated obligations of the cable guarantors.</w:t>
            </w:r>
          </w:p>
        </w:tc>
      </w:tr>
      <w:tr>
        <w:trPr>
          <w:trHeight w:val="412"/>
        </w:trPr>
        <w:tc>
          <w:tcPr>
            <w:tcW w:w="2860" w:type="dxa"/>
            <w:vAlign w:val="bottom"/>
          </w:tcPr>
          <w:p>
            <w:pPr>
              <w:spacing w:after="0"/>
              <w:rPr>
                <w:sz w:val="20"/>
                <w:szCs w:val="20"/>
                <w:color w:val="auto"/>
              </w:rPr>
            </w:pPr>
            <w:r>
              <w:rPr>
                <w:rFonts w:ascii="Arial" w:cs="Arial" w:eastAsia="Arial" w:hAnsi="Arial"/>
                <w:sz w:val="18"/>
                <w:szCs w:val="18"/>
                <w:color w:val="auto"/>
              </w:rPr>
              <w:t>Optional Redemption</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1"/>
              </w:rPr>
              <w:t>We may redeem the notes, in whole or in part, at any time on or after December 15, 2017 at a</w:t>
            </w:r>
          </w:p>
        </w:tc>
      </w:tr>
      <w:tr>
        <w:trPr>
          <w:trHeight w:val="216"/>
        </w:trPr>
        <w:tc>
          <w:tcPr>
            <w:tcW w:w="2860" w:type="dxa"/>
            <w:vAlign w:val="bottom"/>
          </w:tcPr>
          <w:p>
            <w:pPr>
              <w:spacing w:after="0"/>
              <w:rPr>
                <w:sz w:val="18"/>
                <w:szCs w:val="18"/>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3"/>
              </w:rPr>
              <w:t>redemption price equal to 100% of the principal amount redeemed plus accrued and unpaid</w:t>
            </w:r>
          </w:p>
        </w:tc>
      </w:tr>
      <w:tr>
        <w:trPr>
          <w:trHeight w:val="216"/>
        </w:trPr>
        <w:tc>
          <w:tcPr>
            <w:tcW w:w="2860" w:type="dxa"/>
            <w:vAlign w:val="bottom"/>
          </w:tcPr>
          <w:p>
            <w:pPr>
              <w:spacing w:after="0"/>
              <w:rPr>
                <w:sz w:val="18"/>
                <w:szCs w:val="18"/>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3"/>
              </w:rPr>
              <w:t>interest to the redemption date. See “Description of the Notes—Optional Redemption” in this</w:t>
            </w:r>
          </w:p>
        </w:tc>
      </w:tr>
      <w:tr>
        <w:trPr>
          <w:trHeight w:val="222"/>
        </w:trPr>
        <w:tc>
          <w:tcPr>
            <w:tcW w:w="2860" w:type="dxa"/>
            <w:vAlign w:val="bottom"/>
          </w:tcPr>
          <w:p>
            <w:pPr>
              <w:spacing w:after="0"/>
              <w:rPr>
                <w:sz w:val="19"/>
                <w:szCs w:val="19"/>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rPr>
              <w:t>prospectus supplement.</w:t>
            </w:r>
          </w:p>
        </w:tc>
      </w:tr>
      <w:tr>
        <w:trPr>
          <w:trHeight w:val="412"/>
        </w:trPr>
        <w:tc>
          <w:tcPr>
            <w:tcW w:w="2860" w:type="dxa"/>
            <w:vAlign w:val="bottom"/>
          </w:tcPr>
          <w:p>
            <w:pPr>
              <w:spacing w:after="0"/>
              <w:rPr>
                <w:sz w:val="20"/>
                <w:szCs w:val="20"/>
                <w:color w:val="auto"/>
              </w:rPr>
            </w:pPr>
            <w:r>
              <w:rPr>
                <w:rFonts w:ascii="Arial" w:cs="Arial" w:eastAsia="Arial" w:hAnsi="Arial"/>
                <w:sz w:val="18"/>
                <w:szCs w:val="18"/>
                <w:color w:val="auto"/>
              </w:rPr>
              <w:t>Use of Proceeds</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89"/>
              </w:rPr>
              <w:t>We intend to use the proceeds from this offering, after deducting fees and expenses, for working</w:t>
            </w:r>
          </w:p>
        </w:tc>
      </w:tr>
      <w:tr>
        <w:trPr>
          <w:trHeight w:val="222"/>
        </w:trPr>
        <w:tc>
          <w:tcPr>
            <w:tcW w:w="2860" w:type="dxa"/>
            <w:vAlign w:val="bottom"/>
          </w:tcPr>
          <w:p>
            <w:pPr>
              <w:spacing w:after="0"/>
              <w:rPr>
                <w:sz w:val="19"/>
                <w:szCs w:val="19"/>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0"/>
              </w:rPr>
              <w:t>capital and general corporate purposes. See “Use of Proceeds” in this prospectus supplement.</w:t>
            </w:r>
          </w:p>
        </w:tc>
      </w:tr>
      <w:tr>
        <w:trPr>
          <w:trHeight w:val="412"/>
        </w:trPr>
        <w:tc>
          <w:tcPr>
            <w:tcW w:w="2860" w:type="dxa"/>
            <w:vAlign w:val="bottom"/>
          </w:tcPr>
          <w:p>
            <w:pPr>
              <w:spacing w:after="0"/>
              <w:rPr>
                <w:sz w:val="20"/>
                <w:szCs w:val="20"/>
                <w:color w:val="auto"/>
              </w:rPr>
            </w:pPr>
            <w:r>
              <w:rPr>
                <w:rFonts w:ascii="Arial" w:cs="Arial" w:eastAsia="Arial" w:hAnsi="Arial"/>
                <w:sz w:val="18"/>
                <w:szCs w:val="18"/>
                <w:color w:val="auto"/>
              </w:rPr>
              <w:t>Book Entry</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2"/>
              </w:rPr>
              <w:t>The notes will be issued in book-entry form and will be represented by global notes deposited</w:t>
            </w:r>
          </w:p>
        </w:tc>
      </w:tr>
      <w:tr>
        <w:trPr>
          <w:trHeight w:val="216"/>
        </w:trPr>
        <w:tc>
          <w:tcPr>
            <w:tcW w:w="2860" w:type="dxa"/>
            <w:vAlign w:val="bottom"/>
          </w:tcPr>
          <w:p>
            <w:pPr>
              <w:spacing w:after="0"/>
              <w:rPr>
                <w:sz w:val="18"/>
                <w:szCs w:val="18"/>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7"/>
              </w:rPr>
              <w:t>with, or on behalf of, DTC and registered in the name of DTC or its nominees. Beneficial</w:t>
            </w:r>
          </w:p>
        </w:tc>
      </w:tr>
      <w:tr>
        <w:trPr>
          <w:trHeight w:val="216"/>
        </w:trPr>
        <w:tc>
          <w:tcPr>
            <w:tcW w:w="2860" w:type="dxa"/>
            <w:vAlign w:val="bottom"/>
          </w:tcPr>
          <w:p>
            <w:pPr>
              <w:spacing w:after="0"/>
              <w:rPr>
                <w:sz w:val="18"/>
                <w:szCs w:val="18"/>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88"/>
              </w:rPr>
              <w:t>interests in any of the notes will be shown on, and transfers will be effected only through, records</w:t>
            </w:r>
          </w:p>
        </w:tc>
      </w:tr>
      <w:tr>
        <w:trPr>
          <w:trHeight w:val="216"/>
        </w:trPr>
        <w:tc>
          <w:tcPr>
            <w:tcW w:w="2860" w:type="dxa"/>
            <w:vAlign w:val="bottom"/>
          </w:tcPr>
          <w:p>
            <w:pPr>
              <w:spacing w:after="0"/>
              <w:rPr>
                <w:sz w:val="18"/>
                <w:szCs w:val="18"/>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92"/>
              </w:rPr>
              <w:t>maintained by DTC or its nominee or indirectly through organizations that have accounts with</w:t>
            </w:r>
          </w:p>
        </w:tc>
      </w:tr>
      <w:tr>
        <w:trPr>
          <w:trHeight w:val="222"/>
        </w:trPr>
        <w:tc>
          <w:tcPr>
            <w:tcW w:w="2860" w:type="dxa"/>
            <w:vAlign w:val="bottom"/>
          </w:tcPr>
          <w:p>
            <w:pPr>
              <w:spacing w:after="0"/>
              <w:rPr>
                <w:sz w:val="19"/>
                <w:szCs w:val="19"/>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w w:val="89"/>
              </w:rPr>
              <w:t>DTC, including Euroclear and Clearstream, and these beneficial interests may not be exchanged</w:t>
            </w:r>
          </w:p>
        </w:tc>
      </w:tr>
    </w:tbl>
    <w:p>
      <w:pPr>
        <w:ind w:left="4400" w:right="300"/>
        <w:spacing w:after="0" w:line="261" w:lineRule="auto"/>
        <w:rPr>
          <w:sz w:val="20"/>
          <w:szCs w:val="20"/>
          <w:color w:val="auto"/>
        </w:rPr>
      </w:pPr>
      <w:r>
        <w:rPr>
          <w:rFonts w:ascii="Arial" w:cs="Arial" w:eastAsia="Arial" w:hAnsi="Arial"/>
          <w:sz w:val="18"/>
          <w:szCs w:val="18"/>
          <w:color w:val="auto"/>
        </w:rPr>
        <w:t>for certificated notes, except in limited circumstances. See “Description of the Notes—Book-Entry System” in this prospectus supplement.</w:t>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Prospective investors should carefully consider all of the information set forth in this prospectus supplement, the accompanying prospectus and any documents incorporated herein by reference before deciding to invest in any of the notes. The following is not intended as, and should not be construed as, an exhaustive list of relevant risk factors. There may be other risks that a prospective investor should consider that are relevant to its own particular circumstances or generally.</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Although we intend to apply to list the notes on the New York Stock Exchange, we cannot assure you that an active trading market will develop for the notes.</w:t>
      </w:r>
    </w:p>
    <w:p>
      <w:pPr>
        <w:spacing w:after="0" w:line="1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notes are a new issue of securities for which there is no trading market. Although we intend to apply to list the notes on the New York Stock Exchange, we can provide no assurance regarding the future development or maintenance of a market for the notes or the ability of holders of the notes to sell their notes. If such a market were to develop on the New York Stock Exchange or otherwise, the notes could trade at prices which may be higher or lower than the initial offering price depending on many factors independent of our creditworthiness, including, among other things:</w:t>
      </w:r>
    </w:p>
    <w:p>
      <w:pPr>
        <w:spacing w:after="0" w:line="3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 the credit ratings of our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remaining to the maturity of the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outstanding principal amount of the notes;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choose to redeem the notes prior to maturity.</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may redeem all or a portion of the notes at any time on or after December 15, 2017 at a redemption price equal to 100% of the principal amount redeemed plus accrued and unpaid interest to the redemption date. If prevailing interest rates are lower at the time of redemption, you may not be able to reinvest the redemption proceeds in a comparable security at an interest rate as high as the interest rate of the notes being redeemed. Our redemption right may also adversely affect your ability to sell your notes as December 15, 2017 approaches and after such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use the proceeds from this offering, after deducting fees and expenses, for working capital and general corporate purposes.</w:t>
      </w:r>
    </w:p>
    <w:p>
      <w:pPr>
        <w:spacing w:after="0" w:line="19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For the</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gridSpan w:val="3"/>
            <w:vMerge w:val="restart"/>
          </w:tcPr>
          <w:p>
            <w:pPr>
              <w:jc w:val="center"/>
              <w:ind w:left="482"/>
              <w:spacing w:after="0"/>
              <w:rPr>
                <w:sz w:val="20"/>
                <w:szCs w:val="20"/>
                <w:color w:val="auto"/>
              </w:rPr>
            </w:pPr>
            <w:r>
              <w:rPr>
                <w:rFonts w:ascii="Arial" w:cs="Arial" w:eastAsia="Arial" w:hAnsi="Arial"/>
                <w:sz w:val="14"/>
                <w:szCs w:val="14"/>
                <w:b w:val="1"/>
                <w:bCs w:val="1"/>
                <w:color w:val="auto"/>
                <w:w w:val="83"/>
              </w:rPr>
              <w:t>2012</w:t>
            </w:r>
          </w:p>
        </w:tc>
        <w:tc>
          <w:tcPr>
            <w:tcW w:w="2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820" w:type="dxa"/>
            <w:vAlign w:val="bottom"/>
            <w:tcBorders>
              <w:bottom w:val="single" w:sz="8" w:color="CCEEFF"/>
            </w:tcBorders>
            <w:gridSpan w:val="3"/>
            <w:vMerge w:val="continue"/>
          </w:tcPr>
          <w:p>
            <w:pPr>
              <w:spacing w:after="0"/>
              <w:rPr>
                <w:sz w:val="11"/>
                <w:szCs w:val="11"/>
                <w:color w:val="auto"/>
              </w:rPr>
            </w:pPr>
          </w:p>
        </w:tc>
        <w:tc>
          <w:tcPr>
            <w:tcW w:w="720" w:type="dxa"/>
            <w:vAlign w:val="bottom"/>
            <w:tcBorders>
              <w:bottom w:val="single" w:sz="8" w:color="CCEEFF"/>
            </w:tcBorders>
            <w:gridSpan w:val="2"/>
          </w:tcPr>
          <w:p>
            <w:pPr>
              <w:spacing w:after="0"/>
              <w:rPr>
                <w:sz w:val="11"/>
                <w:szCs w:val="11"/>
                <w:color w:val="auto"/>
              </w:rPr>
            </w:pPr>
          </w:p>
        </w:tc>
        <w:tc>
          <w:tcPr>
            <w:tcW w:w="1700" w:type="dxa"/>
            <w:vAlign w:val="bottom"/>
            <w:tcBorders>
              <w:top w:val="single" w:sz="8" w:color="auto"/>
              <w:bottom w:val="single" w:sz="8" w:color="auto"/>
            </w:tcBorders>
          </w:tcPr>
          <w:p>
            <w:pPr>
              <w:jc w:val="right"/>
              <w:ind w:right="642"/>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262"/>
              <w:spacing w:after="0" w:line="129"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700" w:type="dxa"/>
            <w:vAlign w:val="bottom"/>
            <w:tcBorders>
              <w:top w:val="single" w:sz="8" w:color="auto"/>
              <w:bottom w:val="single" w:sz="8" w:color="auto"/>
            </w:tcBorders>
          </w:tcPr>
          <w:p>
            <w:pPr>
              <w:jc w:val="right"/>
              <w:ind w:right="622"/>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642"/>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CCEEFF"/>
            </w:tcBorders>
          </w:tcPr>
          <w:p>
            <w:pPr>
              <w:spacing w:after="0"/>
              <w:rPr>
                <w:sz w:val="11"/>
                <w:szCs w:val="11"/>
                <w:color w:val="auto"/>
              </w:rPr>
            </w:pPr>
          </w:p>
        </w:tc>
        <w:tc>
          <w:tcPr>
            <w:tcW w:w="1600" w:type="dxa"/>
            <w:vAlign w:val="bottom"/>
            <w:tcBorders>
              <w:top w:val="single" w:sz="8" w:color="auto"/>
              <w:bottom w:val="single" w:sz="8" w:color="auto"/>
            </w:tcBorders>
          </w:tcPr>
          <w:p>
            <w:pPr>
              <w:jc w:val="right"/>
              <w:ind w:right="582"/>
              <w:spacing w:after="0" w:line="129"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03"/>
        </w:trPr>
        <w:tc>
          <w:tcPr>
            <w:tcW w:w="8580" w:type="dxa"/>
            <w:vAlign w:val="bottom"/>
            <w:gridSpan w:val="13"/>
            <w:shd w:val="clear" w:color="auto" w:fill="CCEEFF"/>
          </w:tcPr>
          <w:p>
            <w:pPr>
              <w:ind w:left="440"/>
              <w:spacing w:after="0" w:line="202" w:lineRule="exact"/>
              <w:rPr>
                <w:sz w:val="20"/>
                <w:szCs w:val="20"/>
                <w:color w:val="auto"/>
              </w:rPr>
            </w:pPr>
            <w:r>
              <w:rPr>
                <w:rFonts w:ascii="Arial" w:cs="Arial" w:eastAsia="Arial" w:hAnsi="Arial"/>
                <w:sz w:val="18"/>
                <w:szCs w:val="18"/>
                <w:b w:val="1"/>
                <w:bCs w:val="1"/>
                <w:color w:val="auto"/>
                <w:w w:val="88"/>
              </w:rPr>
              <w:t>Ratio of earnings to fixed charges and ratio of earnings to combined fixed charges and preferred dividends: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4.86x</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4.04x</w:t>
            </w:r>
          </w:p>
        </w:tc>
        <w:tc>
          <w:tcPr>
            <w:tcW w:w="1320" w:type="dxa"/>
            <w:vAlign w:val="bottom"/>
          </w:tcPr>
          <w:p>
            <w:pPr>
              <w:jc w:val="center"/>
              <w:ind w:left="302"/>
              <w:spacing w:after="0"/>
              <w:rPr>
                <w:sz w:val="20"/>
                <w:szCs w:val="20"/>
                <w:color w:val="auto"/>
              </w:rPr>
            </w:pPr>
            <w:r>
              <w:rPr>
                <w:rFonts w:ascii="Arial" w:cs="Arial" w:eastAsia="Arial" w:hAnsi="Arial"/>
                <w:sz w:val="18"/>
                <w:szCs w:val="18"/>
                <w:color w:val="auto"/>
                <w:w w:val="86"/>
              </w:rPr>
              <w:t>3.57x</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3.01x</w:t>
            </w:r>
          </w:p>
        </w:tc>
        <w:tc>
          <w:tcPr>
            <w:tcW w:w="1240" w:type="dxa"/>
            <w:vAlign w:val="bottom"/>
            <w:gridSpan w:val="2"/>
          </w:tcPr>
          <w:p>
            <w:pPr>
              <w:jc w:val="center"/>
              <w:ind w:right="660"/>
              <w:spacing w:after="0"/>
              <w:rPr>
                <w:sz w:val="20"/>
                <w:szCs w:val="20"/>
                <w:color w:val="auto"/>
              </w:rPr>
            </w:pPr>
            <w:r>
              <w:rPr>
                <w:rFonts w:ascii="Arial" w:cs="Arial" w:eastAsia="Arial" w:hAnsi="Arial"/>
                <w:sz w:val="18"/>
                <w:szCs w:val="18"/>
                <w:color w:val="auto"/>
                <w:w w:val="86"/>
              </w:rPr>
              <w:t>2.49x</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2.73x</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left="460"/>
        <w:spacing w:after="0"/>
        <w:tabs>
          <w:tab w:leader="none" w:pos="2660" w:val="left"/>
          <w:tab w:leader="none" w:pos="5260" w:val="left"/>
        </w:tabs>
        <w:rPr>
          <w:sz w:val="20"/>
          <w:szCs w:val="20"/>
          <w:color w:val="auto"/>
        </w:rPr>
      </w:pPr>
      <w:r>
        <w:rPr>
          <w:rFonts w:ascii="Arial" w:cs="Arial" w:eastAsia="Arial" w:hAnsi="Arial"/>
          <w:sz w:val="18"/>
          <w:szCs w:val="18"/>
          <w:color w:val="auto"/>
        </w:rPr>
        <w:t>We are initially offering $</w:t>
      </w:r>
      <w:r>
        <w:rPr>
          <w:sz w:val="20"/>
          <w:szCs w:val="20"/>
          <w:color w:val="auto"/>
        </w:rPr>
        <w:tab/>
      </w:r>
      <w:r>
        <w:rPr>
          <w:rFonts w:ascii="Arial" w:cs="Arial" w:eastAsia="Arial" w:hAnsi="Arial"/>
          <w:sz w:val="18"/>
          <w:szCs w:val="18"/>
          <w:color w:val="auto"/>
        </w:rPr>
        <w:t>aggregate principal amount of our</w:t>
      </w:r>
      <w:r>
        <w:rPr>
          <w:sz w:val="20"/>
          <w:szCs w:val="20"/>
          <w:color w:val="auto"/>
        </w:rPr>
        <w:tab/>
      </w:r>
      <w:r>
        <w:rPr>
          <w:rFonts w:ascii="Arial" w:cs="Arial" w:eastAsia="Arial" w:hAnsi="Arial"/>
          <w:sz w:val="15"/>
          <w:szCs w:val="15"/>
          <w:color w:val="auto"/>
        </w:rPr>
        <w:t>% Notes due 2061. The notes will be a separate series of securities issued under an</w:t>
      </w:r>
    </w:p>
    <w:p>
      <w:pPr>
        <w:spacing w:after="0" w:line="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indenture, dated as of January 7, 2003 and supplemented as of March 25, 2003 and August 31, 2009, among us, the cable guarantors and The Bank of New York Mellon, formerly known as The Bank of New York, as trustee. The notes will be our direct unsecured and unsubordinated obligations and will be fully and unconditionally guaranteed by Comcast Cable Communications, LLC,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2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25" w:lineRule="exact"/>
        <w:rPr>
          <w:sz w:val="20"/>
          <w:szCs w:val="20"/>
          <w:color w:val="auto"/>
        </w:rPr>
      </w:pPr>
    </w:p>
    <w:p>
      <w:pPr>
        <w:ind w:left="900" w:right="200" w:hanging="319"/>
        <w:spacing w:after="0" w:line="259" w:lineRule="auto"/>
        <w:tabs>
          <w:tab w:leader="none" w:pos="880" w:val="left"/>
        </w:tabs>
        <w:rPr>
          <w:sz w:val="20"/>
          <w:szCs w:val="20"/>
          <w:color w:val="auto"/>
        </w:rPr>
      </w:pPr>
      <w:r>
        <w:rPr>
          <w:rFonts w:ascii="Arial" w:cs="Arial" w:eastAsia="Arial" w:hAnsi="Arial"/>
          <w:sz w:val="18"/>
          <w:szCs w:val="18"/>
          <w:color w:val="auto"/>
        </w:rPr>
        <w:t>•</w:t>
        <w:tab/>
        <w:t>will be issued in an initial aggregate principal amount of $ ($ if the underwriters exercise their overallotment option in full), maturing on December 15, 2061, with interest payable quarterly on each March 15, June 15, September 15 and December 15, beginning March 15, 2013, to holders of record on the preceding March 1, June 1, September 1 and December 1; and</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$25.00 and multiples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December , 2012 and the date of original issuance, or (ii) from the most recent interest payment date to which interest has been paid, and will be payable quarterly on interest payment dates described for each year.</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will have the right at our option to redeem the notes in whole or in part, at any time or from time to time on or after December 15, 2017 and prior to their maturity, on at least 30 days, but not more than 60 days, prior notice mailed to the registered address of each holder, at a redemption price equal to 100% of the principal amount of such notes, plus any accrued and unpaid interest thereon to the date of redemption.</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Characteristics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We intend to apply to list the notes on the New York Stock Exchange under the symbol “CCV”. If the application is approved, we expect trading in the notes on the New York Stock Exchange to begin within 30 days after the original issue date. The notes are expected to trade “flat”. This means that purchasers will not pay, and sellers will not receive, accrued and unpaid interest on the notes that is not included in their trading price.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$25.00 principal amount and multiples thereof if:</w:t>
      </w:r>
    </w:p>
    <w:p>
      <w:pPr>
        <w:spacing w:after="0" w:line="51" w:lineRule="exact"/>
        <w:rPr>
          <w:sz w:val="20"/>
          <w:szCs w:val="20"/>
          <w:color w:val="auto"/>
        </w:rPr>
      </w:pPr>
    </w:p>
    <w:p>
      <w:pPr>
        <w:ind w:left="900" w:right="5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right="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the Notes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Based upon an analysis of the relevant facts and circumstances it is the opinion of Davis Polk &amp; Wardwell LLP that under applicable law as of the date of this prospectus supplement, the notes will be treated as indebtedness for U.S. federal income tax purposes. Because there is no controlling authority directly on point and this opinion is not binding on the Internal Revenue Service (“IRS”) or any court, there can be no assurance that the IRS or a court will agree with this opinion. If the IRS were successful in challenging the classification of the notes as indebtedness, interest payments on the notes would be treated for U.S. federal income tax purposes as dividends to the extent of our current or accumulated earnings and profits. Payments to a Non-U.S. Holder that are treated as dividends would generally be subject to withholding of U.S. federal income tax, except to the extent provided by an applicable income tax treaty. Non-U.S. Holders should consult their own tax advisors regarding the tax consequences that will arise if the notes are not treated as indebtedness for U.S. federal income tax purposes. The remainder of this discussion assumes that the notes will be treated as indebtedness for U.S. federal income tax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under penalties of perjury, that it is not a U.S. person.</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tax advisors with respect to other U.S. tax consequences of the ownership and disposition of notes including the possible imposition of an additional branch profits tax at a rate of 30% (or lower treaty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Underwriter</w:t>
            </w:r>
          </w:p>
        </w:tc>
        <w:tc>
          <w:tcPr>
            <w:tcW w:w="466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Principal Amount</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660" w:type="dxa"/>
            <w:vAlign w:val="bottom"/>
          </w:tcPr>
          <w:p>
            <w:pPr>
              <w:spacing w:after="0"/>
              <w:rPr>
                <w:sz w:val="14"/>
                <w:szCs w:val="14"/>
                <w:color w:val="auto"/>
              </w:rPr>
            </w:pPr>
          </w:p>
        </w:tc>
        <w:tc>
          <w:tcPr>
            <w:tcW w:w="12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2"/>
              </w:rPr>
              <w:t>of Notes</w:t>
            </w:r>
          </w:p>
        </w:tc>
        <w:tc>
          <w:tcPr>
            <w:tcW w:w="0" w:type="dxa"/>
            <w:vAlign w:val="bottom"/>
          </w:tcPr>
          <w:p>
            <w:pPr>
              <w:spacing w:after="0"/>
              <w:rPr>
                <w:sz w:val="1"/>
                <w:szCs w:val="1"/>
                <w:color w:val="auto"/>
              </w:rPr>
            </w:pPr>
          </w:p>
        </w:tc>
      </w:tr>
      <w:tr>
        <w:trPr>
          <w:trHeight w:val="181"/>
        </w:trPr>
        <w:tc>
          <w:tcPr>
            <w:tcW w:w="45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Merrill Lynch, Pierce, Fenner &amp; Smith</w:t>
            </w:r>
          </w:p>
        </w:tc>
        <w:tc>
          <w:tcPr>
            <w:tcW w:w="46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Incorporated</w:t>
            </w:r>
          </w:p>
        </w:tc>
        <w:tc>
          <w:tcPr>
            <w:tcW w:w="582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4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46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5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4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900"/>
        <w:spacing w:after="0"/>
        <w:tabs>
          <w:tab w:leader="none" w:pos="96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19685</wp:posOffset>
            </wp:positionV>
            <wp:extent cx="737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36830</wp:posOffset>
            </wp:positionV>
            <wp:extent cx="737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1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opinions. The underwriters reserve the right to withdraw, cancel or modify offers to the public and to reject orders in whole or in part.</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December , 2012,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on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granted to the underwriters an option, exercisable for 10 days from the date of this prospectus supplement, to purchase up to an additional $ aggregate principal amount of notes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notes approximately proportionate to that underwriter’s initial purchase commitment. If the underwriters exercise their over-allotment option in full (and</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assuming that all notes sold pursuant to the over-allotment option are related to retail orders) the total price to the public would be $ , the total underwriting discount would be $ and the total proceeds, before deducting expenses, to us would be $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initially to offer the notes to the public at the public offering price on the cover page of this prospectus</w:t>
      </w:r>
    </w:p>
    <w:p>
      <w:pPr>
        <w:spacing w:after="0" w:line="38"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supplement, and to dealers at that price less a concession not in excess of $ per note for retail orders and $ per note for institutional orders. The underwriters may allow, and the dealers may reallow, a discount not in excess of $ per note to other dealers. After the initial public offering, the public offering prices, concessions and discounts may be changed.</w:t>
      </w:r>
    </w:p>
    <w:p>
      <w:pPr>
        <w:sectPr>
          <w:pgSz w:w="11900" w:h="16838" w:orient="portrait"/>
          <w:cols w:equalWidth="0" w:num="1">
            <w:col w:w="11400"/>
          </w:cols>
          <w:pgMar w:left="240" w:top="459" w:right="259" w:bottom="1440" w:gutter="0" w:footer="0" w:header="0"/>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expenses of the offering, not including the underwriting discount, are estimated to be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and are payable by us.</w:t>
      </w:r>
    </w:p>
    <w:p>
      <w:pPr>
        <w:spacing w:after="0" w:line="200" w:lineRule="exact"/>
        <w:rPr>
          <w:sz w:val="20"/>
          <w:szCs w:val="20"/>
          <w:color w:val="auto"/>
        </w:rPr>
      </w:pPr>
    </w:p>
    <w:p>
      <w:pPr>
        <w:sectPr>
          <w:pgSz w:w="11900" w:h="16838" w:orient="portrait"/>
          <w:cols w:equalWidth="0" w:num="2">
            <w:col w:w="6880" w:space="400"/>
            <w:col w:w="4120"/>
          </w:cols>
          <w:pgMar w:left="240" w:top="459" w:right="259" w:bottom="1440" w:gutter="0" w:footer="0" w:header="0"/>
          <w:type w:val="continuous"/>
        </w:sectPr>
      </w:pPr>
    </w:p>
    <w:p>
      <w:pPr>
        <w:spacing w:after="0" w:line="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notes.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Full Exercise</w:t>
            </w: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note (retail orders)</w:t>
            </w:r>
          </w:p>
        </w:tc>
        <w:tc>
          <w:tcPr>
            <w:tcW w:w="30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Per note (institutional orders)</w:t>
            </w:r>
          </w:p>
        </w:tc>
        <w:tc>
          <w:tcPr>
            <w:tcW w:w="3780" w:type="dxa"/>
            <w:vAlign w:val="bottom"/>
            <w:gridSpan w:val="2"/>
          </w:tcPr>
          <w:p>
            <w:pPr>
              <w:ind w:left="30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8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notes are a new issue of securities with no established trading market. We intend to apply to list the notes on the New York Stock Exchange under the symbol “CCV”. If the application is approved, we expect trading in the notes on the New York Stock Exchange to begin within 30 days after the original issue date.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 active public market for the notes will develop. If an active public trading market for the notes does not develop, the market price and liquidity of the notes may be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agreed that for a period of 10 days from the date of this prospectus supplement we will not, without first obtaining the consent of Merrill Lynch, Pierce, Fenner &amp; Smith Incorporated, Morgan Stanley &amp; Co. LLC, UBS Securities LLC and Wells Fargo Securities, LLC, directly or indirectly, sell or offer to contract or grant any option to sell, transfer or establish an open put equivalent position, or otherwise dispose of or transfer, or announce the offering of, or file any registration statement under the Securities Act of 1933 in respect of, any retail-directed, $25 principal amount, debt securities or securities exchangeable for or convertible into such debt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Specifically, the underwriters may sell a principal amount of notes greater than they are obligated to purchase under the underwriting agreement, creating a short position. A short sale is covered if the short position is no greater than the principal amount of notes available for purchase by the underwriters under the over-allotment option. The underwriters can close out a covered short sale by exercising the over-allotment option or purchasing notes in the open market. In determining the source of notes to close out a covered short sale, the underwriters will consider, among other things, the open market price of shares compared to the price available under the over-allotment option. The underwriters may also sell a principal amount of notes in excess of the over-allotment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this offering. As an additional means of facilitating this offering, the underwriters may bid for, and purchase, notes in the open market to stabilize the price of the notes. Purchases of a security to stabilize the price or to reduce a short position could cause the price of the security to be higher than it might be in the absence of such purchases.</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securities and instruments of the Issuer.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80"/>
        <w:spacing w:after="0" w:line="370" w:lineRule="auto"/>
        <w:rPr>
          <w:sz w:val="20"/>
          <w:szCs w:val="20"/>
          <w:color w:val="auto"/>
        </w:rPr>
      </w:pPr>
      <w:r>
        <w:rPr>
          <w:rFonts w:ascii="Arial" w:cs="Arial" w:eastAsia="Arial" w:hAnsi="Arial"/>
          <w:sz w:val="15"/>
          <w:szCs w:val="15"/>
          <w:color w:val="auto"/>
        </w:rPr>
        <w:t>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Each person in a Relevant Member State who initially acquires any notes or to whom any offer is made will be deemed to have represented, acknowledged and agreed that (A) it is a “qualified investor” within the meaning of the law in that Relevant Member State implementing Article 2(1)(e) of the Prospectus Directive; and (B) in the case of any notes acquired by it as a financial intermediary, as that term is used in Article 3(2) of the Prospectus Directive, the notes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representatives has been given to the offer or resale. In the case of any notes being offered to a financial intermediary, as that term is used in Article 3(2) of the Prospectus Directive, each such financial intermediary will be deemed to have represented, acknowledged and agreed that the notes acquired by it in the offer have not been acquired on a non-discretionary basis on behalf of, nor have they been acquired with a view to their offer or resale to, persons in circumstances that may give rise to an offer of any notes to the public other than their offer or resale in a Relevant Member State to qualified investors as so defined or in circumstances in which the prior consent of the representatives has been obtained to each such proposed offer or resale.</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representatives and our and their respective affiliates will rely upon the truth and accuracy of the foregoing representation, acknowledgement and agreement.</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have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that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right="20" w:firstLine="443"/>
        <w:spacing w:after="0" w:line="268"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General Counsel and Secretary of Comcast Corporation, Thomas R. Nathan, Esquire, Senior Vice President of the cable guarantors, and by Davis Polk &amp; Wardwell LLP, Menlo Park, California.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 this prospectus supplement by reference from the Company’s Annual Report on Form 10-K for the year ended December 31, 2011,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898525</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349250</wp:posOffset>
            </wp:positionV>
            <wp:extent cx="1397635"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Unsecured senior debt securities</w:t>
            </w:r>
          </w:p>
        </w:tc>
        <w:tc>
          <w:tcPr>
            <w:tcW w:w="1480" w:type="dxa"/>
            <w:vAlign w:val="bottom"/>
          </w:tcPr>
          <w:p>
            <w:pPr>
              <w:ind w:left="136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stock</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Unsecured subordinated debt securities</w:t>
            </w:r>
          </w:p>
        </w:tc>
        <w:tc>
          <w:tcPr>
            <w:tcW w:w="1480" w:type="dxa"/>
            <w:vAlign w:val="bottom"/>
          </w:tcPr>
          <w:p>
            <w:pPr>
              <w:ind w:left="136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Depositary shares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Warrants</w:t>
            </w:r>
          </w:p>
        </w:tc>
        <w:tc>
          <w:tcPr>
            <w:tcW w:w="3740" w:type="dxa"/>
            <w:vAlign w:val="bottom"/>
            <w:gridSpan w:val="2"/>
          </w:tcPr>
          <w:p>
            <w:pPr>
              <w:ind w:left="1360"/>
              <w:spacing w:after="0"/>
              <w:rPr>
                <w:sz w:val="20"/>
                <w:szCs w:val="20"/>
                <w:color w:val="auto"/>
              </w:rPr>
            </w:pPr>
            <w:r>
              <w:rPr>
                <w:rFonts w:ascii="Arial" w:cs="Arial" w:eastAsia="Arial" w:hAnsi="Arial"/>
                <w:sz w:val="18"/>
                <w:szCs w:val="18"/>
                <w:color w:val="auto"/>
              </w:rPr>
              <w:t>•  Class A common stock</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Purchase contracts</w:t>
            </w:r>
          </w:p>
        </w:tc>
        <w:tc>
          <w:tcPr>
            <w:tcW w:w="3740" w:type="dxa"/>
            <w:vAlign w:val="bottom"/>
            <w:gridSpan w:val="2"/>
          </w:tcPr>
          <w:p>
            <w:pPr>
              <w:ind w:left="1360"/>
              <w:spacing w:after="0"/>
              <w:rPr>
                <w:sz w:val="20"/>
                <w:szCs w:val="20"/>
                <w:color w:val="auto"/>
              </w:rPr>
            </w:pPr>
            <w:r>
              <w:rPr>
                <w:rFonts w:ascii="Arial" w:cs="Arial" w:eastAsia="Arial" w:hAnsi="Arial"/>
                <w:sz w:val="18"/>
                <w:szCs w:val="18"/>
                <w:color w:val="auto"/>
                <w:w w:val="89"/>
              </w:rPr>
              <w:t>•  Class A Special common stock</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Units</w:t>
            </w:r>
          </w:p>
        </w:tc>
        <w:tc>
          <w:tcPr>
            <w:tcW w:w="148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pacing w:after="0" w:line="15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cable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February 23, 2012, the reported last sale prices on the Nasdaq Global Select Market for our Class A common stock and our Class A Special common stock were $29.81 and $28.88,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3040" w:type="dxa"/>
            <w:vAlign w:val="bottom"/>
          </w:tcPr>
          <w:p>
            <w:pPr>
              <w:ind w:left="80"/>
              <w:spacing w:after="0"/>
              <w:rPr>
                <w:sz w:val="20"/>
                <w:szCs w:val="20"/>
                <w:color w:val="auto"/>
              </w:rPr>
            </w:pPr>
            <w:r>
              <w:rPr>
                <w:rFonts w:ascii="Arial" w:cs="Arial" w:eastAsia="Arial" w:hAnsi="Arial"/>
                <w:sz w:val="18"/>
                <w:szCs w:val="18"/>
                <w:color w:val="auto"/>
              </w:rPr>
              <w:t>Dividends</w:t>
            </w:r>
          </w:p>
        </w:tc>
        <w:tc>
          <w:tcPr>
            <w:tcW w:w="3060" w:type="dxa"/>
            <w:vAlign w:val="bottom"/>
            <w:gridSpan w:val="2"/>
          </w:tcPr>
          <w:p>
            <w:pPr>
              <w:ind w:left="720"/>
              <w:spacing w:after="0"/>
              <w:rPr>
                <w:sz w:val="20"/>
                <w:szCs w:val="20"/>
                <w:color w:val="auto"/>
              </w:rPr>
            </w:pPr>
            <w:r>
              <w:rPr>
                <w:rFonts w:ascii="Arial" w:cs="Arial" w:eastAsia="Arial" w:hAnsi="Arial"/>
                <w:sz w:val="18"/>
                <w:szCs w:val="18"/>
                <w:color w:val="auto"/>
                <w:w w:val="89"/>
              </w:rPr>
              <w:t>•  Conversion or exchange rights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3040" w:type="dxa"/>
            <w:vAlign w:val="bottom"/>
          </w:tcPr>
          <w:p>
            <w:pPr>
              <w:ind w:left="8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222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rPr>
              <w:t>Sinking fund terms</w:t>
            </w:r>
          </w:p>
        </w:tc>
        <w:tc>
          <w:tcPr>
            <w:tcW w:w="3720" w:type="dxa"/>
            <w:vAlign w:val="bottom"/>
            <w:gridSpan w:val="2"/>
          </w:tcPr>
          <w:p>
            <w:pPr>
              <w:ind w:left="560"/>
              <w:spacing w:after="0"/>
              <w:rPr>
                <w:sz w:val="20"/>
                <w:szCs w:val="20"/>
                <w:color w:val="auto"/>
              </w:rPr>
            </w:pPr>
            <w:r>
              <w:rPr>
                <w:rFonts w:ascii="Arial" w:cs="Arial" w:eastAsia="Arial" w:hAnsi="Arial"/>
                <w:sz w:val="18"/>
                <w:szCs w:val="18"/>
                <w:color w:val="auto"/>
              </w:rPr>
              <w:t>•  Listing on a securities exchange</w:t>
            </w:r>
          </w:p>
        </w:tc>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222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3720" w:type="dxa"/>
            <w:vAlign w:val="bottom"/>
            <w:gridSpan w:val="2"/>
          </w:tcPr>
          <w:p>
            <w:pPr>
              <w:ind w:left="56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28 of our annual report on Form 10-K for the year ended December 31, 2011,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162560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February 24, 2012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4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20" w:type="dxa"/>
            <w:vAlign w:val="bottom"/>
            <w:gridSpan w:val="3"/>
            <w:vMerge w:val="restart"/>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The Companies</w:t>
              </w:r>
            </w:hyperlink>
          </w:p>
        </w:tc>
        <w:tc>
          <w:tcPr>
            <w:tcW w:w="9940" w:type="dxa"/>
            <w:vAlign w:val="bottom"/>
            <w:gridSpan w:val="10"/>
            <w:vMerge w:val="restart"/>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40" w:type="dxa"/>
            <w:vAlign w:val="bottom"/>
            <w:gridSpan w:val="10"/>
            <w:vMerge w:val="continue"/>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Caution Concerning Forward-Looking Statements</w:t>
              </w:r>
            </w:hyperlink>
          </w:p>
        </w:tc>
        <w:tc>
          <w:tcPr>
            <w:tcW w:w="752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Dividend Policy</w:t>
              </w:r>
            </w:hyperlink>
          </w:p>
        </w:tc>
        <w:tc>
          <w:tcPr>
            <w:tcW w:w="990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Ratios of Earnings to Fixed Charges and of Earnings to Combined Fixed Charges and Preferred Dividends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Debt Securities and Cable Guarantees</w:t>
              </w:r>
            </w:hyperlink>
          </w:p>
        </w:tc>
        <w:tc>
          <w:tcPr>
            <w:tcW w:w="35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Global Securities</w:t>
              </w:r>
            </w:hyperlink>
          </w:p>
        </w:tc>
        <w:tc>
          <w:tcPr>
            <w:tcW w:w="734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Description of Capital Stock</w:t>
              </w:r>
            </w:hyperlink>
          </w:p>
        </w:tc>
        <w:tc>
          <w:tcPr>
            <w:tcW w:w="904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96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100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Available Information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Incorporation of Certain Documents by Reference</w:t>
              </w:r>
            </w:hyperlink>
          </w:p>
        </w:tc>
        <w:tc>
          <w:tcPr>
            <w:tcW w:w="752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following the closing of our transaction on January 28, 2011, as “we,” “us,” “our” or comparable terms and to Comcast Holdings Corporation as “Comcast Holdings.” We refer to Comcast Cable Communications, LLC as “Comcast Cable,” Comcast MO Group, Inc. as “Comcast MO Group,” Comcast Cable Holdings, LLC as “Comcast Cable Holdings,” Comcast MO of Delaware, LLC as “Comcast MO of Delaware,” and all of them collectively as the “Cable Guarantors.”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are a leading provider of entertainment, information and communications products and services. We were incorporated under the laws of Pennsylvania in December 2001. Through our predecessors, we have developed, managed and operated cable systems since 1963. On January 28, 2011, we closed our transaction with General Electric Company in which we acquired a 51% controlling interest in the businesses of NBC Universal, Inc. (now named NBCUniversal Media, LLC (“NBCUniversal”)). As a result of the NBCUniversal transaction, we report our operations as the following five reportable business segments:</w:t>
      </w:r>
    </w:p>
    <w:p>
      <w:pPr>
        <w:spacing w:after="0" w:line="11" w:lineRule="exact"/>
        <w:rPr>
          <w:sz w:val="20"/>
          <w:szCs w:val="20"/>
          <w:color w:val="auto"/>
        </w:rPr>
      </w:pPr>
    </w:p>
    <w:p>
      <w:pPr>
        <w:ind w:left="900" w:right="16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(formerly our Cable segment): Provides video, high-speed Internet and voice services (“cable services”) to residential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customers in 39 states and the District of Columbia.</w:t>
      </w:r>
    </w:p>
    <w:p>
      <w:pPr>
        <w:spacing w:after="0" w:line="38" w:lineRule="exact"/>
        <w:rPr>
          <w:rFonts w:ascii="Arial" w:cs="Arial" w:eastAsia="Arial" w:hAnsi="Arial"/>
          <w:sz w:val="18"/>
          <w:szCs w:val="18"/>
          <w:color w:val="auto"/>
        </w:rPr>
      </w:pPr>
    </w:p>
    <w:p>
      <w:pPr>
        <w:ind w:left="900" w:right="56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television networks, our regional sports and news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our cable television production studio, and our related digital media properties.</w:t>
      </w:r>
    </w:p>
    <w:p>
      <w:pPr>
        <w:spacing w:after="0" w:line="38" w:lineRule="exact"/>
        <w:rPr>
          <w:rFonts w:ascii="Arial" w:cs="Arial" w:eastAsia="Arial" w:hAnsi="Arial"/>
          <w:sz w:val="18"/>
          <w:szCs w:val="18"/>
          <w:color w:val="auto"/>
        </w:rPr>
      </w:pPr>
    </w:p>
    <w:p>
      <w:pPr>
        <w:ind w:left="900" w:right="8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our NBC and Telemundo broadcast networks, our NBC and Telemundo owned local television stations,</w:t>
      </w:r>
      <w:r>
        <w:rPr>
          <w:rFonts w:ascii="Arial" w:cs="Arial" w:eastAsia="Arial" w:hAnsi="Arial"/>
          <w:sz w:val="18"/>
          <w:szCs w:val="18"/>
          <w:b w:val="1"/>
          <w:bCs w:val="1"/>
          <w:color w:val="auto"/>
        </w:rPr>
        <w:t xml:space="preserve"> </w:t>
      </w:r>
      <w:r>
        <w:rPr>
          <w:rFonts w:ascii="Arial" w:cs="Arial" w:eastAsia="Arial" w:hAnsi="Arial"/>
          <w:sz w:val="18"/>
          <w:szCs w:val="18"/>
          <w:color w:val="auto"/>
        </w:rPr>
        <w:t>our broadcast television production operations, and our related digital media properties.</w:t>
      </w:r>
    </w:p>
    <w:p>
      <w:pPr>
        <w:spacing w:after="0" w:line="38"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 filmed entertainment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stage plays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In 2011, our Cable Communications segment generated 67% of our consolidated revenue and 83% of our operating income before depreciation and amortization. Our NBCUniversal segments, which are comprised of our Cable Networks, Broadcast Television, Filmed Entertainment and Theme Parks segments, generated 34% of our consolidated revenue and 19% of our operating income before depreciation and amortization.</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Our other business interests are included in Corporate and Other and primarily include Comcast Spectacor, which owns the Philadelphia Flyers and the Wells Fargo Center, a large, multipurpose arena in Philadelphia. Comcast Spectacor also owns Global Spectrum, which provides facilities management, and Ovations Food Services, which provides food services, for sporting events, concerts and other events.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Holdings, Comcast MO Group and Comcast MO of Delaware. In this prospectus, we refer to these guarantors as the cable guarantors and to these guarantees as the cable guarantees. We have numerous other subsidiaries, including Comcast Holdings and NBCUniversal, and their respective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principal executive offices are located at One Comcast Center, Philadelphia, Pennsylvania 19103-2838, and our telephone number is (215) 286-1700. We maintain a website at http://www.comcast.com where general information about us is available. We are not incorporating the contents of the website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this prospectus and in the documents we incorporate by reference, we state our beliefs of future events and of our future financial performance, including as a result of the NBCUniversal transaction.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2011 incorporated herein by reference. Actual events or our actual results may differ materially from any of our forward-looking statements. We undertake no obligation to update any forward-looking statements.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6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consumer behavior driven by new technologies may adversely affect our competitive position, business and results of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 results of operations and financial condition;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results of operations;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our programming distribution agreements, or the renewal of these agreements on less favorable terms, could adversely affect our businesses and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depends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$0.65 per share.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Borders>
              <w:top w:val="single" w:sz="8" w:color="auto"/>
              <w:bottom w:val="single" w:sz="8" w:color="auto"/>
            </w:tcBorders>
          </w:tcPr>
          <w:p>
            <w:pPr>
              <w:jc w:val="right"/>
              <w:ind w:right="1019"/>
              <w:spacing w:after="0" w:line="156" w:lineRule="exact"/>
              <w:rPr>
                <w:sz w:val="20"/>
                <w:szCs w:val="20"/>
                <w:color w:val="auto"/>
              </w:rPr>
            </w:pPr>
            <w:r>
              <w:rPr>
                <w:rFonts w:ascii="Arial" w:cs="Arial" w:eastAsia="Arial" w:hAnsi="Arial"/>
                <w:sz w:val="14"/>
                <w:szCs w:val="14"/>
                <w:b w:val="1"/>
                <w:bCs w:val="1"/>
                <w:color w:val="auto"/>
              </w:rPr>
              <w:t>2011</w:t>
            </w:r>
          </w:p>
        </w:tc>
        <w:tc>
          <w:tcPr>
            <w:tcW w:w="2380" w:type="dxa"/>
            <w:vAlign w:val="bottom"/>
            <w:tcBorders>
              <w:top w:val="single" w:sz="8" w:color="auto"/>
              <w:bottom w:val="single" w:sz="8" w:color="auto"/>
            </w:tcBorders>
          </w:tcPr>
          <w:p>
            <w:pPr>
              <w:jc w:val="right"/>
              <w:ind w:right="942"/>
              <w:spacing w:after="0" w:line="156" w:lineRule="exact"/>
              <w:rPr>
                <w:sz w:val="20"/>
                <w:szCs w:val="20"/>
                <w:color w:val="auto"/>
              </w:rPr>
            </w:pPr>
            <w:r>
              <w:rPr>
                <w:rFonts w:ascii="Arial" w:cs="Arial" w:eastAsia="Arial" w:hAnsi="Arial"/>
                <w:sz w:val="14"/>
                <w:szCs w:val="14"/>
                <w:b w:val="1"/>
                <w:bCs w:val="1"/>
                <w:color w:val="auto"/>
              </w:rPr>
              <w:t>2010</w:t>
            </w:r>
          </w:p>
        </w:tc>
        <w:tc>
          <w:tcPr>
            <w:tcW w:w="2280" w:type="dxa"/>
            <w:vAlign w:val="bottom"/>
            <w:tcBorders>
              <w:top w:val="single" w:sz="8" w:color="auto"/>
              <w:bottom w:val="single" w:sz="8" w:color="auto"/>
            </w:tcBorders>
          </w:tcPr>
          <w:p>
            <w:pPr>
              <w:jc w:val="right"/>
              <w:ind w:right="922"/>
              <w:spacing w:after="0" w:line="156" w:lineRule="exact"/>
              <w:rPr>
                <w:sz w:val="20"/>
                <w:szCs w:val="20"/>
                <w:color w:val="auto"/>
              </w:rPr>
            </w:pPr>
            <w:r>
              <w:rPr>
                <w:rFonts w:ascii="Arial" w:cs="Arial" w:eastAsia="Arial" w:hAnsi="Arial"/>
                <w:sz w:val="14"/>
                <w:szCs w:val="14"/>
                <w:b w:val="1"/>
                <w:bCs w:val="1"/>
                <w:color w:val="auto"/>
              </w:rPr>
              <w:t>2009</w:t>
            </w:r>
          </w:p>
        </w:tc>
        <w:tc>
          <w:tcPr>
            <w:tcW w:w="2260" w:type="dxa"/>
            <w:vAlign w:val="bottom"/>
            <w:tcBorders>
              <w:top w:val="single" w:sz="8" w:color="auto"/>
              <w:bottom w:val="single" w:sz="8" w:color="auto"/>
            </w:tcBorders>
          </w:tcPr>
          <w:p>
            <w:pPr>
              <w:jc w:val="right"/>
              <w:ind w:right="902"/>
              <w:spacing w:after="0" w:line="156" w:lineRule="exact"/>
              <w:rPr>
                <w:sz w:val="20"/>
                <w:szCs w:val="20"/>
                <w:color w:val="auto"/>
              </w:rPr>
            </w:pPr>
            <w:r>
              <w:rPr>
                <w:rFonts w:ascii="Arial" w:cs="Arial" w:eastAsia="Arial" w:hAnsi="Arial"/>
                <w:sz w:val="14"/>
                <w:szCs w:val="14"/>
                <w:b w:val="1"/>
                <w:bCs w:val="1"/>
                <w:color w:val="auto"/>
              </w:rPr>
              <w:t>2008</w:t>
            </w:r>
          </w:p>
        </w:tc>
        <w:tc>
          <w:tcPr>
            <w:tcW w:w="2060" w:type="dxa"/>
            <w:vAlign w:val="bottom"/>
            <w:tcBorders>
              <w:top w:val="single" w:sz="8" w:color="auto"/>
              <w:bottom w:val="single" w:sz="8" w:color="auto"/>
            </w:tcBorders>
          </w:tcPr>
          <w:p>
            <w:pPr>
              <w:jc w:val="right"/>
              <w:ind w:right="762"/>
              <w:spacing w:after="0" w:line="156" w:lineRule="exact"/>
              <w:rPr>
                <w:sz w:val="20"/>
                <w:szCs w:val="20"/>
                <w:color w:val="auto"/>
              </w:rPr>
            </w:pPr>
            <w:r>
              <w:rPr>
                <w:rFonts w:ascii="Arial" w:cs="Arial" w:eastAsia="Arial" w:hAnsi="Arial"/>
                <w:sz w:val="14"/>
                <w:szCs w:val="14"/>
                <w:b w:val="1"/>
                <w:bCs w:val="1"/>
                <w:color w:val="auto"/>
              </w:rPr>
              <w:t>2007</w:t>
            </w:r>
          </w:p>
        </w:tc>
      </w:tr>
      <w:tr>
        <w:trPr>
          <w:trHeight w:val="210"/>
        </w:trPr>
        <w:tc>
          <w:tcPr>
            <w:tcW w:w="9360" w:type="dxa"/>
            <w:vAlign w:val="bottom"/>
            <w:gridSpan w:val="4"/>
            <w:shd w:val="clear" w:color="auto" w:fill="CCEEFF"/>
          </w:tcPr>
          <w:p>
            <w:pPr>
              <w:ind w:left="440"/>
              <w:spacing w:after="0"/>
              <w:rPr>
                <w:sz w:val="20"/>
                <w:szCs w:val="20"/>
                <w:color w:val="auto"/>
              </w:rPr>
            </w:pPr>
            <w:r>
              <w:rPr>
                <w:rFonts w:ascii="Arial" w:cs="Arial" w:eastAsia="Arial" w:hAnsi="Arial"/>
                <w:sz w:val="18"/>
                <w:szCs w:val="18"/>
                <w:b w:val="1"/>
                <w:bCs w:val="1"/>
                <w:color w:val="auto"/>
                <w:w w:val="96"/>
              </w:rPr>
              <w:t>Ratio of earnings to fixed charges and ratio of earnings to combined fixed charges and preferred dividends:</w:t>
            </w:r>
          </w:p>
        </w:tc>
        <w:tc>
          <w:tcPr>
            <w:tcW w:w="2060" w:type="dxa"/>
            <w:vAlign w:val="bottom"/>
            <w:shd w:val="clear" w:color="auto" w:fill="CCEEFF"/>
          </w:tcPr>
          <w:p>
            <w:pPr>
              <w:spacing w:after="0"/>
              <w:rPr>
                <w:sz w:val="18"/>
                <w:szCs w:val="18"/>
                <w:color w:val="auto"/>
              </w:rPr>
            </w:pPr>
          </w:p>
        </w:tc>
      </w:tr>
      <w:tr>
        <w:trPr>
          <w:trHeight w:val="222"/>
        </w:trPr>
        <w:tc>
          <w:tcPr>
            <w:tcW w:w="2440" w:type="dxa"/>
            <w:vAlign w:val="bottom"/>
          </w:tcPr>
          <w:p>
            <w:pPr>
              <w:jc w:val="center"/>
              <w:spacing w:after="0"/>
              <w:rPr>
                <w:sz w:val="20"/>
                <w:szCs w:val="20"/>
                <w:color w:val="auto"/>
              </w:rPr>
            </w:pPr>
            <w:r>
              <w:rPr>
                <w:rFonts w:ascii="Arial" w:cs="Arial" w:eastAsia="Arial" w:hAnsi="Arial"/>
                <w:sz w:val="18"/>
                <w:szCs w:val="18"/>
                <w:color w:val="auto"/>
                <w:w w:val="86"/>
              </w:rPr>
              <w:t>4.04x</w:t>
            </w:r>
          </w:p>
        </w:tc>
        <w:tc>
          <w:tcPr>
            <w:tcW w:w="2380" w:type="dxa"/>
            <w:vAlign w:val="bottom"/>
          </w:tcPr>
          <w:p>
            <w:pPr>
              <w:jc w:val="center"/>
              <w:ind w:left="22"/>
              <w:spacing w:after="0"/>
              <w:rPr>
                <w:sz w:val="20"/>
                <w:szCs w:val="20"/>
                <w:color w:val="auto"/>
              </w:rPr>
            </w:pPr>
            <w:r>
              <w:rPr>
                <w:rFonts w:ascii="Arial" w:cs="Arial" w:eastAsia="Arial" w:hAnsi="Arial"/>
                <w:sz w:val="18"/>
                <w:szCs w:val="18"/>
                <w:color w:val="auto"/>
                <w:w w:val="90"/>
              </w:rPr>
              <w:t>3.57x</w:t>
            </w: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3.01x</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2.49x</w:t>
            </w:r>
          </w:p>
        </w:tc>
        <w:tc>
          <w:tcPr>
            <w:tcW w:w="2060" w:type="dxa"/>
            <w:vAlign w:val="bottom"/>
          </w:tcPr>
          <w:p>
            <w:pPr>
              <w:jc w:val="center"/>
              <w:ind w:left="62"/>
              <w:spacing w:after="0"/>
              <w:rPr>
                <w:sz w:val="20"/>
                <w:szCs w:val="20"/>
                <w:color w:val="auto"/>
              </w:rPr>
            </w:pPr>
            <w:r>
              <w:rPr>
                <w:rFonts w:ascii="Arial" w:cs="Arial" w:eastAsia="Arial" w:hAnsi="Arial"/>
                <w:sz w:val="18"/>
                <w:szCs w:val="18"/>
                <w:color w:val="auto"/>
                <w:w w:val="90"/>
              </w:rPr>
              <w:t>2.73x</w:t>
            </w:r>
          </w:p>
        </w:tc>
      </w:tr>
    </w:tbl>
    <w:p>
      <w:pPr>
        <w:spacing w:after="0" w:line="14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0"/>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by supplemental indentures dated March 25, 2003 and August 31, 2009, entered into among us, the cable guarantors and The Bank of New York Mellon, formerly known as The Bank of New York, as trustee; and</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Mellon,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Capital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 including Comcast Holdings and NBCUniversal, and their respective subsidiaries.</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325"/>
        <w:spacing w:after="0" w:line="35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as amended,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 owned subsidiary with a positive net worth; provided that, in connection with any merger of us and a wholly 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section, the term “Obligor” shall mean each of us, Comcast Cable, Comcast Cable Holdings, Comcast MO Group and Comcast MO of Delaware, in each case excluding such entity’s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71" w:lineRule="exact"/>
        <w:rPr>
          <w:sz w:val="20"/>
          <w:szCs w:val="20"/>
          <w:color w:val="auto"/>
        </w:rPr>
      </w:pPr>
    </w:p>
    <w:p>
      <w:pPr>
        <w:ind w:right="24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any Obligor:</w:t>
      </w:r>
    </w:p>
    <w:p>
      <w:pPr>
        <w:spacing w:after="0" w:line="90" w:lineRule="exact"/>
        <w:rPr>
          <w:sz w:val="20"/>
          <w:szCs w:val="20"/>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 Modification and Waiver.”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spacing w:after="0" w:line="298" w:lineRule="auto"/>
        <w:rPr>
          <w:sz w:val="20"/>
          <w:szCs w:val="20"/>
          <w:color w:val="auto"/>
        </w:rPr>
      </w:pPr>
      <w:r>
        <w:rPr>
          <w:rFonts w:ascii="Arial" w:cs="Arial" w:eastAsia="Arial" w:hAnsi="Arial"/>
          <w:sz w:val="16"/>
          <w:szCs w:val="16"/>
          <w:color w:val="auto"/>
        </w:rPr>
        <w:t>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32" w:lineRule="exact"/>
        <w:rPr>
          <w:sz w:val="20"/>
          <w:szCs w:val="20"/>
          <w:color w:val="auto"/>
        </w:rPr>
      </w:pPr>
    </w:p>
    <w:p>
      <w:pPr>
        <w:ind w:left="1480" w:right="120" w:hanging="446"/>
        <w:spacing w:after="0" w:line="259"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325"/>
        <w:spacing w:after="0" w:line="290"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4" w:lineRule="exact"/>
        <w:rPr>
          <w:rFonts w:ascii="Arial" w:cs="Arial" w:eastAsia="Arial" w:hAnsi="Arial"/>
          <w:sz w:val="16"/>
          <w:szCs w:val="16"/>
          <w:color w:val="auto"/>
        </w:rPr>
      </w:pPr>
    </w:p>
    <w:p>
      <w:pPr>
        <w:ind w:left="1480" w:right="80" w:hanging="446"/>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to make such other provisions in regard to matters or questions arising under the senior indenture as our Board of Directors may deem necessary or desirable and which shall not adversely affect the interests of the holders in any material respect;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affected holder must consent to any modification, amendment or waiver that:</w:t>
      </w:r>
    </w:p>
    <w:p>
      <w:pPr>
        <w:spacing w:after="0" w:line="35" w:lineRule="exact"/>
        <w:rPr>
          <w:sz w:val="20"/>
          <w:szCs w:val="20"/>
          <w:color w:val="auto"/>
        </w:rPr>
      </w:pPr>
    </w:p>
    <w:p>
      <w:pPr>
        <w:ind w:left="900" w:right="5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an amendment, supplement or waiver that requires the consent of a majority or all of the affected holders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President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 17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6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2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51" w:lineRule="exact"/>
        <w:rPr>
          <w:sz w:val="20"/>
          <w:szCs w:val="20"/>
          <w:color w:val="auto"/>
        </w:rPr>
      </w:pPr>
    </w:p>
    <w:p>
      <w:pPr>
        <w:ind w:left="460" w:right="200" w:firstLine="438"/>
        <w:spacing w:after="0" w:line="298" w:lineRule="auto"/>
        <w:rPr>
          <w:sz w:val="20"/>
          <w:szCs w:val="20"/>
          <w:color w:val="auto"/>
        </w:rPr>
      </w:pPr>
      <w:r>
        <w:rPr>
          <w:rFonts w:ascii="Arial" w:cs="Arial" w:eastAsia="Arial" w:hAnsi="Arial"/>
          <w:sz w:val="16"/>
          <w:szCs w:val="16"/>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32"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$0.65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As of December 31, 2011,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2011,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(subject to certain restrictions through November 17, 2012) to transfer potential effective control by selling the Class B common stock. The Class B common stock is convertible on a share-for-share basis into Class A common stock or Class A Special common stock. As of January 31, 2012, if Mr. Roberts were to convert the Class B common stock he beneficially owns into Class A common stock, Mr. Roberts would beneficially own 15,492,431 shares of Class A common stock, which is less than 1% of the Class A common stock that would be outstanding after the conversion.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hereby, or issuable upon conversion, exchange or exercise of securities offered hereby, will, when issued, be,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been advised that the Class A common stock and Class A Special common stock are exempt from existing Pennsylvania personal property tax.</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description of the material terms of a rights agreement, as amended, with respect to a shareholder rights plan is qualified by reference to the terms of the rights agreement and amendment, which are included as exhibits to the registration statement of which this prospectus is a part.</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A total of 2.5 million shares of preferred stock have been reserved for issuance upon exercise of the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LLP, will pass upon the validity of the securities on our behalf and on behalf of the cable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 filed on February 23,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2011 annual meeting of stockholders incorporated by reference in the Annual Report on Form 10-K for the year ended December 31, 2010.</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1123315</wp:posOffset>
            </wp:positionV>
            <wp:extent cx="1397635" cy="360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hanging="1462"/>
        <w:spacing w:after="0"/>
        <w:tabs>
          <w:tab w:leader="none" w:pos="5200" w:val="left"/>
        </w:tabs>
        <w:numPr>
          <w:ilvl w:val="0"/>
          <w:numId w:val="47"/>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898525</wp:posOffset>
            </wp:positionV>
            <wp:extent cx="1517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187" w:lineRule="exact"/>
        <w:rPr>
          <w:sz w:val="20"/>
          <w:szCs w:val="20"/>
          <w:color w:val="auto"/>
        </w:rPr>
      </w:pPr>
    </w:p>
    <w:p>
      <w:pPr>
        <w:spacing w:after="0"/>
        <w:tabs>
          <w:tab w:leader="none" w:pos="3200" w:val="left"/>
          <w:tab w:leader="none" w:pos="6380" w:val="left"/>
          <w:tab w:leader="none" w:pos="934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1057275</wp:posOffset>
            </wp:positionV>
            <wp:extent cx="15176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1365885</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November</w:t>
      </w:r>
      <w:r>
        <w:rPr>
          <w:sz w:val="20"/>
          <w:szCs w:val="20"/>
          <w:color w:val="auto"/>
        </w:rPr>
        <w:tab/>
      </w:r>
      <w:r>
        <w:rPr>
          <w:rFonts w:ascii="Arial" w:cs="Arial" w:eastAsia="Arial" w:hAnsi="Arial"/>
          <w:sz w:val="15"/>
          <w:szCs w:val="15"/>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2"/>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Letter"/>
      <w:start w:val="3"/>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upperLetter"/>
      <w:start w:val="1"/>
    </w:lvl>
  </w:abstractNum>
  <w:abstractNum w:abstractNumId="13">
    <w:nsid w:val="1E7FF521"/>
    <w:multiLevelType w:val="hybridMultilevel"/>
    <w:lvl w:ilvl="0">
      <w:lvlJc w:val="left"/>
      <w:lvlText w:val="(%1)"/>
      <w:numFmt w:val="lowerRoman"/>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Letter"/>
      <w:start w:val="3"/>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lvl w:ilvl="1">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lvl w:ilvl="1">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lvl w:ilvl="1">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lvl w:ilvl="1">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2019-12-09T15:07:03Z</dcterms:created>
  <dcterms:modified xsi:type="dcterms:W3CDTF">2019-12-09T15:07:03Z</dcterms:modified>
</cp:coreProperties>
</file>