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41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225425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49" w:lineRule="exact"/>
        <w:rPr>
          <w:sz w:val="24"/>
          <w:szCs w:val="24"/>
          <w:color w:val="auto"/>
        </w:rPr>
      </w:pPr>
    </w:p>
    <w:p>
      <w:pPr>
        <w:jc w:val="center"/>
        <w:ind w:right="-41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ind w:right="-419"/>
        <w:spacing w:after="0"/>
        <w:rPr>
          <w:sz w:val="20"/>
          <w:szCs w:val="20"/>
          <w:color w:val="auto"/>
        </w:rPr>
      </w:pPr>
      <w:r>
        <w:rPr>
          <w:rFonts w:ascii="Arial" w:cs="Arial" w:eastAsia="Arial" w:hAnsi="Arial"/>
          <w:sz w:val="29"/>
          <w:szCs w:val="29"/>
          <w:b w:val="1"/>
          <w:bCs w:val="1"/>
          <w:color w:val="auto"/>
        </w:rPr>
        <w:t>Pursuant to Section 13 or 15(d) of the</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9"/>
          <w:szCs w:val="29"/>
          <w:b w:val="1"/>
          <w:bCs w:val="1"/>
          <w:color w:val="auto"/>
        </w:rPr>
        <w:t>Securities Exchange Act of 1934</w:t>
      </w:r>
    </w:p>
    <w:p>
      <w:pPr>
        <w:spacing w:after="0" w:line="246"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Date of report (Date of earliest event reported): September 7, 2016</w:t>
      </w:r>
    </w:p>
    <w:p>
      <w:pPr>
        <w:spacing w:after="0" w:line="1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NBCUniversal Media, LLC</w:t>
      </w:r>
    </w:p>
    <w:p>
      <w:pPr>
        <w:spacing w:after="0" w:line="19"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(Exact Name of Registrant</w:t>
      </w:r>
    </w:p>
    <w:p>
      <w:pPr>
        <w:ind w:left="4940"/>
        <w:spacing w:after="0"/>
        <w:rPr>
          <w:sz w:val="20"/>
          <w:szCs w:val="20"/>
          <w:color w:val="auto"/>
        </w:rPr>
      </w:pPr>
      <w:r>
        <w:rPr>
          <w:rFonts w:ascii="Arial" w:cs="Arial" w:eastAsia="Arial" w:hAnsi="Arial"/>
          <w:sz w:val="14"/>
          <w:szCs w:val="14"/>
          <w:color w:val="auto"/>
        </w:rPr>
        <w:t>as Specified in its Charter)</w:t>
      </w:r>
    </w:p>
    <w:p>
      <w:pPr>
        <w:spacing w:after="0" w:line="19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color w:val="auto"/>
        </w:rPr>
        <w:t>(State or Other Jurisdiction of Incorporation)</w:t>
      </w:r>
    </w:p>
    <w:p>
      <w:pPr>
        <w:spacing w:after="0" w:line="219" w:lineRule="exact"/>
        <w:rPr>
          <w:sz w:val="24"/>
          <w:szCs w:val="24"/>
          <w:color w:val="auto"/>
        </w:rPr>
      </w:pPr>
    </w:p>
    <w:tbl>
      <w:tblPr>
        <w:tblLayout w:type="fixed"/>
        <w:tblInd w:w="1720" w:type="dxa"/>
        <w:tblCellMar>
          <w:top w:w="0" w:type="dxa"/>
          <w:left w:w="0" w:type="dxa"/>
          <w:bottom w:w="0" w:type="dxa"/>
          <w:right w:w="0" w:type="dxa"/>
        </w:tblCellMar>
      </w:tblPr>
      <w:tr>
        <w:trPr>
          <w:trHeight w:val="216"/>
        </w:trPr>
        <w:tc>
          <w:tcPr>
            <w:tcW w:w="4140" w:type="dxa"/>
            <w:vAlign w:val="bottom"/>
          </w:tcPr>
          <w:p>
            <w:pPr>
              <w:jc w:val="center"/>
              <w:ind w:right="1717"/>
              <w:spacing w:after="0"/>
              <w:rPr>
                <w:sz w:val="20"/>
                <w:szCs w:val="20"/>
                <w:color w:val="auto"/>
              </w:rPr>
            </w:pPr>
            <w:r>
              <w:rPr>
                <w:rFonts w:ascii="Arial" w:cs="Arial" w:eastAsia="Arial" w:hAnsi="Arial"/>
                <w:sz w:val="18"/>
                <w:szCs w:val="18"/>
                <w:b w:val="1"/>
                <w:bCs w:val="1"/>
                <w:color w:val="auto"/>
                <w:w w:val="90"/>
              </w:rPr>
              <w:t>001-36438</w:t>
            </w:r>
          </w:p>
        </w:tc>
        <w:tc>
          <w:tcPr>
            <w:tcW w:w="3780" w:type="dxa"/>
            <w:vAlign w:val="bottom"/>
          </w:tcPr>
          <w:p>
            <w:pPr>
              <w:jc w:val="center"/>
              <w:ind w:left="1719"/>
              <w:spacing w:after="0"/>
              <w:rPr>
                <w:sz w:val="20"/>
                <w:szCs w:val="20"/>
                <w:color w:val="auto"/>
              </w:rPr>
            </w:pPr>
            <w:r>
              <w:rPr>
                <w:rFonts w:ascii="Arial" w:cs="Arial" w:eastAsia="Arial" w:hAnsi="Arial"/>
                <w:sz w:val="18"/>
                <w:szCs w:val="18"/>
                <w:b w:val="1"/>
                <w:bCs w:val="1"/>
                <w:color w:val="auto"/>
                <w:w w:val="89"/>
              </w:rPr>
              <w:t>14-1682529</w:t>
            </w:r>
          </w:p>
        </w:tc>
      </w:tr>
      <w:tr>
        <w:trPr>
          <w:trHeight w:val="182"/>
        </w:trPr>
        <w:tc>
          <w:tcPr>
            <w:tcW w:w="4140" w:type="dxa"/>
            <w:vAlign w:val="bottom"/>
          </w:tcPr>
          <w:p>
            <w:pPr>
              <w:jc w:val="center"/>
              <w:ind w:right="1717"/>
              <w:spacing w:after="0"/>
              <w:rPr>
                <w:sz w:val="20"/>
                <w:szCs w:val="20"/>
                <w:color w:val="auto"/>
              </w:rPr>
            </w:pPr>
            <w:r>
              <w:rPr>
                <w:rFonts w:ascii="Arial" w:cs="Arial" w:eastAsia="Arial" w:hAnsi="Arial"/>
                <w:sz w:val="14"/>
                <w:szCs w:val="14"/>
                <w:color w:val="auto"/>
                <w:w w:val="94"/>
              </w:rPr>
              <w:t>(Commission File Number)</w:t>
            </w:r>
          </w:p>
        </w:tc>
        <w:tc>
          <w:tcPr>
            <w:tcW w:w="3780" w:type="dxa"/>
            <w:vAlign w:val="bottom"/>
          </w:tcPr>
          <w:p>
            <w:pPr>
              <w:jc w:val="center"/>
              <w:ind w:left="1719"/>
              <w:spacing w:after="0"/>
              <w:rPr>
                <w:sz w:val="20"/>
                <w:szCs w:val="20"/>
                <w:color w:val="auto"/>
              </w:rPr>
            </w:pPr>
            <w:r>
              <w:rPr>
                <w:rFonts w:ascii="Arial" w:cs="Arial" w:eastAsia="Arial" w:hAnsi="Arial"/>
                <w:sz w:val="14"/>
                <w:szCs w:val="14"/>
                <w:color w:val="auto"/>
                <w:w w:val="97"/>
              </w:rPr>
              <w:t>(IRS Employer Identification No.)</w:t>
            </w:r>
          </w:p>
        </w:tc>
      </w:tr>
      <w:tr>
        <w:trPr>
          <w:trHeight w:val="426"/>
        </w:trPr>
        <w:tc>
          <w:tcPr>
            <w:tcW w:w="4140" w:type="dxa"/>
            <w:vAlign w:val="bottom"/>
          </w:tcPr>
          <w:p>
            <w:pPr>
              <w:jc w:val="center"/>
              <w:ind w:right="1717"/>
              <w:spacing w:after="0"/>
              <w:rPr>
                <w:sz w:val="20"/>
                <w:szCs w:val="20"/>
                <w:color w:val="auto"/>
              </w:rPr>
            </w:pPr>
            <w:r>
              <w:rPr>
                <w:rFonts w:ascii="Arial" w:cs="Arial" w:eastAsia="Arial" w:hAnsi="Arial"/>
                <w:sz w:val="18"/>
                <w:szCs w:val="18"/>
                <w:b w:val="1"/>
                <w:bCs w:val="1"/>
                <w:color w:val="auto"/>
                <w:w w:val="91"/>
              </w:rPr>
              <w:t>30 Rockefeller Plaza</w:t>
            </w:r>
          </w:p>
        </w:tc>
        <w:tc>
          <w:tcPr>
            <w:tcW w:w="3780" w:type="dxa"/>
            <w:vAlign w:val="bottom"/>
          </w:tcPr>
          <w:p>
            <w:pPr>
              <w:spacing w:after="0"/>
              <w:rPr>
                <w:sz w:val="24"/>
                <w:szCs w:val="24"/>
                <w:color w:val="auto"/>
              </w:rPr>
            </w:pPr>
          </w:p>
        </w:tc>
      </w:tr>
      <w:tr>
        <w:trPr>
          <w:trHeight w:val="229"/>
        </w:trPr>
        <w:tc>
          <w:tcPr>
            <w:tcW w:w="4140" w:type="dxa"/>
            <w:vAlign w:val="bottom"/>
          </w:tcPr>
          <w:p>
            <w:pPr>
              <w:jc w:val="center"/>
              <w:ind w:right="1717"/>
              <w:spacing w:after="0"/>
              <w:rPr>
                <w:sz w:val="20"/>
                <w:szCs w:val="20"/>
                <w:color w:val="auto"/>
              </w:rPr>
            </w:pPr>
            <w:r>
              <w:rPr>
                <w:rFonts w:ascii="Arial" w:cs="Arial" w:eastAsia="Arial" w:hAnsi="Arial"/>
                <w:sz w:val="18"/>
                <w:szCs w:val="18"/>
                <w:b w:val="1"/>
                <w:bCs w:val="1"/>
                <w:color w:val="auto"/>
                <w:w w:val="93"/>
              </w:rPr>
              <w:t>New York, New York</w:t>
            </w:r>
          </w:p>
        </w:tc>
        <w:tc>
          <w:tcPr>
            <w:tcW w:w="3780" w:type="dxa"/>
            <w:vAlign w:val="bottom"/>
          </w:tcPr>
          <w:p>
            <w:pPr>
              <w:jc w:val="center"/>
              <w:ind w:left="1719"/>
              <w:spacing w:after="0"/>
              <w:rPr>
                <w:sz w:val="20"/>
                <w:szCs w:val="20"/>
                <w:color w:val="auto"/>
              </w:rPr>
            </w:pPr>
            <w:r>
              <w:rPr>
                <w:rFonts w:ascii="Arial" w:cs="Arial" w:eastAsia="Arial" w:hAnsi="Arial"/>
                <w:sz w:val="18"/>
                <w:szCs w:val="18"/>
                <w:b w:val="1"/>
                <w:bCs w:val="1"/>
                <w:color w:val="auto"/>
                <w:w w:val="89"/>
              </w:rPr>
              <w:t>10112-0015</w:t>
            </w:r>
          </w:p>
        </w:tc>
      </w:tr>
      <w:tr>
        <w:trPr>
          <w:trHeight w:val="182"/>
        </w:trPr>
        <w:tc>
          <w:tcPr>
            <w:tcW w:w="4140" w:type="dxa"/>
            <w:vAlign w:val="bottom"/>
          </w:tcPr>
          <w:p>
            <w:pPr>
              <w:jc w:val="center"/>
              <w:ind w:right="1717"/>
              <w:spacing w:after="0"/>
              <w:rPr>
                <w:sz w:val="20"/>
                <w:szCs w:val="20"/>
                <w:color w:val="auto"/>
              </w:rPr>
            </w:pPr>
            <w:r>
              <w:rPr>
                <w:rFonts w:ascii="Arial" w:cs="Arial" w:eastAsia="Arial" w:hAnsi="Arial"/>
                <w:sz w:val="14"/>
                <w:szCs w:val="14"/>
                <w:color w:val="auto"/>
                <w:w w:val="95"/>
              </w:rPr>
              <w:t>(Address of Principal Executive Offices)</w:t>
            </w:r>
          </w:p>
        </w:tc>
        <w:tc>
          <w:tcPr>
            <w:tcW w:w="3780" w:type="dxa"/>
            <w:vAlign w:val="bottom"/>
          </w:tcPr>
          <w:p>
            <w:pPr>
              <w:jc w:val="center"/>
              <w:ind w:left="1719"/>
              <w:spacing w:after="0"/>
              <w:rPr>
                <w:sz w:val="20"/>
                <w:szCs w:val="20"/>
                <w:color w:val="auto"/>
              </w:rPr>
            </w:pPr>
            <w:r>
              <w:rPr>
                <w:rFonts w:ascii="Arial" w:cs="Arial" w:eastAsia="Arial" w:hAnsi="Arial"/>
                <w:sz w:val="14"/>
                <w:szCs w:val="14"/>
                <w:color w:val="auto"/>
                <w:w w:val="93"/>
              </w:rPr>
              <w:t>(Zip Code)</w:t>
            </w:r>
          </w:p>
        </w:tc>
      </w:tr>
    </w:tbl>
    <w:p>
      <w:pPr>
        <w:spacing w:after="0" w:line="214" w:lineRule="exact"/>
        <w:rPr>
          <w:sz w:val="24"/>
          <w:szCs w:val="24"/>
          <w:color w:val="auto"/>
        </w:rPr>
      </w:pPr>
    </w:p>
    <w:p>
      <w:pPr>
        <w:ind w:left="364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color w:val="auto"/>
        </w:rPr>
        <w:t>(212) 664-4444</w:t>
      </w:r>
    </w:p>
    <w:p>
      <w:pPr>
        <w:spacing w:after="0" w:line="261" w:lineRule="exact"/>
        <w:rPr>
          <w:sz w:val="24"/>
          <w:szCs w:val="24"/>
          <w:color w:val="auto"/>
        </w:rPr>
      </w:pPr>
    </w:p>
    <w:p>
      <w:pPr>
        <w:jc w:val="center"/>
        <w:ind w:right="-4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96" w:lineRule="exact"/>
        <w:rPr>
          <w:sz w:val="24"/>
          <w:szCs w:val="24"/>
          <w:color w:val="auto"/>
        </w:rPr>
      </w:pPr>
    </w:p>
    <w:p>
      <w:pPr>
        <w:jc w:val="center"/>
        <w:ind w:right="-419"/>
        <w:spacing w:after="0"/>
        <w:rPr>
          <w:sz w:val="20"/>
          <w:szCs w:val="20"/>
          <w:color w:val="auto"/>
        </w:rPr>
      </w:pPr>
      <w:r>
        <w:rPr>
          <w:rFonts w:ascii="Arial" w:cs="Arial" w:eastAsia="Arial" w:hAnsi="Arial"/>
          <w:sz w:val="14"/>
          <w:szCs w:val="14"/>
          <w:color w:val="auto"/>
        </w:rPr>
        <w:t>–</w:t>
      </w:r>
    </w:p>
    <w:p>
      <w:pPr>
        <w:spacing w:after="0" w:line="100"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020"/>
          </w:cols>
          <w:pgMar w:left="240" w:top="783" w:right="63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color w:val="auto"/>
        </w:rPr>
        <w:t>On September 7, 2016, as part of our cash management process with Comcast Corporation (“</w:t>
      </w:r>
      <w:r>
        <w:rPr>
          <w:rFonts w:ascii="Arial" w:cs="Arial" w:eastAsia="Arial" w:hAnsi="Arial"/>
          <w:sz w:val="17"/>
          <w:szCs w:val="17"/>
          <w:b w:val="1"/>
          <w:bCs w:val="1"/>
          <w:color w:val="auto"/>
        </w:rPr>
        <w:t>Comcast</w:t>
      </w:r>
      <w:r>
        <w:rPr>
          <w:rFonts w:ascii="Arial" w:cs="Arial" w:eastAsia="Arial" w:hAnsi="Arial"/>
          <w:sz w:val="17"/>
          <w:szCs w:val="17"/>
          <w:color w:val="auto"/>
        </w:rPr>
        <w:t>”), we and Comcast amended and restated our matching revolving credit notes (“</w:t>
      </w:r>
      <w:r>
        <w:rPr>
          <w:rFonts w:ascii="Arial" w:cs="Arial" w:eastAsia="Arial" w:hAnsi="Arial"/>
          <w:sz w:val="17"/>
          <w:szCs w:val="17"/>
          <w:b w:val="1"/>
          <w:bCs w:val="1"/>
          <w:color w:val="auto"/>
        </w:rPr>
        <w:t>Revolving Credit Notes</w:t>
      </w:r>
      <w:r>
        <w:rPr>
          <w:rFonts w:ascii="Arial" w:cs="Arial" w:eastAsia="Arial" w:hAnsi="Arial"/>
          <w:sz w:val="17"/>
          <w:szCs w:val="17"/>
          <w:color w:val="auto"/>
        </w:rPr>
        <w:t>”) to (i) increase the amount that we can borrow from Comcast and that Comcast can borrow from us from $3 billion to $5 billion and (ii) extend the maturity date of the Revolving Credit Notes from March 15, 2023 to March 15, 2026. The Revolving Credit Notes bear interest at floating rates designed to mirror the interest rate calculation under Comcast’s revolving credit facility. The interest rate on Comcast’s credit facility consists of a base rate plus a borrowing margin that is determined based on its credit rating.</w:t>
      </w:r>
    </w:p>
    <w:p>
      <w:pPr>
        <w:sectPr>
          <w:pgSz w:w="11900" w:h="16838" w:orient="portrait"/>
          <w:cols w:equalWidth="0" w:num="1">
            <w:col w:w="11340"/>
          </w:cols>
          <w:pgMar w:left="240" w:top="270" w:right="31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5"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COMCAST CORPORATION</w:t>
      </w:r>
    </w:p>
    <w:p>
      <w:pPr>
        <w:spacing w:after="0" w:line="337" w:lineRule="exact"/>
        <w:rPr>
          <w:sz w:val="20"/>
          <w:szCs w:val="20"/>
          <w:color w:val="auto"/>
        </w:rPr>
      </w:pPr>
    </w:p>
    <w:p>
      <w:pPr>
        <w:spacing w:after="0"/>
        <w:tabs>
          <w:tab w:leader="none" w:pos="5800" w:val="left"/>
          <w:tab w:leader="none" w:pos="6260" w:val="left"/>
        </w:tabs>
        <w:rPr>
          <w:sz w:val="20"/>
          <w:szCs w:val="20"/>
          <w:color w:val="auto"/>
        </w:rPr>
      </w:pPr>
      <w:r>
        <w:rPr>
          <w:rFonts w:ascii="Arial" w:cs="Arial" w:eastAsia="Arial" w:hAnsi="Arial"/>
          <w:sz w:val="18"/>
          <w:szCs w:val="18"/>
          <w:color w:val="auto"/>
        </w:rPr>
        <w:t>Date: September 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Arthur R. Block</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w:t>
      </w:r>
    </w:p>
    <w:sectPr>
      <w:pgSz w:w="11900" w:h="16838" w:orient="portrait"/>
      <w:cols w:equalWidth="0" w:num="1">
        <w:col w:w="10740"/>
      </w:cols>
      <w:pgMar w:left="24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2019-12-06T03:37:07Z</dcterms:created>
  <dcterms:modified xsi:type="dcterms:W3CDTF">2019-12-06T03:37:07Z</dcterms:modified>
</cp:coreProperties>
</file>