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193" w:lineRule="exact"/>
        <w:rPr>
          <w:sz w:val="24"/>
          <w:szCs w:val="24"/>
          <w:color w:val="auto"/>
        </w:rPr>
      </w:pPr>
    </w:p>
    <w:p>
      <w:pPr>
        <w:jc w:val="center"/>
        <w:ind w:left="260" w:right="152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Cablevision Systems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Cablevision NY Group Class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12686C109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93" w:lineRule="exact"/>
        <w:rPr>
          <w:sz w:val="24"/>
          <w:szCs w:val="24"/>
          <w:color w:val="auto"/>
        </w:rPr>
      </w:pPr>
    </w:p>
    <w:p>
      <w:pPr>
        <w:jc w:val="both"/>
        <w:ind w:left="740" w:right="9320" w:hanging="6"/>
        <w:spacing w:after="0" w:line="458" w:lineRule="auto"/>
        <w:tabs>
          <w:tab w:leader="none" w:pos="1094"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1080" w:hanging="346"/>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180" w:firstLine="270"/>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1920" w:type="dxa"/>
            <w:vAlign w:val="bottom"/>
          </w:tcPr>
          <w:p>
            <w:pPr>
              <w:ind w:left="154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19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2799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799715"/>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27-0000798</w:t>
      </w:r>
    </w:p>
    <w:p>
      <w:pPr>
        <w:spacing w:after="0" w:line="165"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Pennsylvania</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6360" w:type="dxa"/>
            <w:vAlign w:val="bottom"/>
            <w:tcBorders>
              <w:top w:val="single" w:sz="8" w:color="auto"/>
            </w:tcBorders>
          </w:tcPr>
          <w:p>
            <w:pPr>
              <w:jc w:val="right"/>
              <w:ind w:right="3872"/>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22"/>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6360" w:type="dxa"/>
            <w:vAlign w:val="bottom"/>
            <w:vMerge w:val="restart"/>
          </w:tcPr>
          <w:p>
            <w:pPr>
              <w:jc w:val="right"/>
              <w:ind w:right="54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spacing w:after="0"/>
              <w:rPr>
                <w:sz w:val="18"/>
                <w:szCs w:val="18"/>
                <w:color w:val="auto"/>
              </w:rPr>
            </w:pPr>
          </w:p>
        </w:tc>
        <w:tc>
          <w:tcPr>
            <w:tcW w:w="6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3920" w:type="dxa"/>
            <w:vAlign w:val="bottom"/>
            <w:tcBorders>
              <w:right w:val="single" w:sz="8" w:color="auto"/>
            </w:tcBorders>
          </w:tcPr>
          <w:p>
            <w:pPr>
              <w:spacing w:after="0"/>
              <w:rPr>
                <w:sz w:val="2"/>
                <w:szCs w:val="2"/>
                <w:color w:val="auto"/>
              </w:rPr>
            </w:pPr>
          </w:p>
        </w:tc>
        <w:tc>
          <w:tcPr>
            <w:tcW w:w="6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449" w:right="25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91"/>
              </w:rPr>
              <w:t>EACH REPORTING PERSON</w:t>
            </w:r>
          </w:p>
        </w:tc>
        <w:tc>
          <w:tcPr>
            <w:tcW w:w="4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3900" w:type="dxa"/>
            <w:vAlign w:val="bottom"/>
            <w:vMerge w:val="continue"/>
          </w:tcPr>
          <w:p>
            <w:pPr>
              <w:spacing w:after="0"/>
              <w:rPr>
                <w:sz w:val="18"/>
                <w:szCs w:val="18"/>
                <w:color w:val="auto"/>
              </w:rPr>
            </w:pPr>
          </w:p>
        </w:tc>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5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 w:type="dxa"/>
            <w:vAlign w:val="bottom"/>
            <w:tcBorders>
              <w:right w:val="single" w:sz="8" w:color="auto"/>
            </w:tcBorders>
            <w:shd w:val="clear" w:color="auto" w:fill="000000"/>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40" w:type="dxa"/>
            <w:vAlign w:val="bottom"/>
            <w:tcBorders>
              <w:right w:val="single" w:sz="8" w:color="auto"/>
            </w:tcBorders>
            <w:shd w:val="clear" w:color="auto" w:fill="000000"/>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-14,533,487*-</w:t>
            </w:r>
          </w:p>
        </w:tc>
        <w:tc>
          <w:tcPr>
            <w:tcW w:w="0" w:type="dxa"/>
            <w:vAlign w:val="bottom"/>
          </w:tcPr>
          <w:p>
            <w:pPr>
              <w:spacing w:after="0"/>
              <w:rPr>
                <w:sz w:val="1"/>
                <w:szCs w:val="1"/>
                <w:color w:val="auto"/>
              </w:rPr>
            </w:pPr>
          </w:p>
        </w:tc>
      </w:tr>
      <w:tr>
        <w:trPr>
          <w:trHeight w:val="80"/>
        </w:trPr>
        <w:tc>
          <w:tcPr>
            <w:tcW w:w="3900" w:type="dxa"/>
            <w:vAlign w:val="bottom"/>
          </w:tcPr>
          <w:p>
            <w:pPr>
              <w:spacing w:after="0"/>
              <w:rPr>
                <w:sz w:val="6"/>
                <w:szCs w:val="6"/>
                <w:color w:val="auto"/>
              </w:rPr>
            </w:pPr>
          </w:p>
        </w:tc>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00" w:type="dxa"/>
            <w:vAlign w:val="bottom"/>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00" w:type="dxa"/>
            <w:vAlign w:val="bottom"/>
          </w:tcPr>
          <w:p>
            <w:pPr>
              <w:spacing w:after="0"/>
              <w:rPr>
                <w:sz w:val="6"/>
                <w:szCs w:val="6"/>
                <w:color w:val="auto"/>
              </w:rPr>
            </w:pPr>
          </w:p>
        </w:tc>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00" w:type="dxa"/>
            <w:vAlign w:val="bottom"/>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-14,533,487*-</w:t>
            </w:r>
          </w:p>
        </w:tc>
        <w:tc>
          <w:tcPr>
            <w:tcW w:w="0" w:type="dxa"/>
            <w:vAlign w:val="bottom"/>
          </w:tcPr>
          <w:p>
            <w:pPr>
              <w:spacing w:after="0"/>
              <w:rPr>
                <w:sz w:val="1"/>
                <w:szCs w:val="1"/>
                <w:color w:val="auto"/>
              </w:rPr>
            </w:pPr>
          </w:p>
        </w:tc>
      </w:tr>
      <w:tr>
        <w:trPr>
          <w:trHeight w:val="80"/>
        </w:trPr>
        <w:tc>
          <w:tcPr>
            <w:tcW w:w="39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-1519555</wp:posOffset>
            </wp:positionV>
            <wp:extent cx="6521450" cy="3578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3578225"/>
                    </a:xfrm>
                    <a:prstGeom prst="rect">
                      <a:avLst/>
                    </a:prstGeom>
                    <a:noFill/>
                  </pic:spPr>
                </pic:pic>
              </a:graphicData>
            </a:graphic>
          </wp:anchor>
        </w:drawing>
      </w:r>
    </w:p>
    <w:p>
      <w:pPr>
        <w:spacing w:after="0" w:line="36" w:lineRule="exact"/>
        <w:rPr>
          <w:sz w:val="20"/>
          <w:szCs w:val="20"/>
          <w:color w:val="auto"/>
        </w:rPr>
      </w:pPr>
    </w:p>
    <w:p>
      <w:pPr>
        <w:ind w:left="1440" w:hanging="7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-14,533,487*-</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520" w:right="20" w:hanging="513"/>
        <w:spacing w:after="0" w:line="30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Of the 14,533,487 shares of Cablevision NY Group Class A Common Stock, par value $.01 per share (“Class A Common Stock”), that are reported as beneficially owned by the Reporting Person, 11,660,795 shares of Class A Common Stock are owned by Comcast ABB CSC Holdings, Inc., and 2,872,692 shares of Class A Common Stock are owned by Comcast ABB CSC II, Inc.</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523875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0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Comcast Cable Communications Holdings, Inc.</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Pr>
          <w:p>
            <w:pPr>
              <w:ind w:left="53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Pr>
          <w:p>
            <w:pPr>
              <w:ind w:left="534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890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-14,533,487*-</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1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5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Pr>
          <w:p>
            <w:pPr>
              <w:ind w:left="60"/>
              <w:spacing w:after="0"/>
              <w:rPr>
                <w:sz w:val="20"/>
                <w:szCs w:val="20"/>
                <w:color w:val="auto"/>
              </w:rPr>
            </w:pPr>
            <w:r>
              <w:rPr>
                <w:rFonts w:ascii="Arial" w:cs="Arial" w:eastAsia="Arial" w:hAnsi="Arial"/>
                <w:sz w:val="18"/>
                <w:szCs w:val="18"/>
                <w:color w:val="auto"/>
              </w:rPr>
              <w:t>-14,533,487*-</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-4188460</wp:posOffset>
            </wp:positionV>
            <wp:extent cx="21590" cy="4540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4540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-4188460</wp:posOffset>
            </wp:positionV>
            <wp:extent cx="21590" cy="4540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4540250"/>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-20955</wp:posOffset>
            </wp:positionV>
            <wp:extent cx="21590" cy="372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372745"/>
                    </a:xfrm>
                    <a:prstGeom prst="rect">
                      <a:avLst/>
                    </a:prstGeom>
                    <a:noFill/>
                  </pic:spPr>
                </pic:pic>
              </a:graphicData>
            </a:graphic>
          </wp:anchor>
        </w:drawing>
      </w:r>
    </w:p>
    <w:p>
      <w:pPr>
        <w:spacing w:after="0" w:line="36" w:lineRule="exact"/>
        <w:rPr>
          <w:sz w:val="20"/>
          <w:szCs w:val="20"/>
          <w:color w:val="auto"/>
        </w:rPr>
      </w:pPr>
    </w:p>
    <w:p>
      <w:pPr>
        <w:ind w:left="1440" w:hanging="7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ectPr>
          <w:pgSz w:w="11900" w:h="16838" w:orient="portrait"/>
          <w:cols w:equalWidth="0" w:num="1">
            <w:col w:w="10280"/>
          </w:cols>
          <w:pgMar w:left="820" w:top="92" w:right="799" w:bottom="0" w:gutter="0" w:footer="0" w:header="0"/>
        </w:sectPr>
      </w:pPr>
    </w:p>
    <w:bookmarkStart w:id="2" w:name="page3"/>
    <w:bookmarkEnd w:id="2"/>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-14,533,487*-</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6521450" cy="1743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1450" cy="174307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520" w:right="140" w:hanging="513"/>
        <w:spacing w:after="0" w:line="259" w:lineRule="auto"/>
        <w:rPr>
          <w:rFonts w:ascii="Arial" w:cs="Arial" w:eastAsia="Arial" w:hAnsi="Arial"/>
          <w:sz w:val="18"/>
          <w:szCs w:val="18"/>
          <w:color w:val="auto"/>
        </w:rPr>
      </w:pPr>
      <w:r>
        <w:rPr>
          <w:rFonts w:ascii="Arial" w:cs="Arial" w:eastAsia="Arial" w:hAnsi="Arial"/>
          <w:sz w:val="18"/>
          <w:szCs w:val="18"/>
          <w:color w:val="auto"/>
        </w:rPr>
        <w:t>*Of the 14,533,487 shares of Class A Common Stock, that are reported as beneficially owned by the Reporting Person, 11,660,795 shares of Class A Common Stock are owned by Comcast ABB CSC Holdings, Inc., and 2,872,692 shares of Class A Common Stock are owned by Comcast ABB CSC II, Inc.</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523875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3"/>
              </w:rPr>
              <w:t>NAME OF REPORTING PERSON</w:t>
            </w:r>
          </w:p>
        </w:tc>
        <w:tc>
          <w:tcPr>
            <w:tcW w:w="40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5"/>
              </w:rPr>
              <w:t>Comcast ABB CSC Holdings, Inc.</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-11,660,795-</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0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-11,660,795-</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-11,660,795-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5.3%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w w:val="95"/>
              </w:rPr>
              <w:t>TYPE OF REPORTING PERSON</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40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131" w:right="799" w:bottom="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Cablevision Systems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1111 Stewart Avenue, Bethpage, New York 11714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Corporation and Comcast Cable Communications Holdings, Inc. is 1500 Market Street, Philadelphia, PA 19102-2148, c/o Comcast Corporation.</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Comcast Comcast ABB CSC Holdings, Inc. is 1201 North Market Street, Suite 1405, Wilmington, Delaware 19801, c/o Comcast Capital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 – Pennsylvania</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 – Delaware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 –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Cablevision NY Group Class A Common Stock, par value $.01 per share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12686C109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99" w:lineRule="exact"/>
        <w:rPr>
          <w:sz w:val="20"/>
          <w:szCs w:val="20"/>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Bank as defined in Section 3(a)(6)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Exchange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20" w:hanging="577"/>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ectPr>
          <w:pgSz w:w="11900" w:h="16838" w:orient="portrait"/>
          <w:cols w:equalWidth="0" w:num="1">
            <w:col w:w="11200"/>
          </w:cols>
          <w:pgMar w:left="240" w:top="131" w:right="459" w:bottom="0" w:gutter="0" w:footer="0" w:header="0"/>
        </w:sectPr>
      </w:pPr>
    </w:p>
    <w:bookmarkStart w:id="4" w:name="page5"/>
    <w:bookmarkEnd w:id="4"/>
    <w:p>
      <w:pPr>
        <w:ind w:left="1220" w:hanging="577"/>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5" w:lineRule="exact"/>
        <w:rPr>
          <w:sz w:val="20"/>
          <w:szCs w:val="20"/>
          <w:color w:val="auto"/>
        </w:rPr>
      </w:pPr>
    </w:p>
    <w:p>
      <w:pPr>
        <w:ind w:left="1220" w:hanging="577"/>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14,533,487</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6.6%</w:t>
      </w:r>
    </w:p>
    <w:p>
      <w:pPr>
        <w:spacing w:after="0" w:line="144" w:lineRule="exact"/>
        <w:rPr>
          <w:rFonts w:ascii="Arial" w:cs="Arial" w:eastAsia="Arial" w:hAnsi="Arial"/>
          <w:sz w:val="18"/>
          <w:szCs w:val="18"/>
          <w:color w:val="auto"/>
        </w:rPr>
      </w:pPr>
    </w:p>
    <w:p>
      <w:pPr>
        <w:ind w:left="1220" w:hanging="577"/>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14,533,487</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44" w:lineRule="exact"/>
        <w:rPr>
          <w:rFonts w:ascii="Arial" w:cs="Arial" w:eastAsia="Arial" w:hAnsi="Arial"/>
          <w:sz w:val="18"/>
          <w:szCs w:val="18"/>
          <w:color w:val="auto"/>
        </w:rPr>
      </w:pPr>
    </w:p>
    <w:p>
      <w:pPr>
        <w:ind w:left="1780" w:hanging="570"/>
        <w:spacing w:after="0"/>
        <w:tabs>
          <w:tab w:leader="none" w:pos="1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14,533,487</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 is a direct, wholly owned subsidiary of Comcast Corporation.</w:t>
      </w:r>
    </w:p>
    <w:p>
      <w:pPr>
        <w:spacing w:after="0" w:line="252"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Comcast Cable Communications Holdings, Inc. owns a 61.9% interest in Comcast ABB CSC Holdings, Inc. directly and a 38.1% interest indirectly through its wholly owned subsidiary CVC Keep Well, LLC.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Holdings, Inc. owns 11,660,795 shares of Class A Common Stock.</w:t>
      </w:r>
    </w:p>
    <w:p>
      <w:pPr>
        <w:spacing w:after="0" w:line="252" w:lineRule="exact"/>
        <w:rPr>
          <w:sz w:val="20"/>
          <w:szCs w:val="20"/>
          <w:color w:val="auto"/>
        </w:rPr>
      </w:pPr>
    </w:p>
    <w:p>
      <w:pPr>
        <w:ind w:right="460" w:firstLine="270"/>
        <w:spacing w:after="0" w:line="268" w:lineRule="auto"/>
        <w:rPr>
          <w:sz w:val="20"/>
          <w:szCs w:val="20"/>
          <w:color w:val="auto"/>
        </w:rPr>
      </w:pPr>
      <w:r>
        <w:rPr>
          <w:rFonts w:ascii="Arial" w:cs="Arial" w:eastAsia="Arial" w:hAnsi="Arial"/>
          <w:sz w:val="18"/>
          <w:szCs w:val="18"/>
          <w:color w:val="auto"/>
        </w:rPr>
        <w:t>Comcast ABB CSC II, Inc., an indirect, wholly owned subsidiary of Comcast Cable Communications Holdings, Inc., owns 2,872,692 shares of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31" w:lineRule="exact"/>
        <w:rPr>
          <w:sz w:val="20"/>
          <w:szCs w:val="20"/>
          <w:color w:val="auto"/>
        </w:rPr>
      </w:pPr>
    </w:p>
    <w:p>
      <w:pPr>
        <w:ind w:firstLine="263"/>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January 27,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11400"/>
          </w:cols>
          <w:pgMar w:left="240" w:top="131" w:right="259" w:bottom="0" w:gutter="0" w:footer="0" w:header="0"/>
        </w:sectPr>
      </w:pPr>
    </w:p>
    <w:bookmarkStart w:id="5" w:name="page6"/>
    <w:bookmarkEnd w:id="5"/>
    <w:p>
      <w:pPr>
        <w:ind w:left="5720"/>
        <w:spacing w:after="0"/>
        <w:rPr>
          <w:sz w:val="20"/>
          <w:szCs w:val="20"/>
          <w:color w:val="auto"/>
        </w:rPr>
      </w:pPr>
      <w:r>
        <w:rPr>
          <w:rFonts w:ascii="Arial" w:cs="Arial" w:eastAsia="Arial" w:hAnsi="Arial"/>
          <w:sz w:val="18"/>
          <w:szCs w:val="18"/>
          <w:color w:val="auto"/>
        </w:rPr>
        <w:t>COMCAST CABLE COMMUNICATIONS HOLDINGS,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ABB CSC HOLDINGS,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P. McCue</w:t>
      </w:r>
    </w:p>
    <w:p>
      <w:pPr>
        <w:spacing w:after="0" w:line="15"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5"/>
          <w:szCs w:val="15"/>
          <w:color w:val="auto"/>
        </w:rPr>
        <w:t>Joint Filing Agreement dated January 27, 2005 among the signatories to this Amendment No. 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accordance with Rule 13d-1(k)(1) under the Securities Exchange Act of 1934, as amended, each of the undersigned acknowledges and agrees that Amendment No. 2 to Schedule 13G with respect to the Cablevision NY Group Class A Common Stock, par value $.01 per share, of Cablevision Systems Corporation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Januray 27,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CABLE COMMUNICATIONS HOLDINGS,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ABB CSC HOLDINGS,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ectPr>
          <w:pgSz w:w="11900" w:h="16838" w:orient="portrait"/>
          <w:cols w:equalWidth="0" w:num="1">
            <w:col w:w="11420"/>
          </w:cols>
          <w:pgMar w:left="240" w:top="617" w:right="239" w:bottom="0" w:gutter="0" w:footer="0" w:header="0"/>
        </w:sectPr>
      </w:pPr>
    </w:p>
    <w:bookmarkStart w:id="6" w:name="page7"/>
    <w:bookmarkEnd w:id="6"/>
    <w:p>
      <w:pPr>
        <w:ind w:left="4880"/>
        <w:spacing w:after="0"/>
        <w:rPr>
          <w:sz w:val="20"/>
          <w:szCs w:val="20"/>
          <w:color w:val="auto"/>
        </w:rPr>
      </w:pPr>
      <w:r>
        <w:rPr>
          <w:rFonts w:ascii="Arial" w:cs="Arial" w:eastAsia="Arial" w:hAnsi="Arial"/>
          <w:sz w:val="15"/>
          <w:szCs w:val="15"/>
          <w:color w:val="auto"/>
        </w:rPr>
        <w:t>Name: James P. McCue</w:t>
      </w:r>
    </w:p>
    <w:p>
      <w:pPr>
        <w:spacing w:after="0" w:line="50"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9 of 9</w:t>
      </w:r>
    </w:p>
    <w:sectPr>
      <w:pgSz w:w="11900" w:h="16838" w:orient="portrait"/>
      <w:cols w:equalWidth="0" w:num="1">
        <w:col w:w="9019"/>
      </w:cols>
      <w:pgMar w:left="14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o"/>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
      <w:numFmt w:val="bullet"/>
      <w:start w:val="1"/>
    </w:lvl>
    <w:lvl w:ilvl="1">
      <w:lvlJc w:val="left"/>
      <w:lvlText w:val="%2"/>
      <w:numFmt w:val="decimal"/>
      <w:start w:val="1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Letter"/>
      <w:start w:val="10"/>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2019-12-16T11:25:00Z</dcterms:created>
  <dcterms:modified xsi:type="dcterms:W3CDTF">2019-12-16T11:25:00Z</dcterms:modified>
</cp:coreProperties>
</file>