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6"/>
          <w:szCs w:val="16"/>
          <w:color w:val="auto"/>
        </w:rPr>
        <w:t>As filed with the Securities and Exchange Commission on August 17, 1994</w:t>
      </w:r>
    </w:p>
    <w:p>
      <w:pPr>
        <w:spacing w:after="0" w:line="218" w:lineRule="exact"/>
        <w:rPr>
          <w:sz w:val="24"/>
          <w:szCs w:val="24"/>
          <w:color w:val="auto"/>
        </w:rPr>
      </w:pPr>
    </w:p>
    <w:p>
      <w:pPr>
        <w:jc w:val="center"/>
        <w:ind w:right="254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13E-3</w:t>
      </w: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2540"/>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8"/>
          <w:szCs w:val="18"/>
          <w:color w:val="auto"/>
        </w:rPr>
        <w:t>747262 10 3</w:t>
      </w:r>
    </w:p>
    <w:p>
      <w:pPr>
        <w:jc w:val="center"/>
        <w:ind w:right="2440"/>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47" w:orient="portrait"/>
          <w:cols w:equalWidth="0" w:num="1">
            <w:col w:w="10760"/>
          </w:cols>
          <w:pgMar w:left="240" w:top="452" w:right="8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NEAL S. GRABELL</w:t>
      </w:r>
    </w:p>
    <w:p>
      <w:pPr>
        <w:ind w:left="640"/>
        <w:spacing w:after="0" w:line="238" w:lineRule="auto"/>
        <w:rPr>
          <w:sz w:val="20"/>
          <w:szCs w:val="20"/>
          <w:color w:val="auto"/>
        </w:rPr>
      </w:pPr>
      <w:r>
        <w:rPr>
          <w:rFonts w:ascii="Courier New" w:cs="Courier New" w:eastAsia="Courier New" w:hAnsi="Courier New"/>
          <w:sz w:val="18"/>
          <w:szCs w:val="18"/>
          <w:color w:val="auto"/>
        </w:rPr>
        <w:t>QVC, INC.</w:t>
      </w:r>
    </w:p>
    <w:p>
      <w:pPr>
        <w:spacing w:after="0"/>
        <w:rPr>
          <w:sz w:val="20"/>
          <w:szCs w:val="20"/>
          <w:color w:val="auto"/>
        </w:rPr>
      </w:pPr>
      <w:r>
        <w:rPr>
          <w:rFonts w:ascii="Courier New" w:cs="Courier New" w:eastAsia="Courier New" w:hAnsi="Courier New"/>
          <w:sz w:val="18"/>
          <w:szCs w:val="18"/>
          <w:color w:val="auto"/>
        </w:rPr>
        <w:t>1365 ENTERPRISE DRIVE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WEST CHESTER, PA 19380</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(610) 430-1000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center"/>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655-1700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47" w:orient="portrait"/>
          <w:cols w:equalWidth="0" w:num="3">
            <w:col w:w="2320" w:space="420"/>
            <w:col w:w="2320" w:space="420"/>
            <w:col w:w="5280"/>
          </w:cols>
          <w:pgMar w:left="240" w:top="452" w:right="899" w:bottom="0" w:gutter="0" w:footer="0" w:header="0"/>
          <w:type w:val="continuous"/>
        </w:sectPr>
      </w:pPr>
    </w:p>
    <w:p>
      <w:pPr>
        <w:spacing w:after="0" w:line="209" w:lineRule="exact"/>
        <w:rPr>
          <w:sz w:val="24"/>
          <w:szCs w:val="24"/>
          <w:color w:val="auto"/>
        </w:rPr>
      </w:pPr>
    </w:p>
    <w:p>
      <w:pPr>
        <w:ind w:left="1060" w:right="2740" w:hanging="1052"/>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16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47" w:orient="portrait"/>
          <w:cols w:equalWidth="0" w:num="1">
            <w:col w:w="10760"/>
          </w:cols>
          <w:pgMar w:left="240" w:top="452" w:right="899"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740" w:right="660"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DENNIS S. HERSCH</w:t>
      </w:r>
    </w:p>
    <w:p>
      <w:pPr>
        <w:ind w:left="200"/>
        <w:spacing w:after="0" w:line="238" w:lineRule="auto"/>
        <w:rPr>
          <w:sz w:val="20"/>
          <w:szCs w:val="20"/>
          <w:color w:val="auto"/>
        </w:rPr>
      </w:pPr>
      <w:r>
        <w:rPr>
          <w:rFonts w:ascii="Courier New" w:cs="Courier New" w:eastAsia="Courier New" w:hAnsi="Courier New"/>
          <w:sz w:val="18"/>
          <w:szCs w:val="18"/>
          <w:color w:val="auto"/>
        </w:rPr>
        <w:t>DAVIS POLK &amp; WARDWELL</w:t>
      </w:r>
    </w:p>
    <w:p>
      <w:pPr>
        <w:ind w:left="200"/>
        <w:spacing w:after="0"/>
        <w:rPr>
          <w:sz w:val="20"/>
          <w:szCs w:val="20"/>
          <w:color w:val="auto"/>
        </w:rPr>
      </w:pPr>
      <w:r>
        <w:rPr>
          <w:rFonts w:ascii="Courier New" w:cs="Courier New" w:eastAsia="Courier New" w:hAnsi="Courier New"/>
          <w:sz w:val="18"/>
          <w:szCs w:val="18"/>
          <w:color w:val="auto"/>
        </w:rPr>
        <w:t>450 LEXINGTON AVENUE</w:t>
      </w:r>
    </w:p>
    <w:p>
      <w:pPr>
        <w:ind w:left="32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TELEPHONE: (212)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2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47" w:orient="portrait"/>
          <w:cols w:equalWidth="0" w:num="3">
            <w:col w:w="4560" w:space="720"/>
            <w:col w:w="2620" w:space="640"/>
            <w:col w:w="2220"/>
          </w:cols>
          <w:pgMar w:left="240" w:top="452" w:right="899"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Statement is filed in connection with (check appropriate box):</w:t>
      </w:r>
    </w:p>
    <w:p>
      <w:pPr>
        <w:spacing w:after="0" w:line="207" w:lineRule="exact"/>
        <w:rPr>
          <w:sz w:val="24"/>
          <w:szCs w:val="24"/>
          <w:color w:val="auto"/>
        </w:rPr>
      </w:pPr>
    </w:p>
    <w:p>
      <w:pPr>
        <w:ind w:right="3160" w:firstLine="8"/>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The filing of solicitation materials or an information statement subject to Regulation 14A, Regulation 14C or Rule 13e-3(c) under the Securities Exchange Act of 1993.</w:t>
      </w:r>
    </w:p>
    <w:p>
      <w:pPr>
        <w:spacing w:after="0" w:line="6" w:lineRule="exact"/>
        <w:rPr>
          <w:rFonts w:ascii="Courier New" w:cs="Courier New" w:eastAsia="Courier New" w:hAnsi="Courier New"/>
          <w:sz w:val="18"/>
          <w:szCs w:val="18"/>
          <w:color w:val="auto"/>
        </w:rPr>
      </w:pPr>
    </w:p>
    <w:p>
      <w:pPr>
        <w:ind w:right="2960"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The filing of a registration statement under the Securities Act of 1993.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tender offer</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None of the above</w:t>
      </w:r>
    </w:p>
    <w:p>
      <w:pPr>
        <w:spacing w:after="0" w:line="200" w:lineRule="exact"/>
        <w:rPr>
          <w:sz w:val="24"/>
          <w:szCs w:val="24"/>
          <w:color w:val="auto"/>
        </w:rPr>
      </w:pPr>
    </w:p>
    <w:p>
      <w:pPr>
        <w:spacing w:after="0" w:line="385" w:lineRule="exact"/>
        <w:rPr>
          <w:sz w:val="24"/>
          <w:szCs w:val="24"/>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Check the following box if the soliciting materials or information statement referred to in checking box(a) are preliminary copies: ( )</w:t>
      </w:r>
    </w:p>
    <w:p>
      <w:pPr>
        <w:spacing w:after="0" w:line="208"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CALCULATION OF FILING FEE</w:t>
      </w:r>
    </w:p>
    <w:p>
      <w:pPr>
        <w:spacing w:after="0" w:line="200" w:lineRule="exact"/>
        <w:rPr>
          <w:sz w:val="24"/>
          <w:szCs w:val="24"/>
          <w:color w:val="auto"/>
        </w:rPr>
      </w:pPr>
    </w:p>
    <w:p>
      <w:pPr>
        <w:spacing w:after="0" w:line="221" w:lineRule="exact"/>
        <w:rPr>
          <w:sz w:val="24"/>
          <w:szCs w:val="24"/>
          <w:color w:val="auto"/>
        </w:rPr>
      </w:pPr>
    </w:p>
    <w:p>
      <w:pPr>
        <w:ind w:left="1900"/>
        <w:spacing w:after="0"/>
        <w:tabs>
          <w:tab w:leader="none" w:pos="50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201" w:lineRule="exact"/>
        <w:rPr>
          <w:sz w:val="24"/>
          <w:szCs w:val="24"/>
          <w:color w:val="auto"/>
        </w:rPr>
      </w:pPr>
    </w:p>
    <w:p>
      <w:pPr>
        <w:ind w:left="2120"/>
        <w:spacing w:after="0"/>
        <w:tabs>
          <w:tab w:leader="none" w:pos="4940" w:val="left"/>
        </w:tabs>
        <w:rPr>
          <w:sz w:val="20"/>
          <w:szCs w:val="20"/>
          <w:color w:val="auto"/>
        </w:rPr>
      </w:pPr>
      <w:r>
        <w:rPr>
          <w:rFonts w:ascii="Courier New" w:cs="Courier New" w:eastAsia="Courier New" w:hAnsi="Courier New"/>
          <w:sz w:val="18"/>
          <w:szCs w:val="18"/>
          <w:color w:val="auto"/>
        </w:rPr>
        <w:t>$1,497,046,264</w:t>
      </w:r>
      <w:r>
        <w:rPr>
          <w:sz w:val="20"/>
          <w:szCs w:val="20"/>
          <w:color w:val="auto"/>
        </w:rPr>
        <w:tab/>
      </w:r>
      <w:r>
        <w:rPr>
          <w:rFonts w:ascii="Courier New" w:cs="Courier New" w:eastAsia="Courier New" w:hAnsi="Courier New"/>
          <w:sz w:val="16"/>
          <w:szCs w:val="16"/>
          <w:color w:val="auto"/>
        </w:rPr>
        <w:t>$299,409.00</w:t>
      </w:r>
    </w:p>
    <w:p>
      <w:pPr>
        <w:spacing w:after="0" w:line="200" w:lineRule="exact"/>
        <w:rPr>
          <w:sz w:val="24"/>
          <w:szCs w:val="24"/>
          <w:color w:val="auto"/>
        </w:rPr>
      </w:pPr>
    </w:p>
    <w:p>
      <w:pPr>
        <w:spacing w:after="0" w:line="209" w:lineRule="exact"/>
        <w:rPr>
          <w:sz w:val="24"/>
          <w:szCs w:val="24"/>
          <w:color w:val="auto"/>
        </w:rPr>
      </w:pPr>
    </w:p>
    <w:p>
      <w:pPr>
        <w:ind w:right="2860" w:firstLine="8"/>
        <w:spacing w:after="0" w:line="271"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filing fee only. The Transaction Valuation amount assumes the purchase of all of the outsanding shares of Common Stock and Preferred Stock of QVC, Inc. at $46.00 and $460.00 per share, respectively (assuming the exercise of all vested options to purchase shares but excluding certain shares owned by subsidiaries of Comcast Corporation and Tele-Communications, Inc. that will not be tendered into the offer). The amount of the filing fee is 1/50th of one percent of</w:t>
      </w:r>
    </w:p>
    <w:p>
      <w:pPr>
        <w:sectPr>
          <w:pgSz w:w="11900" w:h="16847" w:orient="portrait"/>
          <w:cols w:equalWidth="0" w:num="1">
            <w:col w:w="10760"/>
          </w:cols>
          <w:pgMar w:left="240" w:top="452" w:right="89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the Transaction Valuation.</w:t>
      </w:r>
    </w:p>
    <w:p>
      <w:pPr>
        <w:spacing w:after="0" w:line="207" w:lineRule="exact"/>
        <w:rPr>
          <w:sz w:val="20"/>
          <w:szCs w:val="20"/>
          <w:color w:val="auto"/>
        </w:rPr>
      </w:pPr>
    </w:p>
    <w:p>
      <w:pPr>
        <w:ind w:right="20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Amount Previously Paid:</w:t>
      </w:r>
      <w:r>
        <w:rPr>
          <w:sz w:val="20"/>
          <w:szCs w:val="20"/>
          <w:color w:val="auto"/>
        </w:rPr>
        <w:tab/>
      </w:r>
      <w:r>
        <w:rPr>
          <w:rFonts w:ascii="Courier New" w:cs="Courier New" w:eastAsia="Courier New" w:hAnsi="Courier New"/>
          <w:sz w:val="16"/>
          <w:szCs w:val="16"/>
          <w:color w:val="auto"/>
        </w:rPr>
        <w:t>$299,409.00</w:t>
      </w:r>
    </w:p>
    <w:p>
      <w:pPr>
        <w:spacing w:after="0"/>
        <w:tabs>
          <w:tab w:leader="none" w:pos="2840" w:val="left"/>
        </w:tabs>
        <w:rPr>
          <w:sz w:val="20"/>
          <w:szCs w:val="20"/>
          <w:color w:val="auto"/>
        </w:rPr>
      </w:pPr>
      <w:r>
        <w:rPr>
          <w:rFonts w:ascii="Courier New" w:cs="Courier New" w:eastAsia="Courier New" w:hAnsi="Courier New"/>
          <w:sz w:val="18"/>
          <w:szCs w:val="18"/>
          <w:color w:val="auto"/>
        </w:rPr>
        <w:t>Form of Registration No.:</w:t>
      </w:r>
      <w:r>
        <w:rPr>
          <w:sz w:val="20"/>
          <w:szCs w:val="20"/>
          <w:color w:val="auto"/>
        </w:rPr>
        <w:tab/>
      </w:r>
      <w:r>
        <w:rPr>
          <w:rFonts w:ascii="Courier New" w:cs="Courier New" w:eastAsia="Courier New" w:hAnsi="Courier New"/>
          <w:sz w:val="16"/>
          <w:szCs w:val="16"/>
          <w:color w:val="auto"/>
        </w:rPr>
        <w:t>Schedule 14D-1</w:t>
      </w:r>
    </w:p>
    <w:p>
      <w:pPr>
        <w:spacing w:after="0"/>
        <w:tabs>
          <w:tab w:leader="none" w:pos="1560" w:val="left"/>
        </w:tabs>
        <w:rPr>
          <w:sz w:val="20"/>
          <w:szCs w:val="20"/>
          <w:color w:val="auto"/>
        </w:rPr>
      </w:pPr>
      <w:r>
        <w:rPr>
          <w:rFonts w:ascii="Courier New" w:cs="Courier New" w:eastAsia="Courier New" w:hAnsi="Courier New"/>
          <w:sz w:val="18"/>
          <w:szCs w:val="18"/>
          <w:color w:val="auto"/>
        </w:rPr>
        <w:t>Filing Party:</w:t>
      </w:r>
      <w:r>
        <w:rPr>
          <w:sz w:val="20"/>
          <w:szCs w:val="20"/>
          <w:color w:val="auto"/>
        </w:rPr>
        <w:tab/>
      </w:r>
      <w:r>
        <w:rPr>
          <w:rFonts w:ascii="Courier New" w:cs="Courier New" w:eastAsia="Courier New" w:hAnsi="Courier New"/>
          <w:sz w:val="16"/>
          <w:szCs w:val="16"/>
          <w:color w:val="auto"/>
        </w:rPr>
        <w:t>QVC Programming Holdings, Inc., Comcast Corporation and</w:t>
      </w:r>
    </w:p>
    <w:p>
      <w:pPr>
        <w:spacing w:after="0" w:line="237" w:lineRule="auto"/>
        <w:rPr>
          <w:sz w:val="20"/>
          <w:szCs w:val="20"/>
          <w:color w:val="auto"/>
        </w:rPr>
      </w:pPr>
      <w:r>
        <w:rPr>
          <w:rFonts w:ascii="Courier New" w:cs="Courier New" w:eastAsia="Courier New" w:hAnsi="Courier New"/>
          <w:sz w:val="18"/>
          <w:szCs w:val="18"/>
          <w:color w:val="auto"/>
        </w:rPr>
        <w:t>Tele-Communications, Inc.</w:t>
      </w:r>
    </w:p>
    <w:p>
      <w:pPr>
        <w:spacing w:after="0"/>
        <w:tabs>
          <w:tab w:leader="none" w:pos="1360" w:val="left"/>
        </w:tabs>
        <w:rPr>
          <w:sz w:val="20"/>
          <w:szCs w:val="20"/>
          <w:color w:val="auto"/>
        </w:rPr>
      </w:pPr>
      <w:r>
        <w:rPr>
          <w:rFonts w:ascii="Courier New" w:cs="Courier New" w:eastAsia="Courier New" w:hAnsi="Courier New"/>
          <w:sz w:val="18"/>
          <w:szCs w:val="18"/>
          <w:color w:val="auto"/>
        </w:rPr>
        <w:t>Date Filed:</w:t>
      </w:r>
      <w:r>
        <w:rPr>
          <w:sz w:val="20"/>
          <w:szCs w:val="20"/>
          <w:color w:val="auto"/>
        </w:rPr>
        <w:tab/>
      </w:r>
      <w:r>
        <w:rPr>
          <w:rFonts w:ascii="Courier New" w:cs="Courier New" w:eastAsia="Courier New" w:hAnsi="Courier New"/>
          <w:sz w:val="16"/>
          <w:szCs w:val="16"/>
          <w:color w:val="auto"/>
        </w:rPr>
        <w:t>August 11, 1994</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Tender Offer First Published, Sent, or Given to Securityholders)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13E-3 as hereby amended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0"/>
          <w:szCs w:val="20"/>
          <w:color w:val="auto"/>
        </w:rPr>
      </w:pPr>
    </w:p>
    <w:p>
      <w:pPr>
        <w:ind w:right="26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shall have the meaning assigned to them in the Schedule 13E-3 (as hereby amended).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Past Contacts, Transactions or Negotiations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answer to Item 3 of Amendment No. 3 to the Schedule 14D-1 is incorporated herein by reference.</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11. Contracts, Arrangements or Understandings with Respect to the Issuer's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answer to Item 7 of Amendment No. 3 to the Schedule 14D-1 is incorporated</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herein by reference.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17,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 w:leader="none" w:pos="48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STEPHEN M. BRETT</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Stephen M. Brett</w:t>
      </w:r>
    </w:p>
    <w:p>
      <w:pPr>
        <w:jc w:val="right"/>
        <w:ind w:right="3579"/>
        <w:spacing w:after="0" w:line="237" w:lineRule="auto"/>
        <w:rPr>
          <w:sz w:val="20"/>
          <w:szCs w:val="20"/>
          <w:color w:val="auto"/>
        </w:rPr>
      </w:pPr>
      <w:r>
        <w:rPr>
          <w:rFonts w:ascii="Courier New" w:cs="Courier New" w:eastAsia="Courier New" w:hAnsi="Courier New"/>
          <w:sz w:val="18"/>
          <w:szCs w:val="18"/>
          <w:color w:val="auto"/>
        </w:rPr>
        <w:t>Title: Executive Vice</w:t>
      </w:r>
    </w:p>
    <w:p>
      <w:pPr>
        <w:jc w:val="right"/>
        <w:ind w:right="3579"/>
        <w:spacing w:after="0" w:line="238"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2019-12-16T12:54:40Z</dcterms:created>
  <dcterms:modified xsi:type="dcterms:W3CDTF">2019-12-16T12:54:40Z</dcterms:modified>
</cp:coreProperties>
</file>