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88" w:lineRule="exact"/>
        <w:rPr>
          <w:sz w:val="24"/>
          <w:szCs w:val="24"/>
          <w:color w:val="auto"/>
        </w:rPr>
      </w:pPr>
    </w:p>
    <w:tbl>
      <w:tblPr>
        <w:tblLayout w:type="fixed"/>
        <w:tblInd w:w="700" w:type="dxa"/>
        <w:tblCellMar>
          <w:top w:w="0" w:type="dxa"/>
          <w:left w:w="0" w:type="dxa"/>
          <w:bottom w:w="0" w:type="dxa"/>
          <w:right w:w="0" w:type="dxa"/>
        </w:tblCellMar>
      </w:tblPr>
      <w:tr>
        <w:trPr>
          <w:trHeight w:val="375"/>
        </w:trPr>
        <w:tc>
          <w:tcPr>
            <w:tcW w:w="2560" w:type="dxa"/>
            <w:vAlign w:val="bottom"/>
          </w:tcPr>
          <w:p>
            <w:pPr>
              <w:spacing w:after="0"/>
              <w:rPr>
                <w:sz w:val="24"/>
                <w:szCs w:val="24"/>
                <w:color w:val="auto"/>
              </w:rPr>
            </w:pPr>
          </w:p>
        </w:tc>
        <w:tc>
          <w:tcPr>
            <w:tcW w:w="7220" w:type="dxa"/>
            <w:vAlign w:val="bottom"/>
          </w:tcPr>
          <w:p>
            <w:pPr>
              <w:jc w:val="center"/>
              <w:ind w:right="2217"/>
              <w:spacing w:after="0"/>
              <w:rPr>
                <w:sz w:val="20"/>
                <w:szCs w:val="20"/>
                <w:color w:val="auto"/>
              </w:rPr>
            </w:pPr>
            <w:r>
              <w:rPr>
                <w:rFonts w:ascii="Arial" w:cs="Arial" w:eastAsia="Arial" w:hAnsi="Arial"/>
                <w:sz w:val="29"/>
                <w:szCs w:val="29"/>
                <w:b w:val="1"/>
                <w:bCs w:val="1"/>
                <w:color w:val="auto"/>
                <w:w w:val="96"/>
              </w:rPr>
              <w:t>WASHINGTON, D.C. 20549</w:t>
            </w:r>
          </w:p>
        </w:tc>
      </w:tr>
      <w:tr>
        <w:trPr>
          <w:trHeight w:val="532"/>
        </w:trPr>
        <w:tc>
          <w:tcPr>
            <w:tcW w:w="2560" w:type="dxa"/>
            <w:vAlign w:val="bottom"/>
          </w:tcPr>
          <w:p>
            <w:pPr>
              <w:spacing w:after="0"/>
              <w:rPr>
                <w:sz w:val="24"/>
                <w:szCs w:val="24"/>
                <w:color w:val="auto"/>
              </w:rPr>
            </w:pPr>
          </w:p>
        </w:tc>
        <w:tc>
          <w:tcPr>
            <w:tcW w:w="7220" w:type="dxa"/>
            <w:vAlign w:val="bottom"/>
          </w:tcPr>
          <w:p>
            <w:pPr>
              <w:jc w:val="center"/>
              <w:ind w:right="2217"/>
              <w:spacing w:after="0"/>
              <w:rPr>
                <w:sz w:val="20"/>
                <w:szCs w:val="20"/>
                <w:color w:val="auto"/>
              </w:rPr>
            </w:pPr>
            <w:r>
              <w:rPr>
                <w:rFonts w:ascii="Arial" w:cs="Arial" w:eastAsia="Arial" w:hAnsi="Arial"/>
                <w:sz w:val="22"/>
                <w:szCs w:val="22"/>
                <w:color w:val="auto"/>
                <w:w w:val="88"/>
              </w:rPr>
              <w:t>________________</w:t>
            </w:r>
          </w:p>
        </w:tc>
      </w:tr>
      <w:tr>
        <w:trPr>
          <w:trHeight w:val="680"/>
        </w:trPr>
        <w:tc>
          <w:tcPr>
            <w:tcW w:w="2560" w:type="dxa"/>
            <w:vAlign w:val="bottom"/>
          </w:tcPr>
          <w:p>
            <w:pPr>
              <w:spacing w:after="0"/>
              <w:rPr>
                <w:sz w:val="24"/>
                <w:szCs w:val="24"/>
                <w:color w:val="auto"/>
              </w:rPr>
            </w:pPr>
          </w:p>
        </w:tc>
        <w:tc>
          <w:tcPr>
            <w:tcW w:w="7220" w:type="dxa"/>
            <w:vAlign w:val="bottom"/>
          </w:tcPr>
          <w:p>
            <w:pPr>
              <w:jc w:val="center"/>
              <w:ind w:right="2197"/>
              <w:spacing w:after="0"/>
              <w:rPr>
                <w:sz w:val="20"/>
                <w:szCs w:val="20"/>
                <w:color w:val="auto"/>
              </w:rPr>
            </w:pPr>
            <w:r>
              <w:rPr>
                <w:rFonts w:ascii="Arial" w:cs="Arial" w:eastAsia="Arial" w:hAnsi="Arial"/>
                <w:sz w:val="32"/>
                <w:szCs w:val="32"/>
                <w:b w:val="1"/>
                <w:bCs w:val="1"/>
                <w:color w:val="auto"/>
              </w:rPr>
              <w:t>FORM 8-K</w:t>
            </w:r>
          </w:p>
        </w:tc>
      </w:tr>
      <w:tr>
        <w:trPr>
          <w:trHeight w:val="601"/>
        </w:trPr>
        <w:tc>
          <w:tcPr>
            <w:tcW w:w="2560" w:type="dxa"/>
            <w:vAlign w:val="bottom"/>
          </w:tcPr>
          <w:p>
            <w:pPr>
              <w:spacing w:after="0"/>
              <w:rPr>
                <w:sz w:val="24"/>
                <w:szCs w:val="24"/>
                <w:color w:val="auto"/>
              </w:rPr>
            </w:pPr>
          </w:p>
        </w:tc>
        <w:tc>
          <w:tcPr>
            <w:tcW w:w="7220" w:type="dxa"/>
            <w:vAlign w:val="bottom"/>
          </w:tcPr>
          <w:p>
            <w:pPr>
              <w:jc w:val="center"/>
              <w:ind w:right="2197"/>
              <w:spacing w:after="0"/>
              <w:rPr>
                <w:sz w:val="20"/>
                <w:szCs w:val="20"/>
                <w:color w:val="auto"/>
              </w:rPr>
            </w:pPr>
            <w:r>
              <w:rPr>
                <w:rFonts w:ascii="Arial" w:cs="Arial" w:eastAsia="Arial" w:hAnsi="Arial"/>
                <w:sz w:val="29"/>
                <w:szCs w:val="29"/>
                <w:b w:val="1"/>
                <w:bCs w:val="1"/>
                <w:color w:val="auto"/>
                <w:w w:val="99"/>
              </w:rPr>
              <w:t>CURRENT REPORT</w:t>
            </w:r>
          </w:p>
        </w:tc>
      </w:tr>
      <w:tr>
        <w:trPr>
          <w:trHeight w:val="351"/>
        </w:trPr>
        <w:tc>
          <w:tcPr>
            <w:tcW w:w="2560" w:type="dxa"/>
            <w:vAlign w:val="bottom"/>
          </w:tcPr>
          <w:p>
            <w:pPr>
              <w:spacing w:after="0"/>
              <w:rPr>
                <w:sz w:val="24"/>
                <w:szCs w:val="24"/>
                <w:color w:val="auto"/>
              </w:rPr>
            </w:pPr>
          </w:p>
        </w:tc>
        <w:tc>
          <w:tcPr>
            <w:tcW w:w="7220" w:type="dxa"/>
            <w:vAlign w:val="bottom"/>
          </w:tcPr>
          <w:p>
            <w:pPr>
              <w:jc w:val="center"/>
              <w:ind w:right="2217"/>
              <w:spacing w:after="0"/>
              <w:rPr>
                <w:sz w:val="20"/>
                <w:szCs w:val="20"/>
                <w:color w:val="auto"/>
              </w:rPr>
            </w:pPr>
            <w:r>
              <w:rPr>
                <w:rFonts w:ascii="Arial" w:cs="Arial" w:eastAsia="Arial" w:hAnsi="Arial"/>
                <w:sz w:val="29"/>
                <w:szCs w:val="29"/>
                <w:b w:val="1"/>
                <w:bCs w:val="1"/>
                <w:color w:val="auto"/>
                <w:w w:val="90"/>
              </w:rPr>
              <w:t>Pursuant To Section 13 Or 15(d) of</w:t>
            </w:r>
          </w:p>
        </w:tc>
      </w:tr>
      <w:tr>
        <w:trPr>
          <w:trHeight w:val="375"/>
        </w:trPr>
        <w:tc>
          <w:tcPr>
            <w:tcW w:w="2560" w:type="dxa"/>
            <w:vAlign w:val="bottom"/>
          </w:tcPr>
          <w:p>
            <w:pPr>
              <w:spacing w:after="0"/>
              <w:rPr>
                <w:sz w:val="24"/>
                <w:szCs w:val="24"/>
                <w:color w:val="auto"/>
              </w:rPr>
            </w:pPr>
          </w:p>
        </w:tc>
        <w:tc>
          <w:tcPr>
            <w:tcW w:w="7220" w:type="dxa"/>
            <w:vAlign w:val="bottom"/>
          </w:tcPr>
          <w:p>
            <w:pPr>
              <w:jc w:val="center"/>
              <w:ind w:right="2197"/>
              <w:spacing w:after="0"/>
              <w:rPr>
                <w:sz w:val="20"/>
                <w:szCs w:val="20"/>
                <w:color w:val="auto"/>
              </w:rPr>
            </w:pPr>
            <w:r>
              <w:rPr>
                <w:rFonts w:ascii="Arial" w:cs="Arial" w:eastAsia="Arial" w:hAnsi="Arial"/>
                <w:sz w:val="29"/>
                <w:szCs w:val="29"/>
                <w:b w:val="1"/>
                <w:bCs w:val="1"/>
                <w:color w:val="auto"/>
                <w:w w:val="88"/>
              </w:rPr>
              <w:t>The Securities Exchange Act of 1934</w:t>
            </w:r>
          </w:p>
        </w:tc>
      </w:tr>
      <w:tr>
        <w:trPr>
          <w:trHeight w:val="481"/>
        </w:trPr>
        <w:tc>
          <w:tcPr>
            <w:tcW w:w="2560" w:type="dxa"/>
            <w:vAlign w:val="bottom"/>
          </w:tcPr>
          <w:p>
            <w:pPr>
              <w:spacing w:after="0"/>
              <w:rPr>
                <w:sz w:val="24"/>
                <w:szCs w:val="24"/>
                <w:color w:val="auto"/>
              </w:rPr>
            </w:pPr>
          </w:p>
        </w:tc>
        <w:tc>
          <w:tcPr>
            <w:tcW w:w="7220" w:type="dxa"/>
            <w:vAlign w:val="bottom"/>
          </w:tcPr>
          <w:p>
            <w:pPr>
              <w:jc w:val="center"/>
              <w:ind w:right="2197"/>
              <w:spacing w:after="0"/>
              <w:rPr>
                <w:sz w:val="20"/>
                <w:szCs w:val="20"/>
                <w:color w:val="auto"/>
              </w:rPr>
            </w:pPr>
            <w:r>
              <w:rPr>
                <w:rFonts w:ascii="Arial" w:cs="Arial" w:eastAsia="Arial" w:hAnsi="Arial"/>
                <w:sz w:val="18"/>
                <w:szCs w:val="18"/>
                <w:color w:val="auto"/>
                <w:w w:val="90"/>
              </w:rPr>
              <w:t>Date of report (Date of earliest event reported): June 1, 2005</w:t>
            </w:r>
          </w:p>
        </w:tc>
      </w:tr>
      <w:tr>
        <w:trPr>
          <w:trHeight w:val="589"/>
        </w:trPr>
        <w:tc>
          <w:tcPr>
            <w:tcW w:w="2560" w:type="dxa"/>
            <w:vAlign w:val="bottom"/>
          </w:tcPr>
          <w:p>
            <w:pPr>
              <w:spacing w:after="0"/>
              <w:rPr>
                <w:sz w:val="24"/>
                <w:szCs w:val="24"/>
                <w:color w:val="auto"/>
              </w:rPr>
            </w:pPr>
          </w:p>
        </w:tc>
        <w:tc>
          <w:tcPr>
            <w:tcW w:w="7220" w:type="dxa"/>
            <w:vAlign w:val="bottom"/>
          </w:tcPr>
          <w:p>
            <w:pPr>
              <w:jc w:val="center"/>
              <w:ind w:right="2197"/>
              <w:spacing w:after="0"/>
              <w:rPr>
                <w:sz w:val="20"/>
                <w:szCs w:val="20"/>
                <w:color w:val="auto"/>
              </w:rPr>
            </w:pPr>
            <w:r>
              <w:rPr>
                <w:rFonts w:ascii="Arial" w:cs="Arial" w:eastAsia="Arial" w:hAnsi="Arial"/>
                <w:sz w:val="29"/>
                <w:szCs w:val="29"/>
                <w:b w:val="1"/>
                <w:bCs w:val="1"/>
                <w:color w:val="auto"/>
                <w:w w:val="99"/>
              </w:rPr>
              <w:t>COMCAST CORPORATION</w:t>
            </w:r>
          </w:p>
        </w:tc>
      </w:tr>
      <w:tr>
        <w:trPr>
          <w:trHeight w:val="176"/>
        </w:trPr>
        <w:tc>
          <w:tcPr>
            <w:tcW w:w="2560" w:type="dxa"/>
            <w:vAlign w:val="bottom"/>
          </w:tcPr>
          <w:p>
            <w:pPr>
              <w:spacing w:after="0"/>
              <w:rPr>
                <w:sz w:val="15"/>
                <w:szCs w:val="15"/>
                <w:color w:val="auto"/>
              </w:rPr>
            </w:pPr>
          </w:p>
        </w:tc>
        <w:tc>
          <w:tcPr>
            <w:tcW w:w="7220" w:type="dxa"/>
            <w:vAlign w:val="bottom"/>
          </w:tcPr>
          <w:p>
            <w:pPr>
              <w:jc w:val="center"/>
              <w:ind w:right="2217"/>
              <w:spacing w:after="0"/>
              <w:rPr>
                <w:sz w:val="20"/>
                <w:szCs w:val="20"/>
                <w:color w:val="auto"/>
              </w:rPr>
            </w:pPr>
            <w:r>
              <w:rPr>
                <w:rFonts w:ascii="Arial" w:cs="Arial" w:eastAsia="Arial" w:hAnsi="Arial"/>
                <w:sz w:val="14"/>
                <w:szCs w:val="14"/>
                <w:color w:val="auto"/>
                <w:w w:val="93"/>
              </w:rPr>
              <w:t>(Exact Name of Registrant</w:t>
            </w:r>
          </w:p>
        </w:tc>
      </w:tr>
      <w:tr>
        <w:trPr>
          <w:trHeight w:val="182"/>
        </w:trPr>
        <w:tc>
          <w:tcPr>
            <w:tcW w:w="2560" w:type="dxa"/>
            <w:vAlign w:val="bottom"/>
          </w:tcPr>
          <w:p>
            <w:pPr>
              <w:spacing w:after="0"/>
              <w:rPr>
                <w:sz w:val="15"/>
                <w:szCs w:val="15"/>
                <w:color w:val="auto"/>
              </w:rPr>
            </w:pPr>
          </w:p>
        </w:tc>
        <w:tc>
          <w:tcPr>
            <w:tcW w:w="7220" w:type="dxa"/>
            <w:vAlign w:val="bottom"/>
          </w:tcPr>
          <w:p>
            <w:pPr>
              <w:jc w:val="center"/>
              <w:ind w:right="2197"/>
              <w:spacing w:after="0"/>
              <w:rPr>
                <w:sz w:val="20"/>
                <w:szCs w:val="20"/>
                <w:color w:val="auto"/>
              </w:rPr>
            </w:pPr>
            <w:r>
              <w:rPr>
                <w:rFonts w:ascii="Arial" w:cs="Arial" w:eastAsia="Arial" w:hAnsi="Arial"/>
                <w:sz w:val="14"/>
                <w:szCs w:val="14"/>
                <w:color w:val="auto"/>
                <w:w w:val="92"/>
              </w:rPr>
              <w:t>as Specified in Charter)</w:t>
            </w:r>
          </w:p>
        </w:tc>
      </w:tr>
      <w:tr>
        <w:trPr>
          <w:trHeight w:val="458"/>
        </w:trPr>
        <w:tc>
          <w:tcPr>
            <w:tcW w:w="2560" w:type="dxa"/>
            <w:vAlign w:val="bottom"/>
          </w:tcPr>
          <w:p>
            <w:pPr>
              <w:spacing w:after="0"/>
              <w:rPr>
                <w:sz w:val="24"/>
                <w:szCs w:val="24"/>
                <w:color w:val="auto"/>
              </w:rPr>
            </w:pPr>
          </w:p>
        </w:tc>
        <w:tc>
          <w:tcPr>
            <w:tcW w:w="7220" w:type="dxa"/>
            <w:vAlign w:val="bottom"/>
          </w:tcPr>
          <w:p>
            <w:pPr>
              <w:jc w:val="center"/>
              <w:ind w:right="2337"/>
              <w:spacing w:after="0"/>
              <w:rPr>
                <w:sz w:val="20"/>
                <w:szCs w:val="20"/>
                <w:color w:val="auto"/>
              </w:rPr>
            </w:pPr>
            <w:r>
              <w:rPr>
                <w:rFonts w:ascii="Arial" w:cs="Arial" w:eastAsia="Arial" w:hAnsi="Arial"/>
                <w:sz w:val="18"/>
                <w:szCs w:val="18"/>
                <w:b w:val="1"/>
                <w:bCs w:val="1"/>
                <w:color w:val="auto"/>
                <w:w w:val="88"/>
              </w:rPr>
              <w:t>Pennsylvania</w:t>
            </w:r>
          </w:p>
        </w:tc>
      </w:tr>
      <w:tr>
        <w:trPr>
          <w:trHeight w:val="204"/>
        </w:trPr>
        <w:tc>
          <w:tcPr>
            <w:tcW w:w="2560" w:type="dxa"/>
            <w:vAlign w:val="bottom"/>
          </w:tcPr>
          <w:p>
            <w:pPr>
              <w:spacing w:after="0"/>
              <w:rPr>
                <w:sz w:val="17"/>
                <w:szCs w:val="17"/>
                <w:color w:val="auto"/>
              </w:rPr>
            </w:pPr>
          </w:p>
        </w:tc>
        <w:tc>
          <w:tcPr>
            <w:tcW w:w="7220" w:type="dxa"/>
            <w:vAlign w:val="bottom"/>
          </w:tcPr>
          <w:p>
            <w:pPr>
              <w:jc w:val="center"/>
              <w:ind w:right="2337"/>
              <w:spacing w:after="0"/>
              <w:rPr>
                <w:sz w:val="20"/>
                <w:szCs w:val="20"/>
                <w:color w:val="auto"/>
              </w:rPr>
            </w:pPr>
            <w:r>
              <w:rPr>
                <w:rFonts w:ascii="Arial" w:cs="Arial" w:eastAsia="Arial" w:hAnsi="Arial"/>
                <w:sz w:val="14"/>
                <w:szCs w:val="14"/>
                <w:color w:val="auto"/>
                <w:w w:val="94"/>
              </w:rPr>
              <w:t>(State or Other Jurisdiction of Incorporation)</w:t>
            </w:r>
          </w:p>
        </w:tc>
      </w:tr>
      <w:tr>
        <w:trPr>
          <w:trHeight w:val="525"/>
        </w:trPr>
        <w:tc>
          <w:tcPr>
            <w:tcW w:w="2560" w:type="dxa"/>
            <w:vAlign w:val="bottom"/>
          </w:tcPr>
          <w:p>
            <w:pPr>
              <w:jc w:val="center"/>
              <w:ind w:right="137"/>
              <w:spacing w:after="0"/>
              <w:rPr>
                <w:sz w:val="20"/>
                <w:szCs w:val="20"/>
                <w:color w:val="auto"/>
              </w:rPr>
            </w:pPr>
            <w:r>
              <w:rPr>
                <w:rFonts w:ascii="Arial" w:cs="Arial" w:eastAsia="Arial" w:hAnsi="Arial"/>
                <w:sz w:val="18"/>
                <w:szCs w:val="18"/>
                <w:b w:val="1"/>
                <w:bCs w:val="1"/>
                <w:color w:val="auto"/>
                <w:w w:val="90"/>
              </w:rPr>
              <w:t>000-50093</w:t>
            </w:r>
          </w:p>
        </w:tc>
        <w:tc>
          <w:tcPr>
            <w:tcW w:w="7220" w:type="dxa"/>
            <w:vAlign w:val="bottom"/>
          </w:tcPr>
          <w:p>
            <w:pPr>
              <w:jc w:val="right"/>
              <w:ind w:right="437"/>
              <w:spacing w:after="0"/>
              <w:rPr>
                <w:sz w:val="20"/>
                <w:szCs w:val="20"/>
                <w:color w:val="auto"/>
              </w:rPr>
            </w:pPr>
            <w:r>
              <w:rPr>
                <w:rFonts w:ascii="Arial" w:cs="Arial" w:eastAsia="Arial" w:hAnsi="Arial"/>
                <w:sz w:val="18"/>
                <w:szCs w:val="18"/>
                <w:b w:val="1"/>
                <w:bCs w:val="1"/>
                <w:color w:val="auto"/>
              </w:rPr>
              <w:t>27-0000798</w:t>
            </w:r>
          </w:p>
        </w:tc>
      </w:tr>
      <w:tr>
        <w:trPr>
          <w:trHeight w:val="204"/>
        </w:trPr>
        <w:tc>
          <w:tcPr>
            <w:tcW w:w="2560" w:type="dxa"/>
            <w:vAlign w:val="bottom"/>
          </w:tcPr>
          <w:p>
            <w:pPr>
              <w:jc w:val="center"/>
              <w:ind w:right="157"/>
              <w:spacing w:after="0"/>
              <w:rPr>
                <w:sz w:val="20"/>
                <w:szCs w:val="20"/>
                <w:color w:val="auto"/>
              </w:rPr>
            </w:pPr>
            <w:r>
              <w:rPr>
                <w:rFonts w:ascii="Arial" w:cs="Arial" w:eastAsia="Arial" w:hAnsi="Arial"/>
                <w:sz w:val="14"/>
                <w:szCs w:val="14"/>
                <w:color w:val="auto"/>
                <w:w w:val="96"/>
              </w:rPr>
              <w:t>(Commission File Number)</w:t>
            </w:r>
          </w:p>
        </w:tc>
        <w:tc>
          <w:tcPr>
            <w:tcW w:w="7220" w:type="dxa"/>
            <w:vAlign w:val="bottom"/>
          </w:tcPr>
          <w:p>
            <w:pPr>
              <w:jc w:val="center"/>
              <w:ind w:left="5137"/>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2560" w:type="dxa"/>
            <w:vAlign w:val="bottom"/>
          </w:tcPr>
          <w:p>
            <w:pPr>
              <w:jc w:val="center"/>
              <w:ind w:right="157"/>
              <w:spacing w:after="0"/>
              <w:rPr>
                <w:sz w:val="20"/>
                <w:szCs w:val="20"/>
                <w:color w:val="auto"/>
              </w:rPr>
            </w:pPr>
            <w:r>
              <w:rPr>
                <w:rFonts w:ascii="Arial" w:cs="Arial" w:eastAsia="Arial" w:hAnsi="Arial"/>
                <w:sz w:val="18"/>
                <w:szCs w:val="18"/>
                <w:b w:val="1"/>
                <w:bCs w:val="1"/>
                <w:color w:val="auto"/>
                <w:w w:val="93"/>
              </w:rPr>
              <w:t>1500 Market Street</w:t>
            </w:r>
          </w:p>
        </w:tc>
        <w:tc>
          <w:tcPr>
            <w:tcW w:w="7220" w:type="dxa"/>
            <w:vAlign w:val="bottom"/>
          </w:tcPr>
          <w:p>
            <w:pPr>
              <w:spacing w:after="0"/>
              <w:rPr>
                <w:sz w:val="24"/>
                <w:szCs w:val="24"/>
                <w:color w:val="auto"/>
              </w:rPr>
            </w:pPr>
          </w:p>
        </w:tc>
      </w:tr>
      <w:tr>
        <w:trPr>
          <w:trHeight w:val="229"/>
        </w:trPr>
        <w:tc>
          <w:tcPr>
            <w:tcW w:w="2560" w:type="dxa"/>
            <w:vAlign w:val="bottom"/>
          </w:tcPr>
          <w:p>
            <w:pPr>
              <w:jc w:val="center"/>
              <w:ind w:right="157"/>
              <w:spacing w:after="0"/>
              <w:rPr>
                <w:sz w:val="20"/>
                <w:szCs w:val="20"/>
                <w:color w:val="auto"/>
              </w:rPr>
            </w:pPr>
            <w:r>
              <w:rPr>
                <w:rFonts w:ascii="Arial" w:cs="Arial" w:eastAsia="Arial" w:hAnsi="Arial"/>
                <w:sz w:val="18"/>
                <w:szCs w:val="18"/>
                <w:b w:val="1"/>
                <w:bCs w:val="1"/>
                <w:color w:val="auto"/>
                <w:w w:val="90"/>
              </w:rPr>
              <w:t>Philadelphia, PA</w:t>
            </w:r>
          </w:p>
        </w:tc>
        <w:tc>
          <w:tcPr>
            <w:tcW w:w="7220" w:type="dxa"/>
            <w:vAlign w:val="bottom"/>
          </w:tcPr>
          <w:p>
            <w:pPr>
              <w:jc w:val="right"/>
              <w:ind w:right="657"/>
              <w:spacing w:after="0"/>
              <w:rPr>
                <w:sz w:val="20"/>
                <w:szCs w:val="20"/>
                <w:color w:val="auto"/>
              </w:rPr>
            </w:pPr>
            <w:r>
              <w:rPr>
                <w:rFonts w:ascii="Arial" w:cs="Arial" w:eastAsia="Arial" w:hAnsi="Arial"/>
                <w:sz w:val="18"/>
                <w:szCs w:val="18"/>
                <w:b w:val="1"/>
                <w:bCs w:val="1"/>
                <w:color w:val="auto"/>
              </w:rPr>
              <w:t>19102</w:t>
            </w:r>
          </w:p>
        </w:tc>
      </w:tr>
      <w:tr>
        <w:trPr>
          <w:trHeight w:val="182"/>
        </w:trPr>
        <w:tc>
          <w:tcPr>
            <w:tcW w:w="2560" w:type="dxa"/>
            <w:vAlign w:val="bottom"/>
          </w:tcPr>
          <w:p>
            <w:pPr>
              <w:jc w:val="center"/>
              <w:ind w:right="137"/>
              <w:spacing w:after="0"/>
              <w:rPr>
                <w:sz w:val="20"/>
                <w:szCs w:val="20"/>
                <w:color w:val="auto"/>
              </w:rPr>
            </w:pPr>
            <w:r>
              <w:rPr>
                <w:rFonts w:ascii="Arial" w:cs="Arial" w:eastAsia="Arial" w:hAnsi="Arial"/>
                <w:sz w:val="14"/>
                <w:szCs w:val="14"/>
                <w:color w:val="auto"/>
                <w:w w:val="95"/>
              </w:rPr>
              <w:t>(Address of Principal Executive Offices)</w:t>
            </w:r>
          </w:p>
        </w:tc>
        <w:tc>
          <w:tcPr>
            <w:tcW w:w="7220" w:type="dxa"/>
            <w:vAlign w:val="bottom"/>
          </w:tcPr>
          <w:p>
            <w:pPr>
              <w:jc w:val="center"/>
              <w:ind w:left="5157"/>
              <w:spacing w:after="0"/>
              <w:rPr>
                <w:sz w:val="20"/>
                <w:szCs w:val="20"/>
                <w:color w:val="auto"/>
              </w:rPr>
            </w:pPr>
            <w:r>
              <w:rPr>
                <w:rFonts w:ascii="Arial" w:cs="Arial" w:eastAsia="Arial" w:hAnsi="Arial"/>
                <w:sz w:val="14"/>
                <w:szCs w:val="14"/>
                <w:color w:val="auto"/>
                <w:w w:val="96"/>
              </w:rPr>
              <w:t>(Zip Code)</w:t>
            </w:r>
          </w:p>
        </w:tc>
      </w:tr>
      <w:tr>
        <w:trPr>
          <w:trHeight w:val="729"/>
        </w:trPr>
        <w:tc>
          <w:tcPr>
            <w:tcW w:w="2560" w:type="dxa"/>
            <w:vAlign w:val="bottom"/>
          </w:tcPr>
          <w:p>
            <w:pPr>
              <w:spacing w:after="0"/>
              <w:rPr>
                <w:sz w:val="24"/>
                <w:szCs w:val="24"/>
                <w:color w:val="auto"/>
              </w:rPr>
            </w:pPr>
          </w:p>
        </w:tc>
        <w:tc>
          <w:tcPr>
            <w:tcW w:w="7220" w:type="dxa"/>
            <w:vAlign w:val="bottom"/>
          </w:tcPr>
          <w:p>
            <w:pPr>
              <w:jc w:val="center"/>
              <w:ind w:right="2197"/>
              <w:spacing w:after="0"/>
              <w:rPr>
                <w:sz w:val="20"/>
                <w:szCs w:val="20"/>
                <w:color w:val="auto"/>
              </w:rPr>
            </w:pPr>
            <w:r>
              <w:rPr>
                <w:rFonts w:ascii="Arial" w:cs="Arial" w:eastAsia="Arial" w:hAnsi="Arial"/>
                <w:sz w:val="14"/>
                <w:szCs w:val="14"/>
                <w:color w:val="auto"/>
                <w:w w:val="92"/>
              </w:rPr>
              <w:t>Registrant’s telephone number, including area code: (215) 665-1700</w:t>
            </w:r>
          </w:p>
        </w:tc>
      </w:tr>
      <w:tr>
        <w:trPr>
          <w:trHeight w:val="452"/>
        </w:trPr>
        <w:tc>
          <w:tcPr>
            <w:tcW w:w="2560" w:type="dxa"/>
            <w:vAlign w:val="bottom"/>
          </w:tcPr>
          <w:p>
            <w:pPr>
              <w:spacing w:after="0"/>
              <w:rPr>
                <w:sz w:val="24"/>
                <w:szCs w:val="24"/>
                <w:color w:val="auto"/>
              </w:rPr>
            </w:pPr>
          </w:p>
        </w:tc>
        <w:tc>
          <w:tcPr>
            <w:tcW w:w="7220" w:type="dxa"/>
            <w:vAlign w:val="bottom"/>
          </w:tcPr>
          <w:p>
            <w:pPr>
              <w:jc w:val="center"/>
              <w:ind w:right="2197"/>
              <w:spacing w:after="0"/>
              <w:rPr>
                <w:sz w:val="20"/>
                <w:szCs w:val="20"/>
                <w:color w:val="auto"/>
              </w:rPr>
            </w:pPr>
            <w:r>
              <w:rPr>
                <w:rFonts w:ascii="Arial" w:cs="Arial" w:eastAsia="Arial" w:hAnsi="Arial"/>
                <w:sz w:val="18"/>
                <w:szCs w:val="18"/>
                <w:b w:val="1"/>
                <w:bCs w:val="1"/>
                <w:color w:val="auto"/>
                <w:w w:val="92"/>
              </w:rPr>
              <w:t>Not Applicable</w:t>
            </w:r>
          </w:p>
        </w:tc>
      </w:tr>
      <w:tr>
        <w:trPr>
          <w:trHeight w:val="159"/>
        </w:trPr>
        <w:tc>
          <w:tcPr>
            <w:tcW w:w="2560" w:type="dxa"/>
            <w:vAlign w:val="bottom"/>
          </w:tcPr>
          <w:p>
            <w:pPr>
              <w:spacing w:after="0"/>
              <w:rPr>
                <w:sz w:val="13"/>
                <w:szCs w:val="13"/>
                <w:color w:val="auto"/>
              </w:rPr>
            </w:pPr>
          </w:p>
        </w:tc>
        <w:tc>
          <w:tcPr>
            <w:tcW w:w="7220" w:type="dxa"/>
            <w:vAlign w:val="bottom"/>
          </w:tcPr>
          <w:p>
            <w:pPr>
              <w:jc w:val="center"/>
              <w:ind w:right="2197"/>
              <w:spacing w:after="0" w:line="159" w:lineRule="exact"/>
              <w:rPr>
                <w:sz w:val="20"/>
                <w:szCs w:val="20"/>
                <w:color w:val="auto"/>
              </w:rPr>
            </w:pPr>
            <w:r>
              <w:rPr>
                <w:rFonts w:ascii="Arial" w:cs="Arial" w:eastAsia="Arial" w:hAnsi="Arial"/>
                <w:sz w:val="14"/>
                <w:szCs w:val="14"/>
                <w:color w:val="auto"/>
                <w:w w:val="93"/>
              </w:rPr>
              <w:t>(Former Name or Former Address, if Changed Since Last Report)</w:t>
            </w:r>
          </w:p>
        </w:tc>
      </w:tr>
      <w:tr>
        <w:trPr>
          <w:trHeight w:val="275"/>
        </w:trPr>
        <w:tc>
          <w:tcPr>
            <w:tcW w:w="2560" w:type="dxa"/>
            <w:vAlign w:val="bottom"/>
          </w:tcPr>
          <w:p>
            <w:pPr>
              <w:spacing w:after="0"/>
              <w:rPr>
                <w:sz w:val="23"/>
                <w:szCs w:val="23"/>
                <w:color w:val="auto"/>
              </w:rPr>
            </w:pPr>
          </w:p>
        </w:tc>
        <w:tc>
          <w:tcPr>
            <w:tcW w:w="7220" w:type="dxa"/>
            <w:vAlign w:val="bottom"/>
          </w:tcPr>
          <w:p>
            <w:pPr>
              <w:jc w:val="center"/>
              <w:ind w:right="2157"/>
              <w:spacing w:after="0"/>
              <w:rPr>
                <w:sz w:val="20"/>
                <w:szCs w:val="20"/>
                <w:color w:val="auto"/>
              </w:rPr>
            </w:pPr>
            <w:r>
              <w:rPr>
                <w:rFonts w:ascii="Arial" w:cs="Arial" w:eastAsia="Arial" w:hAnsi="Arial"/>
                <w:sz w:val="22"/>
                <w:szCs w:val="22"/>
                <w:color w:val="auto"/>
                <w:w w:val="87"/>
              </w:rPr>
              <w:t>___________________</w:t>
            </w:r>
          </w:p>
        </w:tc>
      </w:tr>
    </w:tbl>
    <w:p>
      <w:pPr>
        <w:spacing w:after="0" w:line="21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4" w:lineRule="exact"/>
        <w:rPr>
          <w:sz w:val="24"/>
          <w:szCs w:val="24"/>
          <w:color w:val="auto"/>
        </w:rPr>
      </w:pPr>
    </w:p>
    <w:p>
      <w:pPr>
        <w:ind w:left="160" w:hanging="107"/>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160" w:hanging="107"/>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160" w:hanging="107"/>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160" w:hanging="107"/>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947420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823"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Restatement of Comcast Corporation Articles of Incorporation</w:t>
      </w:r>
    </w:p>
    <w:p>
      <w:pPr>
        <w:spacing w:after="0" w:line="2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February 17, 2005, the Board of Directors of 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approved the restatement of the Company’s Articles of Incorporation (the “</w:t>
      </w:r>
      <w:r>
        <w:rPr>
          <w:rFonts w:ascii="Arial" w:cs="Arial" w:eastAsia="Arial" w:hAnsi="Arial"/>
          <w:sz w:val="18"/>
          <w:szCs w:val="18"/>
          <w:b w:val="1"/>
          <w:bCs w:val="1"/>
          <w:color w:val="auto"/>
        </w:rPr>
        <w:t>Articles</w:t>
      </w:r>
      <w:r>
        <w:rPr>
          <w:rFonts w:ascii="Arial" w:cs="Arial" w:eastAsia="Arial" w:hAnsi="Arial"/>
          <w:sz w:val="18"/>
          <w:szCs w:val="18"/>
          <w:color w:val="auto"/>
        </w:rPr>
        <w:t>”) effective as of June 1, 2005. The Restated Articles of Incorporation was filed with the Pennsylvania Department of State on June 1, 2005 and restates without change all of the operative provisions of the Company’s Articles of Incorporation, as previously amended and restated. The purpose of the restatement was to remove certain inoperative provisions of the Articles by: (i) eliminating obsolete defined terms and (ii) eliminating certain corporate governance provisions in Article SIXTH of the Articles that were originally added to the Articles in connection with Company’s acquisition of AT&amp;T Corp.’s broadband business in 2002 and that have since become inoperative due to the occurrence of specified events or the passage of time. No shareholder vote was required for this restatement under Pennsylvania law. The form of the Restated Articles of Incorporation is attached to this Current Report on Form 8-K as Exhibit 3.1.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4"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18"/>
          <w:szCs w:val="18"/>
          <w:i w:val="1"/>
          <w:iCs w:val="1"/>
          <w:color w:val="auto"/>
        </w:rPr>
        <w:t>(c)</w:t>
      </w:r>
      <w:r>
        <w:rPr>
          <w:sz w:val="20"/>
          <w:szCs w:val="20"/>
          <w:color w:val="auto"/>
        </w:rPr>
        <w:tab/>
      </w:r>
      <w:r>
        <w:rPr>
          <w:rFonts w:ascii="Arial" w:cs="Arial" w:eastAsia="Arial" w:hAnsi="Arial"/>
          <w:sz w:val="18"/>
          <w:szCs w:val="18"/>
          <w:i w:val="1"/>
          <w:iCs w:val="1"/>
          <w:color w:val="auto"/>
        </w:rPr>
        <w:t>Exhibits</w:t>
      </w:r>
    </w:p>
    <w:p>
      <w:pPr>
        <w:spacing w:after="0" w:line="63" w:lineRule="exact"/>
        <w:rPr>
          <w:sz w:val="20"/>
          <w:szCs w:val="20"/>
          <w:color w:val="auto"/>
        </w:rPr>
      </w:pPr>
    </w:p>
    <w:p>
      <w:pPr>
        <w:ind w:left="1720"/>
        <w:spacing w:after="0"/>
        <w:tabs>
          <w:tab w:leader="none" w:pos="24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Articles of Incorporation of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587375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460" w:type="dxa"/>
            <w:vAlign w:val="bottom"/>
            <w:gridSpan w:val="3"/>
          </w:tcPr>
          <w:p>
            <w:pPr>
              <w:ind w:left="1740"/>
              <w:spacing w:after="0"/>
              <w:rPr>
                <w:sz w:val="20"/>
                <w:szCs w:val="20"/>
                <w:color w:val="auto"/>
              </w:rPr>
            </w:pPr>
            <w:r>
              <w:rPr>
                <w:rFonts w:ascii="Arial" w:cs="Arial" w:eastAsia="Arial" w:hAnsi="Arial"/>
                <w:sz w:val="18"/>
                <w:szCs w:val="18"/>
                <w:color w:val="auto"/>
              </w:rPr>
              <w:t>COMCAST CORPORATION</w:t>
            </w:r>
          </w:p>
        </w:tc>
      </w:tr>
      <w:tr>
        <w:trPr>
          <w:trHeight w:val="493"/>
        </w:trPr>
        <w:tc>
          <w:tcPr>
            <w:tcW w:w="3960" w:type="dxa"/>
            <w:vAlign w:val="bottom"/>
            <w:gridSpan w:val="2"/>
          </w:tcPr>
          <w:p>
            <w:pPr>
              <w:spacing w:after="0"/>
              <w:rPr>
                <w:sz w:val="20"/>
                <w:szCs w:val="20"/>
                <w:color w:val="auto"/>
              </w:rPr>
            </w:pPr>
            <w:r>
              <w:rPr>
                <w:rFonts w:ascii="Arial" w:cs="Arial" w:eastAsia="Arial" w:hAnsi="Arial"/>
                <w:sz w:val="18"/>
                <w:szCs w:val="18"/>
                <w:color w:val="auto"/>
                <w:w w:val="88"/>
              </w:rPr>
              <w:t>Date:June 6, 2005</w:t>
            </w:r>
          </w:p>
        </w:tc>
        <w:tc>
          <w:tcPr>
            <w:tcW w:w="7460" w:type="dxa"/>
            <w:vAlign w:val="bottom"/>
            <w:gridSpan w:val="3"/>
          </w:tcPr>
          <w:p>
            <w:pPr>
              <w:ind w:left="1740"/>
              <w:spacing w:after="0"/>
              <w:rPr>
                <w:sz w:val="20"/>
                <w:szCs w:val="20"/>
                <w:color w:val="auto"/>
              </w:rPr>
            </w:pPr>
            <w:r>
              <w:rPr>
                <w:rFonts w:ascii="Arial" w:cs="Arial" w:eastAsia="Arial" w:hAnsi="Arial"/>
                <w:sz w:val="18"/>
                <w:szCs w:val="18"/>
                <w:color w:val="auto"/>
              </w:rPr>
              <w:t>By:    /s/ Arthur R. Block</w:t>
            </w:r>
          </w:p>
        </w:tc>
      </w:tr>
      <w:tr>
        <w:trPr>
          <w:trHeight w:val="229"/>
        </w:trPr>
        <w:tc>
          <w:tcPr>
            <w:tcW w:w="740" w:type="dxa"/>
            <w:vAlign w:val="bottom"/>
          </w:tcPr>
          <w:p>
            <w:pPr>
              <w:spacing w:after="0"/>
              <w:rPr>
                <w:sz w:val="19"/>
                <w:szCs w:val="19"/>
                <w:color w:val="auto"/>
              </w:rPr>
            </w:pPr>
          </w:p>
        </w:tc>
        <w:tc>
          <w:tcPr>
            <w:tcW w:w="3220" w:type="dxa"/>
            <w:vAlign w:val="bottom"/>
            <w:tcBorders>
              <w:top w:val="single" w:sz="8" w:color="auto"/>
            </w:tcBorders>
          </w:tcPr>
          <w:p>
            <w:pPr>
              <w:spacing w:after="0"/>
              <w:rPr>
                <w:sz w:val="19"/>
                <w:szCs w:val="19"/>
                <w:color w:val="auto"/>
              </w:rPr>
            </w:pPr>
          </w:p>
        </w:tc>
        <w:tc>
          <w:tcPr>
            <w:tcW w:w="232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Arthur R. Block</w:t>
            </w:r>
          </w:p>
        </w:tc>
      </w:tr>
      <w:tr>
        <w:trPr>
          <w:trHeight w:val="230"/>
        </w:trPr>
        <w:tc>
          <w:tcPr>
            <w:tcW w:w="7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920" w:type="dxa"/>
            <w:vAlign w:val="bottom"/>
            <w:gridSpan w:val="2"/>
          </w:tcPr>
          <w:p>
            <w:pPr>
              <w:ind w:left="2320"/>
              <w:spacing w:after="0"/>
              <w:rPr>
                <w:sz w:val="20"/>
                <w:szCs w:val="20"/>
                <w:color w:val="auto"/>
              </w:rPr>
            </w:pPr>
            <w:r>
              <w:rPr>
                <w:rFonts w:ascii="Arial" w:cs="Arial" w:eastAsia="Arial" w:hAnsi="Arial"/>
                <w:sz w:val="18"/>
                <w:szCs w:val="18"/>
                <w:color w:val="auto"/>
              </w:rPr>
              <w:t>Title:</w:t>
            </w:r>
          </w:p>
        </w:tc>
        <w:tc>
          <w:tcPr>
            <w:tcW w:w="454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1420"/>
          </w:cols>
          <w:pgMar w:left="240" w:top="87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Articles of Incorporation of Comcast Corporation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Restated Articles of Incorporation of the Corporation are hereby restated in their entirety so as to read as follows: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FIRST: The name of the Corporation is Comcast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SECOND: The location and post office address of the Corporation’s current registered office in this Commonwealth is: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1500 Market Street, 35th Floor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Philadelphia, PA 19102-2148</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THIRD: The Corporation is incorporated under the provisions of the Business Corporation Law of 1988. The purpose or purposes for which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 is organized are:</w:t>
      </w:r>
    </w:p>
    <w:p>
      <w:pPr>
        <w:spacing w:after="0" w:line="26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To have unlimited power to engage in and to do any lawful act concerning any or all lawful business for which corporations may be incorporated under the Business Corporation Law.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FOURTH: The term of its existence is perpetual.</w:t>
      </w:r>
    </w:p>
    <w:p>
      <w:pPr>
        <w:spacing w:after="0" w:line="27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FIFTH: A. The aggregate number of shares which the Corporation shall have authority to issue is SEVEN BILLION FIVE HUNDRED MILLION (7,500,000,000) shares of Class A Common Stock, par value $0.01 per share, SEVEN BILLION FIVE HUNDRED MILLION (7,500,000,000) shares of Class A Special Common Stock, par value $0.01 per share, SEVENTY 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 The descriptions, preferences, qualifications, limitations, restrictions and the voting, special or relative rights in respect of the shares of each class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 are as follows:</w:t>
      </w:r>
    </w:p>
    <w:p>
      <w:pPr>
        <w:spacing w:after="0" w:line="265" w:lineRule="exact"/>
        <w:rPr>
          <w:sz w:val="20"/>
          <w:szCs w:val="20"/>
          <w:color w:val="auto"/>
        </w:rPr>
      </w:pPr>
    </w:p>
    <w:p>
      <w:pPr>
        <w:ind w:left="340" w:firstLine="316"/>
        <w:spacing w:after="0" w:line="286" w:lineRule="auto"/>
        <w:tabs>
          <w:tab w:leader="none" w:pos="844"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Subject to paragraph (B)(1)(c) of this Article FIFTH, each share of Class A Common Stock shall entitle the holder thereof to the number of votes equal to a quotient the numerator of which is the excess of (i) the Total Number of Votes (as defined below) over (ii) the sum of (A) the Total Number of B Votes (as defined below) and (B) the Total Number of Other Votes (as defined below) and the denominator of which is the number of outstanding shares of Class A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there are no outstanding shares of Class B Common Stock, each share of Class A Common Stock shall entitle the holder thereof to one (1) vote) and each share of Class B Common Stock shall entitle the holder thereof to fifteen (15) votes. Holders of shares of Class A Special Common Stock shall not be entitled to vote for the election of Directors (as defined below in Article SIXTH) or any other matter except as may be required by applicable law, in which case each share of Class A Special Common Stock shall entitle the holder thereof to the same number of votes to which each holder of Class A Common Stock is entitled for each of such holder’s shares of Class A Common Stock. </w:t>
      </w:r>
      <w:r>
        <w:rPr>
          <w:rFonts w:ascii="Arial" w:cs="Arial" w:eastAsia="Arial" w:hAnsi="Arial"/>
          <w:sz w:val="16"/>
          <w:szCs w:val="16"/>
          <w:b w:val="1"/>
          <w:bCs w:val="1"/>
          <w:color w:val="auto"/>
        </w:rPr>
        <w:t>“Total Number of Votes”</w:t>
      </w:r>
      <w:r>
        <w:rPr>
          <w:rFonts w:ascii="Arial" w:cs="Arial" w:eastAsia="Arial" w:hAnsi="Arial"/>
          <w:sz w:val="16"/>
          <w:szCs w:val="16"/>
          <w:color w:val="auto"/>
        </w:rPr>
        <w:t xml:space="preserve"> on any record date is equal to a quotient the numerator of which is the Total Number of B Votes on such record date and the denominator of which is the B Voting Percentage (as defined below) on such record date. </w:t>
      </w:r>
      <w:r>
        <w:rPr>
          <w:rFonts w:ascii="Arial" w:cs="Arial" w:eastAsia="Arial" w:hAnsi="Arial"/>
          <w:sz w:val="16"/>
          <w:szCs w:val="16"/>
          <w:b w:val="1"/>
          <w:bCs w:val="1"/>
          <w:color w:val="auto"/>
        </w:rPr>
        <w:t>“Total Number of B Votes”</w:t>
      </w:r>
      <w:r>
        <w:rPr>
          <w:rFonts w:ascii="Arial" w:cs="Arial" w:eastAsia="Arial" w:hAnsi="Arial"/>
          <w:sz w:val="16"/>
          <w:szCs w:val="16"/>
          <w:color w:val="auto"/>
        </w:rPr>
        <w:t xml:space="preserve"> on any record date is equal to the product of (i) 15 and (ii) the number of outstanding shares of Class B Common Stock on such record date. </w:t>
      </w:r>
      <w:r>
        <w:rPr>
          <w:rFonts w:ascii="Arial" w:cs="Arial" w:eastAsia="Arial" w:hAnsi="Arial"/>
          <w:sz w:val="16"/>
          <w:szCs w:val="16"/>
          <w:b w:val="1"/>
          <w:bCs w:val="1"/>
          <w:color w:val="auto"/>
        </w:rPr>
        <w:t>“Total Number of Other Votes”</w:t>
      </w:r>
      <w:r>
        <w:rPr>
          <w:rFonts w:ascii="Arial" w:cs="Arial" w:eastAsia="Arial" w:hAnsi="Arial"/>
          <w:sz w:val="16"/>
          <w:szCs w:val="16"/>
          <w:color w:val="auto"/>
        </w:rPr>
        <w:t xml:space="preserve"> on any record date means the aggregate number of votes to which holders of all classes of capital stock of the Corporation other than holders of Class A Common Stock and Class B Common Stock are entitled to cast on such record date in an election of Directors. </w:t>
      </w:r>
      <w:r>
        <w:rPr>
          <w:rFonts w:ascii="Arial" w:cs="Arial" w:eastAsia="Arial" w:hAnsi="Arial"/>
          <w:sz w:val="16"/>
          <w:szCs w:val="16"/>
          <w:b w:val="1"/>
          <w:bCs w:val="1"/>
          <w:color w:val="auto"/>
        </w:rPr>
        <w:t>“B Voting Percentage”</w:t>
      </w:r>
      <w:r>
        <w:rPr>
          <w:rFonts w:ascii="Arial" w:cs="Arial" w:eastAsia="Arial" w:hAnsi="Arial"/>
          <w:sz w:val="16"/>
          <w:szCs w:val="16"/>
          <w:color w:val="auto"/>
        </w:rPr>
        <w:t xml:space="preserve"> on any record date means the portion (expressed as a percentage) of the total number of votes entitled to be cast in an election of Directors by the holders of capital stock of the Corporation to which all holders of Class B Common Stock are entitled to cast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such record date in an election of Directors, as specified and determined pursuant to paragraph (B)(1)(c) of this Article FIFTH.</w:t>
      </w:r>
    </w:p>
    <w:p>
      <w:pPr>
        <w:spacing w:after="0" w:line="279" w:lineRule="exact"/>
        <w:rPr>
          <w:sz w:val="20"/>
          <w:szCs w:val="20"/>
          <w:color w:val="auto"/>
        </w:rPr>
      </w:pPr>
    </w:p>
    <w:p>
      <w:pPr>
        <w:ind w:right="160" w:firstLine="316"/>
        <w:spacing w:after="0" w:line="272" w:lineRule="auto"/>
        <w:tabs>
          <w:tab w:leader="none" w:pos="579" w:val="left"/>
        </w:tabs>
        <w:numPr>
          <w:ilvl w:val="0"/>
          <w:numId w:val="3"/>
        </w:numPr>
        <w:rPr>
          <w:rFonts w:ascii="Arial" w:cs="Arial" w:eastAsia="Arial" w:hAnsi="Arial"/>
          <w:sz w:val="17"/>
          <w:szCs w:val="17"/>
          <w:color w:val="auto"/>
        </w:rPr>
      </w:pPr>
      <w:r>
        <w:rPr>
          <w:rFonts w:ascii="Arial" w:cs="Arial" w:eastAsia="Arial" w:hAnsi="Arial"/>
          <w:sz w:val="17"/>
          <w:szCs w:val="17"/>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Restated Articles of Incorporation, or the By-Laws of the Corporation. Whenever applicable law, these Restated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Restated Articles of Incorporation or the By-Laws of the Corporation.</w:t>
      </w:r>
    </w:p>
    <w:p>
      <w:pPr>
        <w:spacing w:after="0" w:line="231" w:lineRule="exact"/>
        <w:rPr>
          <w:rFonts w:ascii="Arial" w:cs="Arial" w:eastAsia="Arial" w:hAnsi="Arial"/>
          <w:sz w:val="17"/>
          <w:szCs w:val="17"/>
          <w:color w:val="auto"/>
        </w:rPr>
      </w:pPr>
    </w:p>
    <w:p>
      <w:pPr>
        <w:ind w:firstLine="316"/>
        <w:spacing w:after="0" w:line="286" w:lineRule="auto"/>
        <w:tabs>
          <w:tab w:leader="none" w:pos="569"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Notwithstanding any other provision of these Restated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 three and one-third (33 1/3) per cent of the total votes cast by all such holders, subject to reduction as set forth in the following sentence. If at any time after November 18, 2002 for any reason whatsoever the number of shares of Class B Common Stock outstanding at such time is reduced below the number of shares of Class B Common Stock outstanding on November 18, 2002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 (i) thirty three and one-third (33 1/3) and (ii) the fraction obtained by dividing the number of shares of Class B Common Stock outstanding at such time by the number of shares of Class B Common Stock outstanding on November 18, 2002 (appropriately adjusted for any stock dividend paid in Class B Common Stock, stock splits or reverse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223" w:lineRule="exact"/>
        <w:rPr>
          <w:sz w:val="20"/>
          <w:szCs w:val="20"/>
          <w:color w:val="auto"/>
        </w:rPr>
      </w:pPr>
    </w:p>
    <w:p>
      <w:pPr>
        <w:ind w:firstLine="316"/>
        <w:spacing w:after="0" w:line="259" w:lineRule="auto"/>
        <w:tabs>
          <w:tab w:leader="none" w:pos="50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holders of Class A Common Stock, the holders of 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240" w:lineRule="exact"/>
        <w:rPr>
          <w:rFonts w:ascii="Arial" w:cs="Arial" w:eastAsia="Arial" w:hAnsi="Arial"/>
          <w:sz w:val="18"/>
          <w:szCs w:val="18"/>
          <w:color w:val="auto"/>
        </w:rPr>
      </w:pPr>
    </w:p>
    <w:p>
      <w:pPr>
        <w:ind w:left="500" w:hanging="184"/>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holders of Class A Common Stock, the holders of Class A Special Common Stock, and the holders of Class B Common Stock shall be</w:t>
      </w:r>
    </w:p>
    <w:p>
      <w:pPr>
        <w:spacing w:after="0" w:line="34" w:lineRule="exact"/>
        <w:rPr>
          <w:rFonts w:ascii="Arial" w:cs="Arial" w:eastAsia="Arial" w:hAnsi="Arial"/>
          <w:sz w:val="17"/>
          <w:szCs w:val="17"/>
          <w:color w:val="auto"/>
        </w:rPr>
      </w:pPr>
    </w:p>
    <w:p>
      <w:pPr>
        <w:ind w:right="20"/>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stock dividends on, or stock splits of, Class B Common Stock may be paid or issued in shares of Class A Special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Any decrease in the number of shares of any class of Common Stock resulting from a combination or consolidation of shares or other capital reclassification shall not be permitted unless parallel action is taken with respect to each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the holders of Class A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225425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395" w:right="259" w:bottom="1440" w:gutter="0" w:footer="0" w:header="0"/>
        </w:sectPr>
      </w:pPr>
    </w:p>
    <w:bookmarkStart w:id="5" w:name="page6"/>
    <w:bookmarkEnd w:id="5"/>
    <w:p>
      <w:pPr>
        <w:ind w:right="120"/>
        <w:spacing w:after="0" w:line="286" w:lineRule="auto"/>
        <w:rPr>
          <w:sz w:val="20"/>
          <w:szCs w:val="20"/>
          <w:color w:val="auto"/>
        </w:rPr>
      </w:pPr>
      <w:r>
        <w:rPr>
          <w:rFonts w:ascii="Arial" w:cs="Arial" w:eastAsia="Arial" w:hAnsi="Arial"/>
          <w:sz w:val="16"/>
          <w:szCs w:val="16"/>
          <w:color w:val="auto"/>
        </w:rPr>
        <w:t>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229" w:lineRule="exact"/>
        <w:rPr>
          <w:sz w:val="20"/>
          <w:szCs w:val="20"/>
          <w:color w:val="auto"/>
        </w:rPr>
      </w:pPr>
    </w:p>
    <w:p>
      <w:pPr>
        <w:ind w:right="360" w:firstLine="316"/>
        <w:spacing w:after="0" w:line="342" w:lineRule="auto"/>
        <w:tabs>
          <w:tab w:leader="none" w:pos="504"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share of Class B Common Stock shall be convertible at the option of the holder thereof into one share of Class A Common Stock or one share of Class A Special Common Stock. Each share of Class B Common Stock shall be cancelled after it has been converted as provided herein.</w:t>
      </w:r>
    </w:p>
    <w:p>
      <w:pPr>
        <w:spacing w:after="0" w:line="177" w:lineRule="exact"/>
        <w:rPr>
          <w:rFonts w:ascii="Arial" w:cs="Arial" w:eastAsia="Arial" w:hAnsi="Arial"/>
          <w:sz w:val="16"/>
          <w:szCs w:val="16"/>
          <w:color w:val="auto"/>
        </w:rPr>
      </w:pPr>
    </w:p>
    <w:p>
      <w:pPr>
        <w:ind w:right="20" w:firstLine="316"/>
        <w:spacing w:after="0" w:line="255" w:lineRule="auto"/>
        <w:tabs>
          <w:tab w:leader="none" w:pos="504"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Article SEVENTH and except as otherwise permitted by applicable law, each and any provision of these Restated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247" w:lineRule="exact"/>
        <w:rPr>
          <w:rFonts w:ascii="Arial" w:cs="Arial" w:eastAsia="Arial" w:hAnsi="Arial"/>
          <w:sz w:val="18"/>
          <w:szCs w:val="18"/>
          <w:color w:val="auto"/>
        </w:rPr>
      </w:pPr>
    </w:p>
    <w:p>
      <w:pPr>
        <w:ind w:right="80" w:firstLine="316"/>
        <w:spacing w:after="0" w:line="293" w:lineRule="auto"/>
        <w:tabs>
          <w:tab w:leader="none" w:pos="504"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there should be any merger, consolidation, purchase or acquisition of property or stock, separation, reorganization, division or share exchange, the Board of Directors shall take such action as may be necessary to enable the holders of the Class B Common Stock to receive upon any subsequent conversion of their stock into Class A Common Stock or Class A Special Common Stock (as the case may be), in whole or in part, in lieu of any shares of Class A Common Stock or Class A Special Common Stock (as the case may be) of the Corporation, the shares of stock, securities, or other assets as would be issuable or payable upon such merger, consolidation, purchase, or acquisition of property or stock, separation, reorganization, division or share exchange in respect of or in exchange for such share or shares of Class A Common Stock or Class A Special Common Stock (as the case may be).</w:t>
      </w:r>
    </w:p>
    <w:p>
      <w:pPr>
        <w:spacing w:after="0" w:line="218" w:lineRule="exact"/>
        <w:rPr>
          <w:rFonts w:ascii="Arial" w:cs="Arial" w:eastAsia="Arial" w:hAnsi="Arial"/>
          <w:sz w:val="16"/>
          <w:szCs w:val="16"/>
          <w:color w:val="auto"/>
        </w:rPr>
      </w:pPr>
    </w:p>
    <w:p>
      <w:pPr>
        <w:jc w:val="both"/>
        <w:ind w:right="240" w:firstLine="316"/>
        <w:spacing w:after="0" w:line="264" w:lineRule="auto"/>
        <w:tabs>
          <w:tab w:leader="none" w:pos="50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of any liquidation, dissolution or 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235" w:lineRule="exact"/>
        <w:rPr>
          <w:rFonts w:ascii="Arial" w:cs="Arial" w:eastAsia="Arial" w:hAnsi="Arial"/>
          <w:sz w:val="18"/>
          <w:szCs w:val="18"/>
          <w:color w:val="auto"/>
        </w:rPr>
      </w:pPr>
    </w:p>
    <w:p>
      <w:pPr>
        <w:ind w:right="60" w:firstLine="316"/>
        <w:spacing w:after="0" w:line="264" w:lineRule="auto"/>
        <w:tabs>
          <w:tab w:leader="none" w:pos="494"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235" w:lineRule="exact"/>
        <w:rPr>
          <w:rFonts w:ascii="Arial" w:cs="Arial" w:eastAsia="Arial" w:hAnsi="Arial"/>
          <w:sz w:val="18"/>
          <w:szCs w:val="18"/>
          <w:color w:val="auto"/>
        </w:rPr>
      </w:pPr>
    </w:p>
    <w:p>
      <w:pPr>
        <w:ind w:firstLine="316"/>
        <w:spacing w:after="0" w:line="264" w:lineRule="auto"/>
        <w:tabs>
          <w:tab w:leader="none" w:pos="504"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as expressly set forth in these Restated Articles of Incorporation (including, without limitation, this Article FIFTH and Article SEVENTH), the rights of the holders of Class A Common Stock, the rights of the holders of Class A Special Common Stock and the rights of the holders of Class B Common Stock shall be in all respects identical.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224790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368" w:right="259" w:bottom="1440" w:gutter="0" w:footer="0" w:header="0"/>
        </w:sectPr>
      </w:pPr>
    </w:p>
    <w:bookmarkStart w:id="6" w:name="page7"/>
    <w:bookmarkEnd w:id="6"/>
    <w:p>
      <w:pPr>
        <w:ind w:left="8" w:right="220" w:firstLine="316"/>
        <w:spacing w:after="0" w:line="277" w:lineRule="auto"/>
        <w:tabs>
          <w:tab w:leader="none" w:pos="602" w:val="left"/>
        </w:tabs>
        <w:numPr>
          <w:ilvl w:val="1"/>
          <w:numId w:val="6"/>
        </w:numPr>
        <w:rPr>
          <w:rFonts w:ascii="Arial" w:cs="Arial" w:eastAsia="Arial" w:hAnsi="Arial"/>
          <w:sz w:val="18"/>
          <w:szCs w:val="18"/>
          <w:color w:val="auto"/>
        </w:rPr>
      </w:pPr>
      <w:r>
        <w:rPr>
          <w:rFonts w:ascii="Arial" w:cs="Arial" w:eastAsia="Arial" w:hAnsi="Arial"/>
          <w:sz w:val="18"/>
          <w:szCs w:val="18"/>
          <w:color w:val="auto"/>
        </w:rPr>
        <w:t>Neither the holders of the Class A Common Stock nor the holders of the Class B Common Stock nor the holders of any other class or series of Common Stock, Preferred Stock or other class of capital stock of the Corporation shall have cumulative voting rights.</w:t>
      </w:r>
    </w:p>
    <w:p>
      <w:pPr>
        <w:spacing w:after="0" w:line="224" w:lineRule="exact"/>
        <w:rPr>
          <w:rFonts w:ascii="Arial" w:cs="Arial" w:eastAsia="Arial" w:hAnsi="Arial"/>
          <w:sz w:val="18"/>
          <w:szCs w:val="18"/>
          <w:color w:val="auto"/>
        </w:rPr>
      </w:pPr>
    </w:p>
    <w:p>
      <w:pPr>
        <w:ind w:left="-332" w:right="180" w:firstLine="332"/>
        <w:spacing w:after="0" w:line="264" w:lineRule="auto"/>
        <w:tabs>
          <w:tab w:leader="none" w:pos="202"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Pursuant to the authority granted to the Board of Directors in paragraph A of this Article FIFTH, the Board of Directors has fixed and designated a Series A Participating Cumulative Preferred Stock having the voting rights and designations, preferences, qualifications, privileges, limitations, restrictions, and other special and relative rights as are hereinafter set forth:</w:t>
      </w:r>
    </w:p>
    <w:p>
      <w:pPr>
        <w:spacing w:after="0" w:line="231" w:lineRule="exact"/>
        <w:rPr>
          <w:rFonts w:ascii="Arial" w:cs="Arial" w:eastAsia="Arial" w:hAnsi="Arial"/>
          <w:sz w:val="18"/>
          <w:szCs w:val="18"/>
          <w:color w:val="auto"/>
        </w:rPr>
      </w:pPr>
    </w:p>
    <w:p>
      <w:pPr>
        <w:ind w:left="8" w:right="20" w:firstLine="316"/>
        <w:spacing w:after="0" w:line="258" w:lineRule="auto"/>
        <w:tabs>
          <w:tab w:leader="none" w:pos="509"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shares of such series shall be designated as “Series A Participating Cumulative Preferred Stock” (the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and the number of shares constituting such series shall be 2,500,000. Such number of shares of the Series A Preferred Stock may be increased or decreased by resolution of the Board of Directors; provided that no decrease shall reduce the number of shares of Series A Preferred Stock to a number less than the number of shares then outstanding plus the number of shares issuable upon exercise or conversion of outstanding rights, options or other securities issued by the Corporation.</w:t>
      </w:r>
    </w:p>
    <w:p>
      <w:pPr>
        <w:spacing w:after="0" w:line="241" w:lineRule="exact"/>
        <w:rPr>
          <w:rFonts w:ascii="Arial" w:cs="Arial" w:eastAsia="Arial" w:hAnsi="Arial"/>
          <w:sz w:val="18"/>
          <w:szCs w:val="18"/>
          <w:color w:val="auto"/>
        </w:rPr>
      </w:pPr>
    </w:p>
    <w:p>
      <w:pPr>
        <w:ind w:left="8" w:right="40" w:firstLine="316"/>
        <w:spacing w:after="0" w:line="268" w:lineRule="auto"/>
        <w:tabs>
          <w:tab w:leader="none" w:pos="512" w:val="left"/>
        </w:tabs>
        <w:numPr>
          <w:ilvl w:val="1"/>
          <w:numId w:val="7"/>
        </w:numPr>
        <w:rPr>
          <w:rFonts w:ascii="Arial" w:cs="Arial" w:eastAsia="Arial" w:hAnsi="Arial"/>
          <w:sz w:val="17"/>
          <w:szCs w:val="17"/>
          <w:color w:val="auto"/>
        </w:rPr>
      </w:pPr>
      <w:r>
        <w:rPr>
          <w:rFonts w:ascii="Arial" w:cs="Arial" w:eastAsia="Arial" w:hAnsi="Arial"/>
          <w:sz w:val="17"/>
          <w:szCs w:val="17"/>
          <w:color w:val="auto"/>
        </w:rPr>
        <w:t>(a) The holders of shares of Series A Preferred Stock shall be entitled to receive, when, as and if declared by the Board of Directors out of funds legally available for the purpose, quarterly dividends payable on March 31, June 30, September 30 and December 31 of each year (each such date being referred to herein as a “</w:t>
      </w:r>
      <w:r>
        <w:rPr>
          <w:rFonts w:ascii="Arial" w:cs="Arial" w:eastAsia="Arial" w:hAnsi="Arial"/>
          <w:sz w:val="17"/>
          <w:szCs w:val="17"/>
          <w:b w:val="1"/>
          <w:bCs w:val="1"/>
          <w:color w:val="auto"/>
        </w:rPr>
        <w:t>Quarterly Dividend Payment Date</w:t>
      </w:r>
      <w:r>
        <w:rPr>
          <w:rFonts w:ascii="Arial" w:cs="Arial" w:eastAsia="Arial" w:hAnsi="Arial"/>
          <w:sz w:val="17"/>
          <w:szCs w:val="17"/>
          <w:color w:val="auto"/>
        </w:rPr>
        <w:t>”), commencing on the first Quarterly Dividend Payment Date after the first issuance of any share or fraction of a share of Series A Preferred Stock, in an amount per share (rounded to the nearest cent) equal to the greater of (i) $10.00 and (ii) subject to the provision for adjustment hereinafter set forth, 1000 times the aggregate per share amount of all cash dividends or other distributions and 1000 times the aggregate per share amount of all non-cash dividends or other distributions (other than (A) a dividend payable in shares of Common Stock, par value $0.01 per share, of the Corporation (the “</w:t>
      </w:r>
      <w:r>
        <w:rPr>
          <w:rFonts w:ascii="Arial" w:cs="Arial" w:eastAsia="Arial" w:hAnsi="Arial"/>
          <w:sz w:val="17"/>
          <w:szCs w:val="17"/>
          <w:b w:val="1"/>
          <w:bCs w:val="1"/>
          <w:color w:val="auto"/>
        </w:rPr>
        <w:t>Common Stock</w:t>
      </w:r>
      <w:r>
        <w:rPr>
          <w:rFonts w:ascii="Arial" w:cs="Arial" w:eastAsia="Arial" w:hAnsi="Arial"/>
          <w:sz w:val="17"/>
          <w:szCs w:val="17"/>
          <w:color w:val="auto"/>
        </w:rPr>
        <w:t>”) or (B)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If the Corporation, at any time after November 18, 2002 (the “</w:t>
      </w:r>
      <w:r>
        <w:rPr>
          <w:rFonts w:ascii="Arial" w:cs="Arial" w:eastAsia="Arial" w:hAnsi="Arial"/>
          <w:sz w:val="17"/>
          <w:szCs w:val="17"/>
          <w:b w:val="1"/>
          <w:bCs w:val="1"/>
          <w:color w:val="auto"/>
        </w:rPr>
        <w:t>Rights Declaration Date</w:t>
      </w:r>
      <w:r>
        <w:rPr>
          <w:rFonts w:ascii="Arial" w:cs="Arial" w:eastAsia="Arial" w:hAnsi="Arial"/>
          <w:sz w:val="17"/>
          <w:szCs w:val="17"/>
          <w:color w:val="auto"/>
        </w:rPr>
        <w:t>”), pays any dividend on Common Stock payable in shares of Common Stock or effects a subdivision or combination of the outstanding shares of Common Stock (by reclassification or otherwise) into a greater or lesser number of shares of Common Stock, then in each such case the amount to which holders of shares of Series A Preferred Stock were entitled immediately prior to such event under clause (ii)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37" w:lineRule="exact"/>
        <w:rPr>
          <w:sz w:val="20"/>
          <w:szCs w:val="20"/>
          <w:color w:val="auto"/>
        </w:rPr>
      </w:pPr>
    </w:p>
    <w:p>
      <w:pPr>
        <w:ind w:left="8" w:firstLine="316"/>
        <w:spacing w:after="0" w:line="255" w:lineRule="auto"/>
        <w:tabs>
          <w:tab w:leader="none" w:pos="58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Corporation shall declare a dividend or distribution on the Series A Preferred Stock as provided in paragraph (C)(2)(a) of this Article FIFTH immediately after it declares a dividend or distribution on the Common Stock (other than as described in clauses (ii)(A) and (ii)(B) of the first sentence of paragraph (C)(2) (a) of this Article FIFTH); provided that if no dividend or distribution shall have been declared on the Common Stock during the period between any Quarterly Dividend Payment Date and the next subsequent Quarterly Dividend Payment Date (or, with respect to the first Quarterly Dividend Payment Date, the period between the first issuance of any share or fraction of a share of Series A Preferred Stock and such first Quarterly Dividend Payment Date), a dividend of $10.00 per share on the Series A Preferred Stock shall nevertheless be payable on such subsequent Quarterly Dividend Payment Date.</w:t>
      </w:r>
    </w:p>
    <w:p>
      <w:pPr>
        <w:spacing w:after="0" w:line="243" w:lineRule="exact"/>
        <w:rPr>
          <w:rFonts w:ascii="Arial" w:cs="Arial" w:eastAsia="Arial" w:hAnsi="Arial"/>
          <w:sz w:val="18"/>
          <w:szCs w:val="18"/>
          <w:color w:val="auto"/>
        </w:rPr>
      </w:pPr>
    </w:p>
    <w:p>
      <w:pPr>
        <w:ind w:left="8" w:right="60" w:firstLine="316"/>
        <w:spacing w:after="0" w:line="293" w:lineRule="auto"/>
        <w:tabs>
          <w:tab w:leader="none" w:pos="577" w:val="left"/>
        </w:tabs>
        <w:numPr>
          <w:ilvl w:val="0"/>
          <w:numId w:val="8"/>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A Preferred Stock from the Quarterly Dividend Payment Date next preceding the date of issuance of such shares of Series A Preferred Stock, unless the date of issuance of such shares is on or before the record date for the first Quarterly Dividend Payment Date, in which case dividends on such shares shall begin to accrue and be cumulative from the date of issue of such shares, or unless the date of issue is a date after the record date for the determination of holders of shares of Series A Preferred Stock entitled to receive a quarterly dividend and on or before such Quarterly Dividend Payment Date, in which case dividends shall begin to accrue and be cumulative from such Quarterly Dividend Payment Date. Accrued but unpaid dividends shall not bear interest. Dividends paid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214630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8"/>
          </w:cols>
          <w:pgMar w:left="572" w:top="395" w:right="259" w:bottom="1440" w:gutter="0" w:footer="0" w:header="0"/>
        </w:sectPr>
      </w:pPr>
    </w:p>
    <w:bookmarkStart w:id="7" w:name="page8"/>
    <w:bookmarkEnd w:id="7"/>
    <w:p>
      <w:pPr>
        <w:ind w:right="240"/>
        <w:spacing w:after="0" w:line="259" w:lineRule="auto"/>
        <w:rPr>
          <w:sz w:val="20"/>
          <w:szCs w:val="20"/>
          <w:color w:val="auto"/>
        </w:rPr>
      </w:pPr>
      <w:r>
        <w:rPr>
          <w:rFonts w:ascii="Arial" w:cs="Arial" w:eastAsia="Arial" w:hAnsi="Arial"/>
          <w:sz w:val="18"/>
          <w:szCs w:val="18"/>
          <w:color w:val="auto"/>
        </w:rPr>
        <w:t>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not be more than 60 days prior to the date fixed for the payment thereof.</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3. In addition to any other voting rights required by law, the holders of shares of Series A Preferred Stock shall have the following voting rights:</w:t>
      </w:r>
    </w:p>
    <w:p>
      <w:pPr>
        <w:spacing w:after="0" w:line="291"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(a) Each share of Series A Preferred Stock shall entitle the holder thereof to a number of votes equal to 1000 (as adjusted as described below, the “</w:t>
      </w:r>
      <w:r>
        <w:rPr>
          <w:rFonts w:ascii="Arial" w:cs="Arial" w:eastAsia="Arial" w:hAnsi="Arial"/>
          <w:sz w:val="16"/>
          <w:szCs w:val="16"/>
          <w:b w:val="1"/>
          <w:bCs w:val="1"/>
          <w:color w:val="auto"/>
        </w:rPr>
        <w:t>Adjustable Factor</w:t>
      </w:r>
      <w:r>
        <w:rPr>
          <w:rFonts w:ascii="Arial" w:cs="Arial" w:eastAsia="Arial" w:hAnsi="Arial"/>
          <w:sz w:val="16"/>
          <w:szCs w:val="16"/>
          <w:color w:val="auto"/>
        </w:rPr>
        <w:t>”) times the number of votes a share of Class A Common Stock is entitled to cast on all matters submitted to a vote of stockholders of the Corporation. For purposes of calculating the number of votes a share of Class A Common Stock is entitled to cast on all matters submitted to a vote of stockholders of the Corporation, as set forth in these Restated Articles of Incorporation, votes represented by shares of Series A Preferred Stock shall be included in the “Total Number of Other Votes” (as defined in paragraph (B)(1)(a) of this Article FIFTH).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number of votes per share to which holders of shares of Series A Preferred Stock were entitled immediately prior to such event shall be adjusted by multiplying the Adjustable Factor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23" w:lineRule="exact"/>
        <w:rPr>
          <w:sz w:val="20"/>
          <w:szCs w:val="20"/>
          <w:color w:val="auto"/>
        </w:rPr>
      </w:pPr>
    </w:p>
    <w:p>
      <w:pPr>
        <w:ind w:right="360" w:firstLine="316"/>
        <w:spacing w:after="0" w:line="277" w:lineRule="auto"/>
        <w:tabs>
          <w:tab w:leader="none" w:pos="579"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otherwise provided herein or by law, the holders of shares of Series A Preferred Stock and the holders of shares of Common Stock shall vote together as a single class on all matters submitted to a vote of stockholders of the Corporation.</w:t>
      </w:r>
    </w:p>
    <w:p>
      <w:pPr>
        <w:spacing w:after="0" w:line="224" w:lineRule="exact"/>
        <w:rPr>
          <w:rFonts w:ascii="Arial" w:cs="Arial" w:eastAsia="Arial" w:hAnsi="Arial"/>
          <w:sz w:val="18"/>
          <w:szCs w:val="18"/>
          <w:color w:val="auto"/>
        </w:rPr>
      </w:pPr>
    </w:p>
    <w:p>
      <w:pPr>
        <w:ind w:firstLine="316"/>
        <w:spacing w:after="0" w:line="255" w:lineRule="auto"/>
        <w:tabs>
          <w:tab w:leader="none" w:pos="569" w:val="left"/>
        </w:tabs>
        <w:numPr>
          <w:ilvl w:val="0"/>
          <w:numId w:val="9"/>
        </w:numPr>
        <w:rPr>
          <w:rFonts w:ascii="Arial" w:cs="Arial" w:eastAsia="Arial" w:hAnsi="Arial"/>
          <w:sz w:val="18"/>
          <w:szCs w:val="18"/>
          <w:color w:val="auto"/>
        </w:rPr>
      </w:pPr>
      <w:r>
        <w:rPr>
          <w:rFonts w:ascii="Arial" w:cs="Arial" w:eastAsia="Arial" w:hAnsi="Arial"/>
          <w:sz w:val="18"/>
          <w:szCs w:val="18"/>
          <w:color w:val="auto"/>
        </w:rPr>
        <w:t>(i) If at any time dividends on any Series A Preferred Stock shall be in arrears in an amount equal to six quarterly dividends thereon, the occurrence of such contingency shall mark the beginning of a period (herein called a “</w:t>
      </w:r>
      <w:r>
        <w:rPr>
          <w:rFonts w:ascii="Arial" w:cs="Arial" w:eastAsia="Arial" w:hAnsi="Arial"/>
          <w:sz w:val="18"/>
          <w:szCs w:val="18"/>
          <w:b w:val="1"/>
          <w:bCs w:val="1"/>
          <w:color w:val="auto"/>
        </w:rPr>
        <w:t>default period</w:t>
      </w:r>
      <w:r>
        <w:rPr>
          <w:rFonts w:ascii="Arial" w:cs="Arial" w:eastAsia="Arial" w:hAnsi="Arial"/>
          <w:sz w:val="18"/>
          <w:szCs w:val="18"/>
          <w:color w:val="auto"/>
        </w:rPr>
        <w:t>”) which shall extend until such time when all accrued and unpaid dividends for all previous quarterly dividend periods and for the current quarterly dividend period on all shares of Series A Preferred Stock then outstanding shall have been declared and paid or set apart for payment. During each default period, all holders of Preferred Stock and any other series of Preferred Stock then entitled as a class to elect directors, voting together as a single class, irrespective of series, shall have the right to elect two additional Directors to the Board of Directors.</w:t>
      </w:r>
    </w:p>
    <w:p>
      <w:pPr>
        <w:spacing w:after="0" w:line="247" w:lineRule="exact"/>
        <w:rPr>
          <w:rFonts w:ascii="Arial" w:cs="Arial" w:eastAsia="Arial" w:hAnsi="Arial"/>
          <w:sz w:val="18"/>
          <w:szCs w:val="18"/>
          <w:color w:val="auto"/>
        </w:rPr>
      </w:pPr>
    </w:p>
    <w:p>
      <w:pPr>
        <w:ind w:left="160" w:right="20" w:firstLine="318"/>
        <w:spacing w:after="0" w:line="269" w:lineRule="auto"/>
        <w:tabs>
          <w:tab w:leader="none" w:pos="749" w:val="left"/>
        </w:tabs>
        <w:numPr>
          <w:ilvl w:val="1"/>
          <w:numId w:val="9"/>
        </w:numPr>
        <w:rPr>
          <w:rFonts w:ascii="Arial" w:cs="Arial" w:eastAsia="Arial" w:hAnsi="Arial"/>
          <w:sz w:val="17"/>
          <w:szCs w:val="17"/>
          <w:color w:val="auto"/>
        </w:rPr>
      </w:pPr>
      <w:r>
        <w:rPr>
          <w:rFonts w:ascii="Arial" w:cs="Arial" w:eastAsia="Arial" w:hAnsi="Arial"/>
          <w:sz w:val="17"/>
          <w:szCs w:val="17"/>
          <w:color w:val="auto"/>
        </w:rPr>
        <w:t>During any default period, such voting right of the holders of Series A Preferred Stock may be exercised initially at a special meeting called pursuant to paragraph (C)(3)(c)(iii) of this Article FIFTH or at any annual meeting of stockholders, and thereafter at annual meetings of stockholders; provided that neither such voting right nor the right of the holders of any other series of Preferred Stock, if any, to increase, in certain cases, the authorized number of Directors shall be exercised unless the holders of 10% in number of shares of Preferred Stock outstanding shall be present in person or by proxy. The absence of a quorum of holders of Common Stock shall not affect the exercise by holders of Preferred Stock of such voting right. If at any meeting at which holders of Preferred Stock shall initially exercise such voting right the number of additional Directors which may be so elected does not amount to the required number, the holders of the Preferred Stock shall have the right to make such increase in the number of Directors as shall be necessary to permit the election by them of the required number. After the holders of the Preferred Stock shall have initially exercised their right to elect two additional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Preferred Stock.</w:t>
      </w:r>
    </w:p>
    <w:p>
      <w:pPr>
        <w:spacing w:after="0" w:line="236" w:lineRule="exact"/>
        <w:rPr>
          <w:rFonts w:ascii="Arial" w:cs="Arial" w:eastAsia="Arial" w:hAnsi="Arial"/>
          <w:sz w:val="17"/>
          <w:szCs w:val="17"/>
          <w:color w:val="auto"/>
        </w:rPr>
      </w:pPr>
    </w:p>
    <w:p>
      <w:pPr>
        <w:ind w:left="160" w:right="40" w:firstLine="318"/>
        <w:spacing w:after="0" w:line="277" w:lineRule="auto"/>
        <w:tabs>
          <w:tab w:leader="none" w:pos="799" w:val="left"/>
        </w:tabs>
        <w:numPr>
          <w:ilvl w:val="1"/>
          <w:numId w:val="9"/>
        </w:numPr>
        <w:rPr>
          <w:rFonts w:ascii="Arial" w:cs="Arial" w:eastAsia="Arial" w:hAnsi="Arial"/>
          <w:sz w:val="18"/>
          <w:szCs w:val="18"/>
          <w:color w:val="auto"/>
        </w:rPr>
      </w:pPr>
      <w:r>
        <w:rPr>
          <w:rFonts w:ascii="Arial" w:cs="Arial" w:eastAsia="Arial" w:hAnsi="Arial"/>
          <w:sz w:val="18"/>
          <w:szCs w:val="18"/>
          <w:color w:val="auto"/>
        </w:rPr>
        <w:t>Unless the holders of Preferred Stock shall have previously exercised their right to elect Directors during an existing default period, the Board of Directors may order, or any stockholder or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218440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368" w:right="259" w:bottom="1440" w:gutter="0" w:footer="0" w:header="0"/>
        </w:sectPr>
      </w:pPr>
    </w:p>
    <w:bookmarkStart w:id="8" w:name="page9"/>
    <w:bookmarkEnd w:id="8"/>
    <w:p>
      <w:pPr>
        <w:spacing w:after="0" w:line="289" w:lineRule="auto"/>
        <w:rPr>
          <w:sz w:val="20"/>
          <w:szCs w:val="20"/>
          <w:color w:val="auto"/>
        </w:rPr>
      </w:pPr>
      <w:r>
        <w:rPr>
          <w:rFonts w:ascii="Arial" w:cs="Arial" w:eastAsia="Arial" w:hAnsi="Arial"/>
          <w:sz w:val="16"/>
          <w:szCs w:val="16"/>
          <w:color w:val="auto"/>
        </w:rPr>
        <w:t>owning in the aggregate not less than 10% of the total number of shares of Preferred Stock outstanding, irrespective of series, may request, the calling of a special meeting of holders of Preferred Stock, which meeting shall thereupon be called by the Chief Executive Officer, the President, a Vice President or the Secretary of the Corporation. Notice of such meeting and of any annual meeting at which holders of Preferred Stock are entitled to vote pursuant to this paragraph (C)(3)(c) (iii) of this Article FIFTH shall be given to each holder of record of Preferred Stock by mailing a copy of such notice to him at the address of such holder shown on the registry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of the total number of shares of Preferred Stock outstanding, irrespective of series. Notwithstanding the provisions of this paragraph (C)(3)(c)(iii) of this Article FIFTH, no such special meeting shall be called during the period within 60 days immediately preceding the date fixed for the next annual meeting of stockholders.</w:t>
      </w:r>
    </w:p>
    <w:p>
      <w:pPr>
        <w:spacing w:after="0" w:line="221" w:lineRule="exact"/>
        <w:rPr>
          <w:sz w:val="20"/>
          <w:szCs w:val="20"/>
          <w:color w:val="auto"/>
        </w:rPr>
      </w:pPr>
    </w:p>
    <w:p>
      <w:pPr>
        <w:ind w:right="20" w:firstLine="318"/>
        <w:spacing w:after="0" w:line="254" w:lineRule="auto"/>
        <w:tabs>
          <w:tab w:leader="none" w:pos="629"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paragraph (C)(3)(c)(ii) of this Article FIFTH) be filled by vote of a majority of the remaining Directors theretofore elected by the holders of the class of stock which elected the Director whose office shall have become vacant. References in this paragraph (C)(3)(c) of this Article FIFTH to Directors elected by the holders of a particular class of stock shall include Directors elected by such Directors to fill vacancies as provided in clause (y) of the foregoing sentence.</w:t>
      </w:r>
    </w:p>
    <w:p>
      <w:pPr>
        <w:spacing w:after="0" w:line="246" w:lineRule="exact"/>
        <w:rPr>
          <w:rFonts w:ascii="Arial" w:cs="Arial" w:eastAsia="Arial" w:hAnsi="Arial"/>
          <w:sz w:val="18"/>
          <w:szCs w:val="18"/>
          <w:color w:val="auto"/>
        </w:rPr>
      </w:pPr>
    </w:p>
    <w:p>
      <w:pPr>
        <w:jc w:val="both"/>
        <w:ind w:right="100" w:firstLine="318"/>
        <w:spacing w:after="0" w:line="288" w:lineRule="auto"/>
        <w:tabs>
          <w:tab w:leader="none" w:pos="579" w:val="left"/>
        </w:tabs>
        <w:numPr>
          <w:ilvl w:val="1"/>
          <w:numId w:val="10"/>
        </w:numPr>
        <w:rPr>
          <w:rFonts w:ascii="Arial" w:cs="Arial" w:eastAsia="Arial" w:hAnsi="Arial"/>
          <w:sz w:val="16"/>
          <w:szCs w:val="16"/>
          <w:color w:val="auto"/>
        </w:rPr>
      </w:pPr>
      <w:r>
        <w:rPr>
          <w:rFonts w:ascii="Arial" w:cs="Arial" w:eastAsia="Arial" w:hAnsi="Arial"/>
          <w:sz w:val="16"/>
          <w:szCs w:val="16"/>
          <w:color w:val="auto"/>
        </w:rPr>
        <w:t>Immediately upon the expiration 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these Restated Articles of Incorporation or by-laws irrespective of any increase made pursuant to the provisions of Section (C)</w:t>
      </w: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(3)(c)(ii) of this Article SIXTH (such number being subject, however, to change thereafter in any manner provided by law or in these Restated Articles of Incorporation or by-laws). Any vacancies in the Board of Directors effected by the provisions of clauses (y) and (z) in the preceding sentence may be filled by a majority of the remaining Directors.</w:t>
      </w:r>
    </w:p>
    <w:p>
      <w:pPr>
        <w:spacing w:after="0" w:line="244" w:lineRule="exact"/>
        <w:rPr>
          <w:rFonts w:ascii="Arial" w:cs="Arial" w:eastAsia="Arial" w:hAnsi="Arial"/>
          <w:sz w:val="16"/>
          <w:szCs w:val="16"/>
          <w:color w:val="auto"/>
        </w:rPr>
      </w:pPr>
    </w:p>
    <w:p>
      <w:pPr>
        <w:ind w:left="-160" w:right="40" w:firstLine="316"/>
        <w:spacing w:after="0" w:line="264" w:lineRule="auto"/>
        <w:tabs>
          <w:tab w:leader="none" w:pos="4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Restated Articles of Incorporation shall not be amended in any manner (whether by merger or otherwise) so as to adversely affect the powers, preferences or special rights of the Series A Preferred Stock without the affirmative vote of the holders of a majority of the outstanding shares of Series A Preferred Stock, voting separately as a class.</w:t>
      </w:r>
    </w:p>
    <w:p>
      <w:pPr>
        <w:spacing w:after="0" w:line="235" w:lineRule="exact"/>
        <w:rPr>
          <w:rFonts w:ascii="Arial" w:cs="Arial" w:eastAsia="Arial" w:hAnsi="Arial"/>
          <w:sz w:val="18"/>
          <w:szCs w:val="18"/>
          <w:color w:val="auto"/>
        </w:rPr>
      </w:pPr>
    </w:p>
    <w:p>
      <w:pPr>
        <w:ind w:left="-160" w:right="540" w:firstLine="316"/>
        <w:spacing w:after="0" w:line="277" w:lineRule="auto"/>
        <w:tabs>
          <w:tab w:leader="none" w:pos="4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otherwise provided herein, holders of Series A Preferred Stock shall have no special voting rights, and their consent shall not be required for taking any corporate action.</w:t>
      </w:r>
    </w:p>
    <w:p>
      <w:pPr>
        <w:spacing w:after="0" w:line="224" w:lineRule="exact"/>
        <w:rPr>
          <w:sz w:val="20"/>
          <w:szCs w:val="20"/>
          <w:color w:val="auto"/>
        </w:rPr>
      </w:pPr>
    </w:p>
    <w:p>
      <w:pPr>
        <w:jc w:val="both"/>
        <w:ind w:left="-160" w:right="160" w:firstLine="316"/>
        <w:spacing w:after="0" w:line="264"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Whenever quarterly dividends or other dividends or distributions payable on the Series A Preferred Stock as provided in paragraph (C)(2) of this Article FIFTH are in arrears, thereafter and until all accrued and unpaid dividends and distributions, whether or not declared, on outstanding shares of Series A Preferred Stock shall have been paid in full, the Corporation shall not:</w:t>
      </w:r>
    </w:p>
    <w:p>
      <w:pPr>
        <w:spacing w:after="0" w:line="235" w:lineRule="exact"/>
        <w:rPr>
          <w:rFonts w:ascii="Arial" w:cs="Arial" w:eastAsia="Arial" w:hAnsi="Arial"/>
          <w:sz w:val="18"/>
          <w:szCs w:val="18"/>
          <w:color w:val="auto"/>
        </w:rPr>
      </w:pPr>
    </w:p>
    <w:p>
      <w:pPr>
        <w:ind w:right="160" w:firstLine="318"/>
        <w:spacing w:after="0" w:line="277" w:lineRule="auto"/>
        <w:tabs>
          <w:tab w:leader="none" w:pos="53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junior (either as to dividends or upon liquidation, dissolution or winding up) to the Series A Preferred Stock;</w:t>
      </w:r>
    </w:p>
    <w:p>
      <w:pPr>
        <w:spacing w:after="0" w:line="224" w:lineRule="exact"/>
        <w:rPr>
          <w:rFonts w:ascii="Arial" w:cs="Arial" w:eastAsia="Arial" w:hAnsi="Arial"/>
          <w:sz w:val="18"/>
          <w:szCs w:val="18"/>
          <w:color w:val="auto"/>
        </w:rPr>
      </w:pPr>
    </w:p>
    <w:p>
      <w:pPr>
        <w:ind w:right="240" w:firstLine="318"/>
        <w:spacing w:after="0" w:line="259" w:lineRule="auto"/>
        <w:tabs>
          <w:tab w:leader="none" w:pos="58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other parity stock on which dividends are payable or in arrears in proportion to the total amounts to which the holders of all such shares are then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228600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40" w:top="368" w:right="259" w:bottom="1440" w:gutter="0" w:footer="0" w:header="0"/>
        </w:sectPr>
      </w:pPr>
    </w:p>
    <w:bookmarkStart w:id="9" w:name="page10"/>
    <w:bookmarkEnd w:id="9"/>
    <w:p>
      <w:pPr>
        <w:jc w:val="both"/>
        <w:ind w:left="-156" w:right="120" w:firstLine="318"/>
        <w:spacing w:after="0" w:line="259" w:lineRule="auto"/>
        <w:tabs>
          <w:tab w:leader="none" w:pos="483"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redeem, purchase or otherwise acquire for value any shares of stock ranking junior (either as to dividends or upon liquidation, dissolution or winding up) to the Series A Preferred Stock; provided that the Corporation may at any time redeem, purchase or otherwise acquire shares of any such junior stock in exchange for shares of stock of the Corporation ranking junior (as to dividends and upon dissolution, liquidation or winding up) to the Series A Preferred Stock; or</w:t>
      </w:r>
    </w:p>
    <w:p>
      <w:pPr>
        <w:spacing w:after="0" w:line="240" w:lineRule="exact"/>
        <w:rPr>
          <w:rFonts w:ascii="Arial" w:cs="Arial" w:eastAsia="Arial" w:hAnsi="Arial"/>
          <w:sz w:val="18"/>
          <w:szCs w:val="18"/>
          <w:color w:val="auto"/>
        </w:rPr>
      </w:pPr>
    </w:p>
    <w:p>
      <w:pPr>
        <w:ind w:left="-156" w:firstLine="318"/>
        <w:spacing w:after="0" w:line="297" w:lineRule="auto"/>
        <w:tabs>
          <w:tab w:leader="none" w:pos="473" w:val="left"/>
        </w:tabs>
        <w:numPr>
          <w:ilvl w:val="1"/>
          <w:numId w:val="13"/>
        </w:numPr>
        <w:rPr>
          <w:rFonts w:ascii="Arial" w:cs="Arial" w:eastAsia="Arial" w:hAnsi="Arial"/>
          <w:sz w:val="16"/>
          <w:szCs w:val="16"/>
          <w:color w:val="auto"/>
        </w:rPr>
      </w:pPr>
      <w:r>
        <w:rPr>
          <w:rFonts w:ascii="Arial" w:cs="Arial" w:eastAsia="Arial" w:hAnsi="Arial"/>
          <w:sz w:val="16"/>
          <w:szCs w:val="16"/>
          <w:color w:val="auto"/>
        </w:rPr>
        <w:t>redeem, purchase or otherwise acquire for value any shares of Series A Preferred Stock, or any shares of stock ranking on a parity (either as to dividends or upon liquidation, dissolution or winding up) with the Series A Preferred Stock, except in accordance with a purchase offer made in writing or by publication (as determined by the Board of Directors) to all holders of Series A Preferred Stock and all such other parity stock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12" w:lineRule="exact"/>
        <w:rPr>
          <w:rFonts w:ascii="Arial" w:cs="Arial" w:eastAsia="Arial" w:hAnsi="Arial"/>
          <w:sz w:val="16"/>
          <w:szCs w:val="16"/>
          <w:color w:val="auto"/>
        </w:rPr>
      </w:pPr>
    </w:p>
    <w:p>
      <w:pPr>
        <w:ind w:left="-316" w:right="680" w:firstLine="316"/>
        <w:spacing w:after="0" w:line="342"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Corporation shall not permit any subsidiary of the Corporation to purchase or otherwise acquire for value any shares of stock of the Corporation unless the Corporation could, under paragraph 4(a), purchase or otherwise acquire such shares at such time and in such manner.</w:t>
      </w:r>
    </w:p>
    <w:p>
      <w:pPr>
        <w:spacing w:after="0" w:line="178" w:lineRule="exact"/>
        <w:rPr>
          <w:sz w:val="20"/>
          <w:szCs w:val="20"/>
          <w:color w:val="auto"/>
        </w:rPr>
      </w:pPr>
    </w:p>
    <w:p>
      <w:pPr>
        <w:ind w:left="-316" w:right="100" w:firstLine="316"/>
        <w:spacing w:after="0" w:line="302" w:lineRule="auto"/>
        <w:tabs>
          <w:tab w:leader="none" w:pos="178"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shares of Series A Preferred Stock redeemed, purchased or otherwise acquired by the Corporation in any manner whatsoever shall be retired and canceled promptly after the acquisition thereof. All such shares shall upon their cancellation become authorized but unissued shares of Preferred Stock without designation as to series and may be reissued as part of a new series of Preferred Stock to be created by resolution or resolutions of the Board of Directors as permitted by these Restated Articles of Incorporation or as otherwise permitted under Pennsylvania Law.</w:t>
      </w:r>
    </w:p>
    <w:p>
      <w:pPr>
        <w:spacing w:after="0" w:line="208" w:lineRule="exact"/>
        <w:rPr>
          <w:rFonts w:ascii="Arial" w:cs="Arial" w:eastAsia="Arial" w:hAnsi="Arial"/>
          <w:sz w:val="16"/>
          <w:szCs w:val="16"/>
          <w:color w:val="auto"/>
        </w:rPr>
      </w:pPr>
    </w:p>
    <w:p>
      <w:pPr>
        <w:ind w:left="-316" w:firstLine="316"/>
        <w:spacing w:after="0" w:line="268" w:lineRule="auto"/>
        <w:tabs>
          <w:tab w:leader="none" w:pos="188"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any liquidation, dissolution or winding up of the Corporation, no distribution shall be made (a)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Common Stock, or (b) to the holders of stock ranking on a parity (either as to dividends or upon liquidation, dissolution or winding up) with the Series A Preferred Stock, except distributions made ratably on the Series A Preferred Stock and all such other parity stock in proportion to the total amounts to which the holders of all such shares are entitled upon such liquidation, dissolution or winding up.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aggregate amount to which holders of shares of Series A Preferred Stock were entitled immediately prior to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39" w:lineRule="exact"/>
        <w:rPr>
          <w:rFonts w:ascii="Arial" w:cs="Arial" w:eastAsia="Arial" w:hAnsi="Arial"/>
          <w:sz w:val="17"/>
          <w:szCs w:val="17"/>
          <w:color w:val="auto"/>
        </w:rPr>
      </w:pPr>
    </w:p>
    <w:p>
      <w:pPr>
        <w:ind w:left="-316" w:right="20" w:firstLine="316"/>
        <w:spacing w:after="0" w:line="270" w:lineRule="auto"/>
        <w:tabs>
          <w:tab w:leader="none" w:pos="188"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the Corporation shall enter into any consolidation, merger, combination or other transaction in which the shares of Common Stock are exchanged for or changed into other stock or securities, cash or any other property, then in any such case the shares of Series A Preferred Stock shall at the same time be similarly exchanged for or changed into an amount per share, subject to the provision for adjustment hereinafter set forth, equal to 1000 times the aggregate amount of stock, securities, cash or any other property, as the case may be, into which or for which each share of Common Stock is changed or exchanged.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222885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4"/>
          </w:cols>
          <w:pgMar w:left="896" w:top="395" w:right="279" w:bottom="1440" w:gutter="0" w:footer="0" w:header="0"/>
        </w:sectPr>
      </w:pPr>
    </w:p>
    <w:bookmarkStart w:id="10" w:name="page11"/>
    <w:bookmarkEnd w:id="10"/>
    <w:p>
      <w:pPr>
        <w:ind w:left="500" w:hanging="184"/>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Series A Preferred Stock shall not be redeemable.</w:t>
      </w:r>
    </w:p>
    <w:p>
      <w:pPr>
        <w:spacing w:after="0" w:line="279" w:lineRule="exact"/>
        <w:rPr>
          <w:rFonts w:ascii="Arial" w:cs="Arial" w:eastAsia="Arial" w:hAnsi="Arial"/>
          <w:sz w:val="18"/>
          <w:szCs w:val="18"/>
          <w:color w:val="auto"/>
        </w:rPr>
      </w:pPr>
    </w:p>
    <w:p>
      <w:pPr>
        <w:ind w:right="220" w:firstLine="316"/>
        <w:spacing w:after="0" w:line="264" w:lineRule="auto"/>
        <w:tabs>
          <w:tab w:leader="none" w:pos="5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Series A Preferred Stock shall rank junior (as to dividends and upon liquidation, dissolution and winding up) to all other series of the Corporation’s Preferred Stock except any series that specifically provides that such series shall rank junior to or on a parity with the Series A Preferred Stock.</w:t>
      </w:r>
    </w:p>
    <w:p>
      <w:pPr>
        <w:spacing w:after="0" w:line="235" w:lineRule="exact"/>
        <w:rPr>
          <w:rFonts w:ascii="Arial" w:cs="Arial" w:eastAsia="Arial" w:hAnsi="Arial"/>
          <w:sz w:val="18"/>
          <w:szCs w:val="18"/>
          <w:color w:val="auto"/>
        </w:rPr>
      </w:pPr>
    </w:p>
    <w:p>
      <w:pPr>
        <w:ind w:right="200" w:firstLine="316"/>
        <w:spacing w:after="0" w:line="342" w:lineRule="auto"/>
        <w:tabs>
          <w:tab w:leader="none" w:pos="594"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Series A Preferred Stock may be issued in fractions of a share which shall entitle the holder, in proportion to such holder’s fractional shares, to exercise voting rights, receive dividends, participate in distributions and to have the benefit of all other rights of holders of Series A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SIXTH: Governance</w:t>
      </w:r>
    </w:p>
    <w:p>
      <w:pPr>
        <w:spacing w:after="0" w:line="320" w:lineRule="exact"/>
        <w:rPr>
          <w:sz w:val="20"/>
          <w:szCs w:val="20"/>
          <w:color w:val="auto"/>
        </w:rPr>
      </w:pPr>
    </w:p>
    <w:p>
      <w:pPr>
        <w:ind w:left="780" w:hanging="464"/>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89" w:lineRule="exact"/>
        <w:rPr>
          <w:sz w:val="20"/>
          <w:szCs w:val="20"/>
          <w:color w:val="auto"/>
        </w:rPr>
      </w:pPr>
    </w:p>
    <w:p>
      <w:pPr>
        <w:ind w:left="500" w:hanging="184"/>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means the Board of Directors of the Corporation.</w:t>
      </w:r>
    </w:p>
    <w:p>
      <w:pPr>
        <w:spacing w:after="0" w:line="279" w:lineRule="exact"/>
        <w:rPr>
          <w:rFonts w:ascii="Arial" w:cs="Arial" w:eastAsia="Arial" w:hAnsi="Arial"/>
          <w:sz w:val="18"/>
          <w:szCs w:val="18"/>
          <w:color w:val="auto"/>
        </w:rPr>
      </w:pPr>
    </w:p>
    <w:p>
      <w:pPr>
        <w:ind w:left="500" w:hanging="184"/>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“CEO” </w:t>
      </w:r>
      <w:r>
        <w:rPr>
          <w:rFonts w:ascii="Arial" w:cs="Arial" w:eastAsia="Arial" w:hAnsi="Arial"/>
          <w:sz w:val="18"/>
          <w:szCs w:val="18"/>
          <w:color w:val="auto"/>
        </w:rPr>
        <w:t>means the Chief Executive Officer of the Corporation.</w:t>
      </w:r>
    </w:p>
    <w:p>
      <w:pPr>
        <w:spacing w:after="0" w:line="279" w:lineRule="exact"/>
        <w:rPr>
          <w:rFonts w:ascii="Arial" w:cs="Arial" w:eastAsia="Arial" w:hAnsi="Arial"/>
          <w:sz w:val="18"/>
          <w:szCs w:val="18"/>
          <w:color w:val="auto"/>
        </w:rPr>
      </w:pPr>
    </w:p>
    <w:p>
      <w:pPr>
        <w:ind w:left="500" w:hanging="184"/>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“Chairman” </w:t>
      </w:r>
      <w:r>
        <w:rPr>
          <w:rFonts w:ascii="Arial" w:cs="Arial" w:eastAsia="Arial" w:hAnsi="Arial"/>
          <w:sz w:val="18"/>
          <w:szCs w:val="18"/>
          <w:color w:val="auto"/>
        </w:rPr>
        <w:t>means the Chairman of the Board of Directors.</w:t>
      </w:r>
    </w:p>
    <w:p>
      <w:pPr>
        <w:spacing w:after="0" w:line="279" w:lineRule="exact"/>
        <w:rPr>
          <w:rFonts w:ascii="Arial" w:cs="Arial" w:eastAsia="Arial" w:hAnsi="Arial"/>
          <w:sz w:val="18"/>
          <w:szCs w:val="18"/>
          <w:color w:val="auto"/>
        </w:rPr>
      </w:pPr>
    </w:p>
    <w:p>
      <w:pPr>
        <w:ind w:left="500" w:hanging="184"/>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 director of the Corporation.</w:t>
      </w:r>
    </w:p>
    <w:p>
      <w:pPr>
        <w:spacing w:after="0" w:line="279" w:lineRule="exact"/>
        <w:rPr>
          <w:rFonts w:ascii="Arial" w:cs="Arial" w:eastAsia="Arial" w:hAnsi="Arial"/>
          <w:sz w:val="18"/>
          <w:szCs w:val="18"/>
          <w:color w:val="auto"/>
        </w:rPr>
      </w:pPr>
    </w:p>
    <w:p>
      <w:pPr>
        <w:ind w:right="200" w:firstLine="316"/>
        <w:spacing w:after="0" w:line="303" w:lineRule="auto"/>
        <w:tabs>
          <w:tab w:leader="none" w:pos="504"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“Independent Person” </w:t>
      </w:r>
      <w:r>
        <w:rPr>
          <w:rFonts w:ascii="Arial" w:cs="Arial" w:eastAsia="Arial" w:hAnsi="Arial"/>
          <w:sz w:val="16"/>
          <w:szCs w:val="16"/>
          <w:color w:val="auto"/>
        </w:rPr>
        <w:t>means an independent person with respect to the Corporation (determined in accordance with the rules of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stock exchange or interdealer quotation system on which the class of Corporation’s common stock with the greatest aggregate market capitalization (as determined in good faith by the Board of Directors) is traded), it being understood that none of the spouse, parents, siblings, lineal descendants, aunts, uncles, cousins and other close relatives (or their respective spouses) of Mr. Brian L. Roberts will be deemed Independent Persons at any time.</w:t>
      </w:r>
    </w:p>
    <w:p>
      <w:pPr>
        <w:spacing w:after="0" w:line="250" w:lineRule="exact"/>
        <w:rPr>
          <w:sz w:val="20"/>
          <w:szCs w:val="20"/>
          <w:color w:val="auto"/>
        </w:rPr>
      </w:pPr>
    </w:p>
    <w:p>
      <w:pPr>
        <w:ind w:left="320" w:hanging="4"/>
        <w:spacing w:after="0" w:line="294" w:lineRule="auto"/>
        <w:tabs>
          <w:tab w:leader="none" w:pos="766" w:val="left"/>
        </w:tabs>
        <w:numPr>
          <w:ilvl w:val="0"/>
          <w:numId w:val="19"/>
        </w:numPr>
        <w:rPr>
          <w:rFonts w:ascii="Arial" w:cs="Arial" w:eastAsia="Arial" w:hAnsi="Arial"/>
          <w:sz w:val="16"/>
          <w:szCs w:val="16"/>
          <w:color w:val="auto"/>
        </w:rPr>
      </w:pPr>
      <w:r>
        <w:rPr>
          <w:rFonts w:ascii="Arial" w:cs="Arial" w:eastAsia="Arial" w:hAnsi="Arial"/>
          <w:sz w:val="16"/>
          <w:szCs w:val="16"/>
          <w:color w:val="auto"/>
        </w:rPr>
        <w:t>Board of Directors. At all times, the Board of Directors shall include a majority of Independent Persons.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 Board of Directors and approved by the Board of Directors. In addition to the foregoing, for a ninety (90) day period following the occurrence of a vacancy in the Board of Directors that results in less than a majority of Independent Persons serving on the Board of Directors, the Directors then in office shall have and may exercise all of the powers of the Board of Directors to the extent provided under these Amended and Restated Articles of Incorporation, the Bylaws of the Corporation and applicable law.</w:t>
      </w:r>
    </w:p>
    <w:p>
      <w:pPr>
        <w:spacing w:after="0" w:line="259" w:lineRule="exact"/>
        <w:rPr>
          <w:rFonts w:ascii="Arial" w:cs="Arial" w:eastAsia="Arial" w:hAnsi="Arial"/>
          <w:sz w:val="16"/>
          <w:szCs w:val="16"/>
          <w:color w:val="auto"/>
        </w:rPr>
      </w:pPr>
    </w:p>
    <w:p>
      <w:pPr>
        <w:ind w:left="760" w:hanging="44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Chairman, Chief Executive Officer and President</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Chairman.</w:t>
      </w:r>
    </w:p>
    <w:p>
      <w:pPr>
        <w:spacing w:after="0" w:line="279" w:lineRule="exact"/>
        <w:rPr>
          <w:sz w:val="20"/>
          <w:szCs w:val="20"/>
          <w:color w:val="auto"/>
        </w:rPr>
      </w:pPr>
    </w:p>
    <w:p>
      <w:pPr>
        <w:ind w:left="560" w:hanging="244"/>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Chairman shall be Mr. Brian L. Roberts if he is willing and available to serve.</w:t>
      </w:r>
    </w:p>
    <w:p>
      <w:pPr>
        <w:spacing w:after="0" w:line="279" w:lineRule="exact"/>
        <w:rPr>
          <w:rFonts w:ascii="Arial" w:cs="Arial" w:eastAsia="Arial" w:hAnsi="Arial"/>
          <w:sz w:val="18"/>
          <w:szCs w:val="18"/>
          <w:color w:val="auto"/>
        </w:rPr>
      </w:pPr>
    </w:p>
    <w:p>
      <w:pPr>
        <w:ind w:right="80" w:firstLine="316"/>
        <w:spacing w:after="0" w:line="277" w:lineRule="auto"/>
        <w:tabs>
          <w:tab w:leader="none" w:pos="5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218440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395" w:right="259" w:bottom="1440" w:gutter="0" w:footer="0" w:header="0"/>
        </w:sectPr>
      </w:pPr>
    </w:p>
    <w:bookmarkStart w:id="11" w:name="page12"/>
    <w:bookmarkEnd w:id="11"/>
    <w:p>
      <w:pPr>
        <w:ind w:left="340" w:right="740" w:firstLine="316"/>
        <w:spacing w:after="0" w:line="277" w:lineRule="auto"/>
        <w:tabs>
          <w:tab w:leader="none" w:pos="90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Chairman shall have the authority to call special meetings of the Board of Directors, in the manner provided by the By-Laws of the Corporation.</w:t>
      </w:r>
    </w:p>
    <w:p>
      <w:pPr>
        <w:spacing w:after="0" w:line="224" w:lineRule="exact"/>
        <w:rPr>
          <w:rFonts w:ascii="Arial" w:cs="Arial" w:eastAsia="Arial" w:hAnsi="Arial"/>
          <w:sz w:val="18"/>
          <w:szCs w:val="18"/>
          <w:color w:val="auto"/>
        </w:rPr>
      </w:pPr>
    </w:p>
    <w:p>
      <w:pPr>
        <w:ind w:left="340" w:firstLine="316"/>
        <w:spacing w:after="0" w:line="277" w:lineRule="auto"/>
        <w:tabs>
          <w:tab w:leader="none" w:pos="9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Removal of the Chairman shall require the affirmative vote of at least 75% of the entire Board of Directors until the earlier to occur of (i) the date on which Mr. Brian L. Roberts is no longer the Chairman and (ii) May 26, 2010.</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Chief Executive Officer and President.</w:t>
      </w:r>
    </w:p>
    <w:p>
      <w:pPr>
        <w:spacing w:after="0" w:line="279" w:lineRule="exact"/>
        <w:rPr>
          <w:sz w:val="20"/>
          <w:szCs w:val="20"/>
          <w:color w:val="auto"/>
        </w:rPr>
      </w:pPr>
    </w:p>
    <w:p>
      <w:pPr>
        <w:ind w:left="340" w:right="60" w:firstLine="316"/>
        <w:spacing w:after="0" w:line="277" w:lineRule="auto"/>
        <w:tabs>
          <w:tab w:leader="none" w:pos="9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CEO shall be Mr. Brian L. Roberts if he is willing and available to serve. For so long as Mr. Brian L. Roberts shall be the CEO, he shall also be the President of the Corporation.</w:t>
      </w:r>
    </w:p>
    <w:p>
      <w:pPr>
        <w:spacing w:after="0" w:line="224" w:lineRule="exact"/>
        <w:rPr>
          <w:rFonts w:ascii="Arial" w:cs="Arial" w:eastAsia="Arial" w:hAnsi="Arial"/>
          <w:sz w:val="18"/>
          <w:szCs w:val="18"/>
          <w:color w:val="auto"/>
        </w:rPr>
      </w:pPr>
    </w:p>
    <w:p>
      <w:pPr>
        <w:ind w:left="340" w:right="80" w:firstLine="316"/>
        <w:spacing w:after="0" w:line="277" w:lineRule="auto"/>
        <w:tabs>
          <w:tab w:leader="none" w:pos="916"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powers, rights, functions and responsibilities of the CEO shall include, without limitation, the following, subject to the control and direction of the Board of Directors:</w:t>
      </w:r>
    </w:p>
    <w:p>
      <w:pPr>
        <w:spacing w:after="0" w:line="224" w:lineRule="exact"/>
        <w:rPr>
          <w:rFonts w:ascii="Arial" w:cs="Arial" w:eastAsia="Arial" w:hAnsi="Arial"/>
          <w:sz w:val="18"/>
          <w:szCs w:val="18"/>
          <w:color w:val="auto"/>
        </w:rPr>
      </w:pPr>
    </w:p>
    <w:p>
      <w:pPr>
        <w:ind w:left="1040" w:hanging="222"/>
        <w:spacing w:after="0"/>
        <w:tabs>
          <w:tab w:leader="none" w:pos="1040" w:val="left"/>
        </w:tabs>
        <w:numPr>
          <w:ilvl w:val="2"/>
          <w:numId w:val="22"/>
        </w:numPr>
        <w:rPr>
          <w:rFonts w:ascii="Arial" w:cs="Arial" w:eastAsia="Arial" w:hAnsi="Arial"/>
          <w:sz w:val="16"/>
          <w:szCs w:val="16"/>
          <w:color w:val="auto"/>
        </w:rPr>
      </w:pPr>
      <w:r>
        <w:rPr>
          <w:rFonts w:ascii="Arial" w:cs="Arial" w:eastAsia="Arial" w:hAnsi="Arial"/>
          <w:sz w:val="16"/>
          <w:szCs w:val="16"/>
          <w:color w:val="auto"/>
        </w:rPr>
        <w:t>the supervision, coordination and management of the Corporation’s business, operations, activities, operating expenses and capital allocation;</w:t>
      </w:r>
    </w:p>
    <w:p>
      <w:pPr>
        <w:spacing w:after="0" w:line="302" w:lineRule="exact"/>
        <w:rPr>
          <w:rFonts w:ascii="Arial" w:cs="Arial" w:eastAsia="Arial" w:hAnsi="Arial"/>
          <w:sz w:val="16"/>
          <w:szCs w:val="16"/>
          <w:color w:val="auto"/>
        </w:rPr>
      </w:pPr>
    </w:p>
    <w:p>
      <w:pPr>
        <w:ind w:left="500" w:right="40" w:firstLine="318"/>
        <w:spacing w:after="0" w:line="286" w:lineRule="auto"/>
        <w:tabs>
          <w:tab w:leader="none" w:pos="1089" w:val="left"/>
        </w:tabs>
        <w:numPr>
          <w:ilvl w:val="2"/>
          <w:numId w:val="22"/>
        </w:numPr>
        <w:rPr>
          <w:rFonts w:ascii="Arial" w:cs="Arial" w:eastAsia="Arial" w:hAnsi="Arial"/>
          <w:sz w:val="17"/>
          <w:szCs w:val="17"/>
          <w:color w:val="auto"/>
        </w:rPr>
      </w:pPr>
      <w:r>
        <w:rPr>
          <w:rFonts w:ascii="Arial" w:cs="Arial" w:eastAsia="Arial" w:hAnsi="Arial"/>
          <w:sz w:val="17"/>
          <w:szCs w:val="17"/>
          <w:color w:val="auto"/>
        </w:rPr>
        <w:t xml:space="preserve">matters relating to officers (other than the Chairman) and employees, including, without limitation, hiring, terminating, changing positions and allocating responsibilities of such officers and employees;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Chairman and the CEO are not the same person, the CEO shall consult with the Chairman in connection with the foregoing as it relates to the senior executives of the Corporation;</w:t>
      </w:r>
    </w:p>
    <w:p>
      <w:pPr>
        <w:spacing w:after="0" w:line="219" w:lineRule="exact"/>
        <w:rPr>
          <w:rFonts w:ascii="Arial" w:cs="Arial" w:eastAsia="Arial" w:hAnsi="Arial"/>
          <w:sz w:val="17"/>
          <w:szCs w:val="17"/>
          <w:color w:val="auto"/>
        </w:rPr>
      </w:pPr>
    </w:p>
    <w:p>
      <w:pPr>
        <w:ind w:left="1140" w:hanging="322"/>
        <w:spacing w:after="0"/>
        <w:tabs>
          <w:tab w:leader="none" w:pos="1140" w:val="left"/>
        </w:tabs>
        <w:numPr>
          <w:ilvl w:val="2"/>
          <w:numId w:val="22"/>
        </w:numPr>
        <w:rPr>
          <w:rFonts w:ascii="Arial" w:cs="Arial" w:eastAsia="Arial" w:hAnsi="Arial"/>
          <w:sz w:val="17"/>
          <w:szCs w:val="17"/>
          <w:color w:val="auto"/>
        </w:rPr>
      </w:pPr>
      <w:r>
        <w:rPr>
          <w:rFonts w:ascii="Arial" w:cs="Arial" w:eastAsia="Arial" w:hAnsi="Arial"/>
          <w:sz w:val="17"/>
          <w:szCs w:val="17"/>
          <w:color w:val="auto"/>
        </w:rPr>
        <w:t>all of the powers, rights, functions and responsibilities typically exercised by a chief executive officer and president of a corporation; and</w:t>
      </w:r>
    </w:p>
    <w:p>
      <w:pPr>
        <w:spacing w:after="0" w:line="290" w:lineRule="exact"/>
        <w:rPr>
          <w:rFonts w:ascii="Arial" w:cs="Arial" w:eastAsia="Arial" w:hAnsi="Arial"/>
          <w:sz w:val="17"/>
          <w:szCs w:val="17"/>
          <w:color w:val="auto"/>
        </w:rPr>
      </w:pPr>
    </w:p>
    <w:p>
      <w:pPr>
        <w:ind w:left="1120" w:hanging="302"/>
        <w:spacing w:after="0"/>
        <w:tabs>
          <w:tab w:leader="none" w:pos="11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authority to call special meetings of the Board of Directors, in the manner provided by the By-Laws of the Corporation.</w:t>
      </w:r>
    </w:p>
    <w:p>
      <w:pPr>
        <w:spacing w:after="0" w:line="279" w:lineRule="exact"/>
        <w:rPr>
          <w:rFonts w:ascii="Arial" w:cs="Arial" w:eastAsia="Arial" w:hAnsi="Arial"/>
          <w:sz w:val="18"/>
          <w:szCs w:val="18"/>
          <w:color w:val="auto"/>
        </w:rPr>
      </w:pPr>
    </w:p>
    <w:p>
      <w:pPr>
        <w:ind w:left="340" w:right="140" w:firstLine="316"/>
        <w:spacing w:after="0" w:line="277" w:lineRule="auto"/>
        <w:tabs>
          <w:tab w:leader="none" w:pos="909"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Removal of the CEO shall require the affirmative vote of at least 75% of the entire Board of Directors until the earlier to occur of (i) the date on which Mr. Brian L. Roberts ceases to be the CEO and (ii) May 26, 2010.</w:t>
      </w:r>
    </w:p>
    <w:p>
      <w:pPr>
        <w:spacing w:after="0" w:line="224" w:lineRule="exact"/>
        <w:rPr>
          <w:rFonts w:ascii="Arial" w:cs="Arial" w:eastAsia="Arial" w:hAnsi="Arial"/>
          <w:sz w:val="18"/>
          <w:szCs w:val="18"/>
          <w:color w:val="auto"/>
        </w:rPr>
      </w:pPr>
    </w:p>
    <w:p>
      <w:pPr>
        <w:ind w:right="220" w:firstLine="332"/>
        <w:spacing w:after="0" w:line="277" w:lineRule="auto"/>
        <w:tabs>
          <w:tab w:leader="none" w:pos="5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224" w:lineRule="exact"/>
        <w:rPr>
          <w:rFonts w:ascii="Arial" w:cs="Arial" w:eastAsia="Arial" w:hAnsi="Arial"/>
          <w:sz w:val="18"/>
          <w:szCs w:val="18"/>
          <w:color w:val="auto"/>
        </w:rPr>
      </w:pPr>
    </w:p>
    <w:p>
      <w:pPr>
        <w:ind w:right="180" w:firstLine="332"/>
        <w:spacing w:after="0" w:line="286" w:lineRule="auto"/>
        <w:tabs>
          <w:tab w:leader="none" w:pos="514"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Amendment. Subject to paragraph (F) of this Article SIXTH, until the earlier to occur of (i) the date on which Mr. Brian L. Roberts is no longer serving as the Chairman or the CEO and (ii) May 26, 2010, the provisions of this Article SIXTH and the provisions of Article 9 of the By-Laws may not be amended, altered, repealed or waived in any respect without the prior approval of at least 75% of the entire Board of Directors.</w:t>
      </w:r>
    </w:p>
    <w:p>
      <w:pPr>
        <w:spacing w:after="0" w:line="219" w:lineRule="exact"/>
        <w:rPr>
          <w:rFonts w:ascii="Arial" w:cs="Arial" w:eastAsia="Arial" w:hAnsi="Arial"/>
          <w:sz w:val="17"/>
          <w:szCs w:val="17"/>
          <w:color w:val="auto"/>
        </w:rPr>
      </w:pPr>
    </w:p>
    <w:p>
      <w:pPr>
        <w:ind w:right="20" w:firstLine="332"/>
        <w:spacing w:after="0" w:line="308" w:lineRule="auto"/>
        <w:tabs>
          <w:tab w:leader="none" w:pos="497" w:val="left"/>
        </w:tabs>
        <w:numPr>
          <w:ilvl w:val="0"/>
          <w:numId w:val="23"/>
        </w:numPr>
        <w:rPr>
          <w:rFonts w:ascii="Arial" w:cs="Arial" w:eastAsia="Arial" w:hAnsi="Arial"/>
          <w:sz w:val="17"/>
          <w:szCs w:val="17"/>
          <w:color w:val="auto"/>
        </w:rPr>
      </w:pPr>
      <w:r>
        <w:rPr>
          <w:rFonts w:ascii="Arial" w:cs="Arial" w:eastAsia="Arial" w:hAnsi="Arial"/>
          <w:sz w:val="17"/>
          <w:szCs w:val="17"/>
          <w:color w:val="auto"/>
        </w:rPr>
        <w:t>Termination. If Mr. Brian L. Roberts is no longer serving as the Chairman or the CEO, the provisions of this Article SIXTH (other than paragraphs (A) and (B)) shall terminate automatically without any further action of the Board of Directors or the shareholders of the Corporation.</w:t>
      </w:r>
    </w:p>
    <w:p>
      <w:pPr>
        <w:spacing w:after="0" w:line="20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SEVENTH: In addition to any other approval required by law or by these Restated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Restated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Restated Articles of Incorporation, and notwithstanding any provision of Article FIFTH, the approval of the holder of any class or series of shares of the Corporation shall be necessary to approve any amendment to these Restated Articles of Incorporation which would make any change in the preferences, limitations or rights of the shares of such class or series adverse to such class or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2" w:name="page13"/>
    <w:bookmarkEnd w:id="12"/>
    <w:p>
      <w:pPr>
        <w:ind w:left="340"/>
        <w:spacing w:after="0"/>
        <w:rPr>
          <w:sz w:val="20"/>
          <w:szCs w:val="20"/>
          <w:color w:val="auto"/>
        </w:rPr>
      </w:pPr>
      <w:r>
        <w:rPr>
          <w:rFonts w:ascii="Arial" w:cs="Arial" w:eastAsia="Arial" w:hAnsi="Arial"/>
          <w:sz w:val="17"/>
          <w:szCs w:val="17"/>
          <w:color w:val="auto"/>
        </w:rPr>
        <w:t>EIGHTH: Special meetings of shareholders may be called only by the Board of Directors and may not be called by shareholders of the Corporation.</w:t>
      </w:r>
    </w:p>
    <w:p>
      <w:pPr>
        <w:spacing w:after="0" w:line="291"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 xml:space="preserve">NINTH: The shareholders of the Corporation shall not be permitted to act by written consent in lieu of a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the holders of a majority of the Class B Common Stock shall be permitted to act by written consent in lieu of a meeting in the exercise of their approval rights under Article SEVENTH.</w:t>
      </w:r>
    </w:p>
    <w:p>
      <w:pPr>
        <w:spacing w:after="0" w:line="23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23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23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21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232410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3" w:name="page14"/>
    <w:bookmarkEnd w:id="13"/>
    <w:p>
      <w:pPr>
        <w:ind w:firstLine="324"/>
        <w:spacing w:after="0" w:line="277" w:lineRule="auto"/>
        <w:rPr>
          <w:sz w:val="20"/>
          <w:szCs w:val="20"/>
          <w:color w:val="auto"/>
        </w:rPr>
      </w:pPr>
      <w:r>
        <w:rPr>
          <w:rFonts w:ascii="Arial" w:cs="Arial" w:eastAsia="Arial" w:hAnsi="Arial"/>
          <w:sz w:val="18"/>
          <w:szCs w:val="18"/>
          <w:color w:val="auto"/>
        </w:rPr>
        <w:t>FOURTEENTH: Subchapters E, F, G, H, I and J and Section 2538 of Subchapter D, in each case of Chapter 25 of the Business Corporation Law of 1988, shall not be applicable to the Corporation.</w:t>
      </w:r>
    </w:p>
    <w:p>
      <w:pPr>
        <w:spacing w:after="0" w:line="22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FIFTEENTH: Henceforth, these Restated Articles of Incorporation supersede the original Articles of Incorporation and all prior amendments thereto and restatements thereof.</w:t>
      </w:r>
    </w:p>
    <w:sectPr>
      <w:pgSz w:w="11900" w:h="16838" w:orient="portrait"/>
      <w:cols w:equalWidth="0" w:num="1">
        <w:col w:w="11400"/>
      </w:cols>
      <w:pgMar w:left="240" w:top="39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lowerLetter"/>
      <w:start w:val="2"/>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1"/>
      <w:numFmt w:val="upperLetter"/>
      <w:start w:val="1"/>
    </w:lvl>
    <w:lvl w:ilvl="1">
      <w:lvlJc w:val="left"/>
      <w:lvlText w:val="%2."/>
      <w:numFmt w:val="decimal"/>
      <w:start w:val="10"/>
    </w:lvl>
  </w:abstractNum>
  <w:abstractNum w:abstractNumId="6">
    <w:nsid w:val="1BEFD79F"/>
    <w:multiLevelType w:val="hybridMultilevel"/>
    <w:lvl w:ilvl="0">
      <w:lvlJc w:val="left"/>
      <w:lvlText w:val="%1."/>
      <w:numFmt w:val="upperLetter"/>
      <w:start w:val="3"/>
    </w:lvl>
    <w:lvl w:ilvl="1">
      <w:lvlJc w:val="left"/>
      <w:lvlText w:val="%2."/>
      <w:numFmt w:val="decimal"/>
      <w:start w:val="1"/>
    </w:lvl>
  </w:abstractNum>
  <w:abstractNum w:abstractNumId="7">
    <w:nsid w:val="41A7C4C9"/>
    <w:multiLevelType w:val="hybridMultilevel"/>
    <w:lvl w:ilvl="0">
      <w:lvlJc w:val="left"/>
      <w:lvlText w:val="(%1)"/>
      <w:numFmt w:val="lowerLetter"/>
      <w:start w:val="2"/>
    </w:lvl>
  </w:abstractNum>
  <w:abstractNum w:abstractNumId="8">
    <w:nsid w:val="6B68079A"/>
    <w:multiLevelType w:val="hybridMultilevel"/>
    <w:lvl w:ilvl="0">
      <w:lvlJc w:val="left"/>
      <w:lvlText w:val="(%1)"/>
      <w:numFmt w:val="lowerLetter"/>
      <w:start w:val="2"/>
    </w:lvl>
    <w:lvl w:ilvl="1">
      <w:lvlJc w:val="left"/>
      <w:lvlText w:val="(%2)"/>
      <w:numFmt w:val="lowerRoman"/>
      <w:start w:val="2"/>
    </w:lvl>
  </w:abstractNum>
  <w:abstractNum w:abstractNumId="9">
    <w:nsid w:val="4E6AFB66"/>
    <w:multiLevelType w:val="hybridMultilevel"/>
    <w:lvl w:ilvl="0">
      <w:lvlJc w:val="left"/>
      <w:lvlText w:val="%1"/>
      <w:numFmt w:val="lowerLetter"/>
      <w:start w:val="1"/>
    </w:lvl>
    <w:lvl w:ilvl="1">
      <w:lvlJc w:val="left"/>
      <w:lvlText w:val="(%2)"/>
      <w:numFmt w:val="lowerRoman"/>
      <w:start w:val="4"/>
    </w:lvl>
  </w:abstractNum>
  <w:abstractNum w:abstractNumId="10">
    <w:nsid w:val="25E45D32"/>
    <w:multiLevelType w:val="hybridMultilevel"/>
    <w:lvl w:ilvl="0">
      <w:lvlJc w:val="left"/>
      <w:lvlText w:val="(%1)"/>
      <w:numFmt w:val="lowerLetter"/>
      <w:start w:val="4"/>
    </w:lvl>
    <w:lvl w:ilvl="1">
      <w:lvlJc w:val="left"/>
      <w:lvlText w:val="%2"/>
      <w:numFmt w:val="lowerRoman"/>
      <w:start w:val="1"/>
    </w:lvl>
  </w:abstractNum>
  <w:abstractNum w:abstractNumId="11">
    <w:nsid w:val="519B500D"/>
    <w:multiLevelType w:val="hybridMultilevel"/>
    <w:lvl w:ilvl="0">
      <w:lvlJc w:val="left"/>
      <w:lvlText w:val="%1."/>
      <w:numFmt w:val="decimal"/>
      <w:start w:val="4"/>
    </w:lvl>
    <w:lvl w:ilvl="1">
      <w:lvlJc w:val="left"/>
      <w:lvlText w:val="(%2)"/>
      <w:numFmt w:val="lowerRoman"/>
      <w:start w:val="1"/>
    </w:lvl>
  </w:abstractNum>
  <w:abstractNum w:abstractNumId="12">
    <w:nsid w:val="431BD7B7"/>
    <w:multiLevelType w:val="hybridMultilevel"/>
    <w:lvl w:ilvl="0">
      <w:lvlJc w:val="left"/>
      <w:lvlText w:val="%1"/>
      <w:numFmt w:val="lowerLetter"/>
      <w:start w:val="1"/>
    </w:lvl>
    <w:lvl w:ilvl="1">
      <w:lvlJc w:val="left"/>
      <w:lvlText w:val="(%2)"/>
      <w:numFmt w:val="lowerRoman"/>
      <w:start w:val="3"/>
    </w:lvl>
  </w:abstractNum>
  <w:abstractNum w:abstractNumId="13">
    <w:nsid w:val="3F2DBA31"/>
    <w:multiLevelType w:val="hybridMultilevel"/>
    <w:lvl w:ilvl="0">
      <w:lvlJc w:val="left"/>
      <w:lvlText w:val="(%1)"/>
      <w:numFmt w:val="lowerLetter"/>
      <w:start w:val="2"/>
    </w:lvl>
    <w:lvl w:ilvl="1">
      <w:lvlJc w:val="left"/>
      <w:lvlText w:val="%2"/>
      <w:numFmt w:val="lowerRoman"/>
      <w:start w:val="1"/>
    </w:lvl>
  </w:abstractNum>
  <w:abstractNum w:abstractNumId="14">
    <w:nsid w:val="7C83E458"/>
    <w:multiLevelType w:val="hybridMultilevel"/>
    <w:lvl w:ilvl="0">
      <w:lvlJc w:val="left"/>
      <w:lvlText w:val="%1."/>
      <w:numFmt w:val="decimal"/>
      <w:start w:val="5"/>
    </w:lvl>
  </w:abstractNum>
  <w:abstractNum w:abstractNumId="15">
    <w:nsid w:val="257130A3"/>
    <w:multiLevelType w:val="hybridMultilevel"/>
    <w:lvl w:ilvl="0">
      <w:lvlJc w:val="left"/>
      <w:lvlText w:val="%1."/>
      <w:numFmt w:val="decimal"/>
      <w:start w:val="8"/>
    </w:lvl>
  </w:abstractNum>
  <w:abstractNum w:abstractNumId="16">
    <w:nsid w:val="62BBD95A"/>
    <w:multiLevelType w:val="hybridMultilevel"/>
    <w:lvl w:ilvl="0">
      <w:lvlJc w:val="left"/>
      <w:lvlText w:val="%1."/>
      <w:numFmt w:val="upp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upperLetter"/>
      <w:start w:val="2"/>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3"/>
    </w:lvl>
  </w:abstractNum>
  <w:abstractNum w:abstractNumId="21">
    <w:nsid w:val="2443A85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2">
    <w:nsid w:val="2D1D5AE9"/>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2019-12-15T06:10:12Z</dcterms:created>
  <dcterms:modified xsi:type="dcterms:W3CDTF">2019-12-15T06:10:12Z</dcterms:modified>
</cp:coreProperties>
</file>