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380"/>
        <w:spacing w:after="0"/>
        <w:rPr>
          <w:sz w:val="20"/>
          <w:szCs w:val="20"/>
          <w:color w:val="auto"/>
        </w:rPr>
      </w:pPr>
      <w:r>
        <w:rPr>
          <w:rFonts w:ascii="Courier New" w:cs="Courier New" w:eastAsia="Courier New" w:hAnsi="Courier New"/>
          <w:sz w:val="18"/>
          <w:szCs w:val="18"/>
          <w:color w:val="auto"/>
        </w:rPr>
        <w:t>______________</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260" w:right="104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13d-1(a) AND AMENDMENTS THERETO FILED PURSUANT TO 13d-2(a) (Amendment No. 3)</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TELEPORT COMMUNICATIONS GROUP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jc w:val="center"/>
        <w:ind w:right="1999"/>
        <w:spacing w:after="0" w:line="238" w:lineRule="auto"/>
        <w:rPr>
          <w:sz w:val="20"/>
          <w:szCs w:val="20"/>
          <w:color w:val="auto"/>
        </w:rPr>
      </w:pPr>
      <w:r>
        <w:rPr>
          <w:rFonts w:ascii="Courier New" w:cs="Courier New" w:eastAsia="Courier New" w:hAnsi="Courier New"/>
          <w:sz w:val="18"/>
          <w:szCs w:val="18"/>
          <w:color w:val="auto"/>
        </w:rPr>
        <w:t>$.01 PAR VALUE</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879463 107</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Stanley Wang</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3160"/>
        <w:spacing w:after="0"/>
        <w:rPr>
          <w:sz w:val="20"/>
          <w:szCs w:val="20"/>
          <w:color w:val="auto"/>
        </w:rPr>
      </w:pPr>
      <w:r>
        <w:rPr>
          <w:rFonts w:ascii="Courier New" w:cs="Courier New" w:eastAsia="Courier New" w:hAnsi="Courier New"/>
          <w:sz w:val="18"/>
          <w:szCs w:val="18"/>
          <w:color w:val="auto"/>
        </w:rPr>
        <w:t>1500 Market Street</w:t>
      </w:r>
    </w:p>
    <w:p>
      <w:pPr>
        <w:jc w:val="center"/>
        <w:ind w:right="187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999"/>
        <w:spacing w:after="0" w:line="238" w:lineRule="auto"/>
        <w:rPr>
          <w:sz w:val="20"/>
          <w:szCs w:val="20"/>
          <w:color w:val="auto"/>
        </w:rPr>
      </w:pPr>
      <w:r>
        <w:rPr>
          <w:rFonts w:ascii="Courier New" w:cs="Courier New" w:eastAsia="Courier New" w:hAnsi="Courier New"/>
          <w:sz w:val="18"/>
          <w:szCs w:val="18"/>
          <w:color w:val="auto"/>
        </w:rPr>
        <w:t>(215) 665-1700</w:t>
      </w:r>
    </w:p>
    <w:p>
      <w:pPr>
        <w:spacing w:after="0" w:line="5" w:lineRule="exact"/>
        <w:rPr>
          <w:sz w:val="24"/>
          <w:szCs w:val="24"/>
          <w:color w:val="auto"/>
        </w:rPr>
      </w:pPr>
    </w:p>
    <w:p>
      <w:pPr>
        <w:ind w:left="1580" w:right="347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October 24, 1997</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13d-1(b)(3) or (4), check the following box [ ].</w:t>
      </w:r>
    </w:p>
    <w:p>
      <w:pPr>
        <w:spacing w:after="0" w:line="207" w:lineRule="exact"/>
        <w:rPr>
          <w:sz w:val="24"/>
          <w:szCs w:val="24"/>
          <w:color w:val="auto"/>
        </w:rPr>
      </w:pPr>
    </w:p>
    <w:p>
      <w:pPr>
        <w:ind w:right="1999" w:firstLine="640"/>
        <w:spacing w:after="0" w:line="237"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879463 107</w:t>
      </w:r>
    </w:p>
    <w:p>
      <w:pPr>
        <w:ind w:left="3800"/>
        <w:spacing w:after="0" w:line="238" w:lineRule="auto"/>
        <w:rPr>
          <w:sz w:val="20"/>
          <w:szCs w:val="20"/>
          <w:color w:val="auto"/>
        </w:rPr>
      </w:pPr>
      <w:r>
        <w:rPr>
          <w:rFonts w:ascii="Courier New" w:cs="Courier New" w:eastAsia="Courier New" w:hAnsi="Courier New"/>
          <w:sz w:val="18"/>
          <w:szCs w:val="18"/>
          <w:color w:val="auto"/>
        </w:rPr>
        <w:t>13D</w:t>
      </w:r>
    </w:p>
    <w:p>
      <w:pPr>
        <w:spacing w:after="0" w:line="202" w:lineRule="exact"/>
        <w:rPr>
          <w:sz w:val="24"/>
          <w:szCs w:val="24"/>
          <w:color w:val="auto"/>
        </w:rPr>
      </w:pPr>
    </w:p>
    <w:p>
      <w:pPr>
        <w:ind w:left="1060" w:hanging="841"/>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060" w:right="30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Comcast Corporation</w:t>
      </w:r>
    </w:p>
    <w:p>
      <w:pPr>
        <w:spacing w:after="0" w:line="203" w:lineRule="exact"/>
        <w:rPr>
          <w:sz w:val="24"/>
          <w:szCs w:val="24"/>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960"/>
        <w:spacing w:after="0"/>
        <w:tabs>
          <w:tab w:leader="none" w:pos="7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960"/>
        <w:spacing w:after="0"/>
        <w:tabs>
          <w:tab w:leader="none" w:pos="7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ind w:left="1060" w:hanging="841"/>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060" w:right="7479" w:hanging="841"/>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203" w:lineRule="exact"/>
        <w:rPr>
          <w:sz w:val="24"/>
          <w:szCs w:val="24"/>
          <w:color w:val="auto"/>
        </w:rPr>
      </w:pPr>
    </w:p>
    <w:p>
      <w:pPr>
        <w:ind w:left="1060" w:hanging="841"/>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1060"/>
        <w:spacing w:after="0"/>
        <w:tabs>
          <w:tab w:leader="none" w:pos="74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ind w:left="1060" w:right="535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203" w:lineRule="exact"/>
        <w:rPr>
          <w:sz w:val="24"/>
          <w:szCs w:val="24"/>
          <w:color w:val="auto"/>
        </w:rPr>
      </w:pPr>
    </w:p>
    <w:p>
      <w:pPr>
        <w:ind w:left="3380" w:hanging="738"/>
        <w:spacing w:after="0"/>
        <w:tabs>
          <w:tab w:leader="none" w:pos="3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See Items 3 and 5(a).</w:t>
      </w:r>
    </w:p>
    <w:tbl>
      <w:tblPr>
        <w:tblLayout w:type="fixed"/>
        <w:tblInd w:w="320" w:type="dxa"/>
        <w:tblCellMar>
          <w:top w:w="0" w:type="dxa"/>
          <w:left w:w="0" w:type="dxa"/>
          <w:bottom w:w="0" w:type="dxa"/>
          <w:right w:w="0" w:type="dxa"/>
        </w:tblCellMar>
      </w:tblPr>
      <w:tr>
        <w:trPr>
          <w:trHeight w:val="203"/>
        </w:trPr>
        <w:tc>
          <w:tcPr>
            <w:tcW w:w="2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NUMBER OF SHARES</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1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SHARED VOTING</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POWER</w:t>
            </w:r>
          </w:p>
        </w:tc>
        <w:tc>
          <w:tcPr>
            <w:tcW w:w="2460" w:type="dxa"/>
            <w:vAlign w:val="bottom"/>
          </w:tcPr>
          <w:p>
            <w:pPr>
              <w:spacing w:after="0"/>
              <w:rPr>
                <w:sz w:val="17"/>
                <w:szCs w:val="17"/>
                <w:color w:val="auto"/>
              </w:rPr>
            </w:pPr>
          </w:p>
        </w:tc>
      </w:tr>
      <w:tr>
        <w:trPr>
          <w:trHeight w:val="203"/>
        </w:trPr>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125,274,632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Class</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 1,011,528 - Class A;</w:t>
            </w:r>
          </w:p>
        </w:tc>
      </w:tr>
      <w:tr>
        <w:trPr>
          <w:trHeight w:val="203"/>
        </w:trPr>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68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Items 3</w:t>
            </w:r>
          </w:p>
        </w:tc>
        <w:tc>
          <w:tcPr>
            <w:tcW w:w="3300" w:type="dxa"/>
            <w:vAlign w:val="bottom"/>
            <w:gridSpan w:val="3"/>
          </w:tcPr>
          <w:p>
            <w:pPr>
              <w:jc w:val="center"/>
              <w:ind w:right="2172"/>
              <w:spacing w:after="0" w:line="203" w:lineRule="exact"/>
              <w:rPr>
                <w:sz w:val="20"/>
                <w:szCs w:val="20"/>
                <w:color w:val="auto"/>
              </w:rPr>
            </w:pPr>
            <w:r>
              <w:rPr>
                <w:rFonts w:ascii="Courier New" w:cs="Courier New" w:eastAsia="Courier New" w:hAnsi="Courier New"/>
                <w:sz w:val="18"/>
                <w:szCs w:val="18"/>
                <w:color w:val="auto"/>
                <w:w w:val="98"/>
              </w:rPr>
              <w:t>and 5(a).</w:t>
            </w:r>
          </w:p>
        </w:tc>
      </w:tr>
      <w:tr>
        <w:trPr>
          <w:trHeight w:val="203"/>
        </w:trPr>
        <w:tc>
          <w:tcPr>
            <w:tcW w:w="20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tcPr>
          <w:p>
            <w:pPr>
              <w:spacing w:after="0"/>
              <w:rPr>
                <w:sz w:val="17"/>
                <w:szCs w:val="17"/>
                <w:color w:val="auto"/>
              </w:rPr>
            </w:pPr>
          </w:p>
        </w:tc>
      </w:tr>
    </w:tbl>
    <w:p>
      <w:pPr>
        <w:sectPr>
          <w:pgSz w:w="11900" w:h="16855" w:orient="portrait"/>
          <w:cols w:equalWidth="0" w:num="1">
            <w:col w:w="10219"/>
          </w:cols>
          <w:pgMar w:left="240" w:top="447" w:right="1440" w:bottom="0" w:gutter="0" w:footer="0" w:header="0"/>
        </w:sectPr>
      </w:pPr>
    </w:p>
    <w:bookmarkStart w:id="1" w:name="page2"/>
    <w:bookmarkEnd w:id="1"/>
    <w:p>
      <w:pPr>
        <w:ind w:left="3380" w:right="3999" w:hanging="738"/>
        <w:spacing w:after="0" w:line="290" w:lineRule="auto"/>
        <w:tabs>
          <w:tab w:leader="none" w:pos="3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None; See Items 3 and 5(a).</w:t>
      </w:r>
    </w:p>
    <w:p>
      <w:pPr>
        <w:spacing w:after="0" w:line="164" w:lineRule="exact"/>
        <w:rPr>
          <w:sz w:val="20"/>
          <w:szCs w:val="20"/>
          <w:color w:val="auto"/>
        </w:rPr>
      </w:pPr>
    </w:p>
    <w:p>
      <w:pPr>
        <w:ind w:left="3380" w:hanging="844"/>
        <w:spacing w:after="0"/>
        <w:tabs>
          <w:tab w:leader="none" w:pos="3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125,274,632 - Class B; See Items 3 and 5(a).</w:t>
      </w:r>
    </w:p>
    <w:p>
      <w:pPr>
        <w:spacing w:after="0" w:line="207" w:lineRule="exact"/>
        <w:rPr>
          <w:sz w:val="20"/>
          <w:szCs w:val="20"/>
          <w:color w:val="auto"/>
        </w:rPr>
      </w:pPr>
    </w:p>
    <w:p>
      <w:pPr>
        <w:ind w:left="1060" w:right="35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125,274,632 - Class B; 1,011,528 - Class A; See Items 3 and 5(a).</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3"/>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17"/>
                <w:szCs w:val="17"/>
                <w:color w:val="auto"/>
              </w:rPr>
            </w:pPr>
          </w:p>
        </w:tc>
      </w:tr>
    </w:tbl>
    <w:p>
      <w:pPr>
        <w:spacing w:after="0" w:line="207" w:lineRule="exact"/>
        <w:rPr>
          <w:sz w:val="20"/>
          <w:szCs w:val="20"/>
          <w:color w:val="auto"/>
        </w:rPr>
      </w:pPr>
    </w:p>
    <w:p>
      <w:pPr>
        <w:ind w:left="1060" w:right="3899" w:hanging="841"/>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76.3 %; See Items 3 and 5(a).</w:t>
      </w:r>
    </w:p>
    <w:p>
      <w:pPr>
        <w:spacing w:after="0" w:line="208" w:lineRule="exact"/>
        <w:rPr>
          <w:rFonts w:ascii="Courier New" w:cs="Courier New" w:eastAsia="Courier New" w:hAnsi="Courier New"/>
          <w:sz w:val="18"/>
          <w:szCs w:val="18"/>
          <w:color w:val="auto"/>
        </w:rPr>
      </w:pPr>
    </w:p>
    <w:p>
      <w:pPr>
        <w:ind w:left="1060" w:right="6519" w:hanging="841"/>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10"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Comcast Corporation, a Pennsylvania corporation ("Comcast") hereby amends its Report on Schedule 13D, originally filed on July 17, 1996 and amended on December 23, 1996 and on May 15, 1997 (the "Schedule 13D"), to disclose the gift of Class A Common Stock of Sural Corporation, a Delaware corporation ("Sural"), on October 24, 1997 from Ralph J. Roberts to Brian L. Roberts. As a result of the gift, Brian L. Roberts has sole voting power over stock representing a majority of voting power of all Sural stock.</w:t>
      </w:r>
    </w:p>
    <w:p>
      <w:pPr>
        <w:spacing w:after="0" w:line="212" w:lineRule="exact"/>
        <w:rPr>
          <w:sz w:val="20"/>
          <w:szCs w:val="20"/>
          <w:color w:val="auto"/>
        </w:rPr>
      </w:pPr>
    </w:p>
    <w:p>
      <w:pPr>
        <w:ind w:right="3039" w:firstLine="1580"/>
        <w:spacing w:after="0" w:line="236" w:lineRule="auto"/>
        <w:rPr>
          <w:sz w:val="20"/>
          <w:szCs w:val="20"/>
          <w:color w:val="auto"/>
        </w:rPr>
      </w:pPr>
      <w:r>
        <w:rPr>
          <w:rFonts w:ascii="Courier New" w:cs="Courier New" w:eastAsia="Courier New" w:hAnsi="Courier New"/>
          <w:sz w:val="18"/>
          <w:szCs w:val="18"/>
          <w:color w:val="auto"/>
        </w:rPr>
        <w:t>No change in Comcast's share ownership of Teleport Communications Group Inc., a Delaware corporation ("TCGI"), is being reported in this Amendment No. 3.</w:t>
      </w:r>
    </w:p>
    <w:p>
      <w:pPr>
        <w:spacing w:after="0" w:line="209"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Unless otherwise indicated, each capitalized term used but not defined herein shall have the meaning assigned to such term in the Schedule 13D.</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The response set forth in Item 2 of the Schedule 13D is hereby amended by deleting the fourth paragraph thereof and substituting the following in its place:</w:t>
      </w:r>
    </w:p>
    <w:p>
      <w:pPr>
        <w:spacing w:after="0" w:line="209"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Comcast Corporation, a Pennsylvania corporation ("Comcast"), holds stock of the Issuer reported herein through a wholly-owned subsidiary, Comcast Teleport, Inc., a Delaware corporation ("Comcast Teleport"). Comcast is principally engaged in the development, management and operation of wired telecommunications, including cable television and telephone services; wireless telecommunications, including cellular, personal communication services and direct to home satellite television; and content through programming investments.</w:t>
      </w:r>
    </w:p>
    <w:p>
      <w:pPr>
        <w:spacing w:after="0" w:line="214" w:lineRule="exact"/>
        <w:rPr>
          <w:sz w:val="20"/>
          <w:szCs w:val="20"/>
          <w:color w:val="auto"/>
        </w:rPr>
      </w:pPr>
    </w:p>
    <w:p>
      <w:pPr>
        <w:ind w:left="960" w:right="1999"/>
        <w:spacing w:after="0" w:line="270" w:lineRule="auto"/>
        <w:rPr>
          <w:sz w:val="20"/>
          <w:szCs w:val="20"/>
          <w:color w:val="auto"/>
        </w:rPr>
      </w:pPr>
      <w:r>
        <w:rPr>
          <w:rFonts w:ascii="Courier New" w:cs="Courier New" w:eastAsia="Courier New" w:hAnsi="Courier New"/>
          <w:sz w:val="16"/>
          <w:szCs w:val="16"/>
          <w:color w:val="auto"/>
        </w:rPr>
        <w:t>Sural Corporation, a Delaware corporation ("Sural") is the beneficial owner of an aggregate of 10,631,287 shares of Comcast Class A Common Stock ("Class A Common Stock") (assuming the conversion of 8,786,250 shares of Comcast Class B Common Stock ("Class B Common Stock") beneficially owned by Sural into Class A Common Stock). Sural is the sole owner of the Class B Common Stock outstanding, each share of which is entitled to 15 votes and is convertible on a share-for-share basis into Class A Common Stock or Comcast Class A Special Common Stock. Based upon the 31,793,767 shares of Class A Common Stock outstanding as of September 30, 1997, and treating the 8,786,250 shares of Class B Common Stock held by Sural as outstanding shares of Class A Common Stock pursuant to Rule 13d-3(d)(1)(i) of the Securities Exchange Act of 1934, as amended (the "Exchange Act"), Sural is deemed to be the beneficial owner of approximately 26% of the outstanding shares of Class A Common Stock.</w:t>
      </w:r>
    </w:p>
    <w:p>
      <w:pPr>
        <w:spacing w:after="0" w:line="38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October 24, 1997, Ralph J. Roberts, the Chairman of the Board</w:t>
      </w:r>
    </w:p>
    <w:p>
      <w:pPr>
        <w:ind w:left="960"/>
        <w:spacing w:after="0" w:line="238" w:lineRule="auto"/>
        <w:rPr>
          <w:sz w:val="20"/>
          <w:szCs w:val="20"/>
          <w:color w:val="auto"/>
        </w:rPr>
      </w:pPr>
      <w:r>
        <w:rPr>
          <w:rFonts w:ascii="Courier New" w:cs="Courier New" w:eastAsia="Courier New" w:hAnsi="Courier New"/>
          <w:sz w:val="18"/>
          <w:szCs w:val="18"/>
          <w:color w:val="auto"/>
        </w:rPr>
        <w:t>of Comcast, gifted shares of Class A Common Stock of Sural to</w:t>
      </w:r>
    </w:p>
    <w:p>
      <w:pPr>
        <w:ind w:left="960"/>
        <w:spacing w:after="0"/>
        <w:tabs>
          <w:tab w:leader="none" w:pos="7260" w:val="left"/>
        </w:tabs>
        <w:rPr>
          <w:sz w:val="20"/>
          <w:szCs w:val="20"/>
          <w:color w:val="auto"/>
        </w:rPr>
      </w:pPr>
      <w:r>
        <w:rPr>
          <w:rFonts w:ascii="Courier New" w:cs="Courier New" w:eastAsia="Courier New" w:hAnsi="Courier New"/>
          <w:sz w:val="18"/>
          <w:szCs w:val="18"/>
          <w:color w:val="auto"/>
        </w:rPr>
        <w:t>Brian L. Roberts, the President and a director of Comcast.</w:t>
      </w:r>
      <w:r>
        <w:rPr>
          <w:sz w:val="20"/>
          <w:szCs w:val="20"/>
          <w:color w:val="auto"/>
        </w:rPr>
        <w:tab/>
      </w:r>
      <w:r>
        <w:rPr>
          <w:rFonts w:ascii="Courier New" w:cs="Courier New" w:eastAsia="Courier New" w:hAnsi="Courier New"/>
          <w:sz w:val="16"/>
          <w:szCs w:val="16"/>
          <w:color w:val="auto"/>
        </w:rPr>
        <w:t>As a</w:t>
      </w:r>
    </w:p>
    <w:p>
      <w:pPr>
        <w:ind w:left="960"/>
        <w:spacing w:after="0" w:line="237" w:lineRule="auto"/>
        <w:rPr>
          <w:sz w:val="20"/>
          <w:szCs w:val="20"/>
          <w:color w:val="auto"/>
        </w:rPr>
      </w:pPr>
      <w:r>
        <w:rPr>
          <w:rFonts w:ascii="Courier New" w:cs="Courier New" w:eastAsia="Courier New" w:hAnsi="Courier New"/>
          <w:sz w:val="18"/>
          <w:szCs w:val="18"/>
          <w:color w:val="auto"/>
        </w:rPr>
        <w:t>result of the gift, Brian L. Roberts has sole voting power over</w:t>
      </w:r>
    </w:p>
    <w:p>
      <w:pPr>
        <w:ind w:left="960"/>
        <w:spacing w:after="0" w:line="238" w:lineRule="auto"/>
        <w:rPr>
          <w:sz w:val="20"/>
          <w:szCs w:val="20"/>
          <w:color w:val="auto"/>
        </w:rPr>
      </w:pPr>
      <w:r>
        <w:rPr>
          <w:rFonts w:ascii="Courier New" w:cs="Courier New" w:eastAsia="Courier New" w:hAnsi="Courier New"/>
          <w:sz w:val="18"/>
          <w:szCs w:val="18"/>
          <w:color w:val="auto"/>
        </w:rPr>
        <w:t>stock representing a majority of voting power of all Sural stock.</w:t>
      </w:r>
    </w:p>
    <w:p>
      <w:pPr>
        <w:ind w:left="960"/>
        <w:spacing w:after="0"/>
        <w:rPr>
          <w:sz w:val="20"/>
          <w:szCs w:val="20"/>
          <w:color w:val="auto"/>
        </w:rPr>
      </w:pPr>
      <w:r>
        <w:rPr>
          <w:rFonts w:ascii="Courier New" w:cs="Courier New" w:eastAsia="Courier New" w:hAnsi="Courier New"/>
          <w:sz w:val="18"/>
          <w:szCs w:val="18"/>
          <w:color w:val="auto"/>
        </w:rPr>
        <w:t>Pursuant to Rule 13d-3 of the Exchange Act, Brian L. Roberts is</w:t>
      </w:r>
    </w:p>
    <w:p>
      <w:pPr>
        <w:ind w:left="960"/>
        <w:spacing w:after="0" w:line="237" w:lineRule="auto"/>
        <w:rPr>
          <w:sz w:val="20"/>
          <w:szCs w:val="20"/>
          <w:color w:val="auto"/>
        </w:rPr>
      </w:pPr>
      <w:r>
        <w:rPr>
          <w:rFonts w:ascii="Courier New" w:cs="Courier New" w:eastAsia="Courier New" w:hAnsi="Courier New"/>
          <w:sz w:val="18"/>
          <w:szCs w:val="18"/>
          <w:color w:val="auto"/>
        </w:rPr>
        <w:t>deemed to be the beneficial owner of the Class A Common Stock and</w:t>
      </w:r>
    </w:p>
    <w:p>
      <w:pPr>
        <w:ind w:left="960"/>
        <w:spacing w:after="0"/>
        <w:tabs>
          <w:tab w:leader="none" w:pos="5360" w:val="left"/>
        </w:tabs>
        <w:rPr>
          <w:sz w:val="20"/>
          <w:szCs w:val="20"/>
          <w:color w:val="auto"/>
        </w:rPr>
      </w:pPr>
      <w:r>
        <w:rPr>
          <w:rFonts w:ascii="Courier New" w:cs="Courier New" w:eastAsia="Courier New" w:hAnsi="Courier New"/>
          <w:sz w:val="18"/>
          <w:szCs w:val="18"/>
          <w:color w:val="auto"/>
        </w:rPr>
        <w:t>the Class B Common Stock owned by Sural.</w:t>
      </w:r>
      <w:r>
        <w:rPr>
          <w:sz w:val="20"/>
          <w:szCs w:val="20"/>
          <w:color w:val="auto"/>
        </w:rPr>
        <w:tab/>
      </w:r>
      <w:r>
        <w:rPr>
          <w:rFonts w:ascii="Courier New" w:cs="Courier New" w:eastAsia="Courier New" w:hAnsi="Courier New"/>
          <w:sz w:val="16"/>
          <w:szCs w:val="16"/>
          <w:color w:val="auto"/>
        </w:rPr>
        <w:t>Brian L. Roberts is</w:t>
      </w:r>
    </w:p>
    <w:p>
      <w:pPr>
        <w:ind w:left="960"/>
        <w:spacing w:after="0" w:line="237" w:lineRule="auto"/>
        <w:rPr>
          <w:sz w:val="20"/>
          <w:szCs w:val="20"/>
          <w:color w:val="auto"/>
        </w:rPr>
      </w:pPr>
      <w:r>
        <w:rPr>
          <w:rFonts w:ascii="Courier New" w:cs="Courier New" w:eastAsia="Courier New" w:hAnsi="Courier New"/>
          <w:sz w:val="18"/>
          <w:szCs w:val="18"/>
          <w:color w:val="auto"/>
        </w:rPr>
        <w:t>also the beneficial owner of an additional 4,061 shares of Class A</w:t>
      </w:r>
    </w:p>
    <w:p>
      <w:pPr>
        <w:ind w:left="960"/>
        <w:spacing w:after="0"/>
        <w:rPr>
          <w:sz w:val="20"/>
          <w:szCs w:val="20"/>
          <w:color w:val="auto"/>
        </w:rPr>
      </w:pPr>
      <w:r>
        <w:rPr>
          <w:rFonts w:ascii="Courier New" w:cs="Courier New" w:eastAsia="Courier New" w:hAnsi="Courier New"/>
          <w:sz w:val="18"/>
          <w:szCs w:val="18"/>
          <w:color w:val="auto"/>
        </w:rPr>
        <w:t>Common Stock, including 1,356 shares of such stock owned by his</w:t>
      </w:r>
    </w:p>
    <w:p>
      <w:pPr>
        <w:ind w:left="960"/>
        <w:spacing w:after="0"/>
        <w:tabs>
          <w:tab w:leader="none" w:pos="7360" w:val="left"/>
        </w:tabs>
        <w:rPr>
          <w:sz w:val="20"/>
          <w:szCs w:val="20"/>
          <w:color w:val="auto"/>
        </w:rPr>
      </w:pPr>
      <w:r>
        <w:rPr>
          <w:rFonts w:ascii="Courier New" w:cs="Courier New" w:eastAsia="Courier New" w:hAnsi="Courier New"/>
          <w:sz w:val="18"/>
          <w:szCs w:val="18"/>
          <w:color w:val="auto"/>
        </w:rPr>
        <w:t>wife, as to which shares he disclaims beneficial ownership.</w:t>
      </w:r>
      <w:r>
        <w:rPr>
          <w:sz w:val="20"/>
          <w:szCs w:val="20"/>
          <w:color w:val="auto"/>
        </w:rPr>
        <w:tab/>
      </w:r>
      <w:r>
        <w:rPr>
          <w:rFonts w:ascii="Courier New" w:cs="Courier New" w:eastAsia="Courier New" w:hAnsi="Courier New"/>
          <w:sz w:val="16"/>
          <w:szCs w:val="16"/>
          <w:color w:val="auto"/>
        </w:rPr>
        <w:t>As of</w:t>
      </w:r>
    </w:p>
    <w:p>
      <w:pPr>
        <w:sectPr>
          <w:pgSz w:w="11900" w:h="16838" w:orient="portrait"/>
          <w:cols w:equalWidth="0" w:num="1">
            <w:col w:w="10219"/>
          </w:cols>
          <w:pgMar w:left="240" w:top="142" w:right="1440" w:bottom="0" w:gutter="0" w:footer="0" w:header="0"/>
        </w:sectPr>
      </w:pPr>
    </w:p>
    <w:bookmarkStart w:id="2" w:name="page3"/>
    <w:bookmarkEnd w:id="2"/>
    <w:p>
      <w:pPr>
        <w:ind w:left="960" w:right="2319"/>
        <w:spacing w:after="0" w:line="237" w:lineRule="auto"/>
        <w:rPr>
          <w:sz w:val="20"/>
          <w:szCs w:val="20"/>
          <w:color w:val="auto"/>
        </w:rPr>
      </w:pPr>
      <w:r>
        <w:rPr>
          <w:rFonts w:ascii="Courier New" w:cs="Courier New" w:eastAsia="Courier New" w:hAnsi="Courier New"/>
          <w:sz w:val="18"/>
          <w:szCs w:val="18"/>
          <w:color w:val="auto"/>
        </w:rPr>
        <w:t>September 30, 1997, the shares of Class A Common Stock and Class B Common Stock owned by Sural constituted approximately 82% of the voting power of the two classes of Comcast's voting Common Stock combined.</w:t>
      </w:r>
    </w:p>
    <w:p>
      <w:pPr>
        <w:spacing w:after="0" w:line="207" w:lineRule="exact"/>
        <w:rPr>
          <w:sz w:val="20"/>
          <w:szCs w:val="20"/>
          <w:color w:val="auto"/>
        </w:rPr>
      </w:pPr>
    </w:p>
    <w:p>
      <w:pPr>
        <w:ind w:left="960" w:right="2519"/>
        <w:spacing w:after="0" w:line="237" w:lineRule="auto"/>
        <w:rPr>
          <w:sz w:val="20"/>
          <w:szCs w:val="20"/>
          <w:color w:val="auto"/>
        </w:rPr>
      </w:pPr>
      <w:r>
        <w:rPr>
          <w:rFonts w:ascii="Courier New" w:cs="Courier New" w:eastAsia="Courier New" w:hAnsi="Courier New"/>
          <w:sz w:val="18"/>
          <w:szCs w:val="18"/>
          <w:color w:val="auto"/>
        </w:rPr>
        <w:t>The principal business address of Comcast is 1500 Market Street, Philadelphia, Pennsylvania 19102-2148. The principal business address of each of Comcast Teleport and Sural is 1105 N. Market Street, Wilmington, Delaware 19801.</w:t>
      </w:r>
    </w:p>
    <w:p>
      <w:pPr>
        <w:spacing w:after="0" w:line="207" w:lineRule="exact"/>
        <w:rPr>
          <w:sz w:val="20"/>
          <w:szCs w:val="20"/>
          <w:color w:val="auto"/>
        </w:rPr>
      </w:pPr>
    </w:p>
    <w:p>
      <w:pPr>
        <w:ind w:right="2419" w:firstLine="1580"/>
        <w:spacing w:after="0" w:line="236" w:lineRule="auto"/>
        <w:rPr>
          <w:sz w:val="20"/>
          <w:szCs w:val="20"/>
          <w:color w:val="auto"/>
        </w:rPr>
      </w:pPr>
      <w:r>
        <w:rPr>
          <w:rFonts w:ascii="Courier New" w:cs="Courier New" w:eastAsia="Courier New" w:hAnsi="Courier New"/>
          <w:sz w:val="18"/>
          <w:szCs w:val="18"/>
          <w:color w:val="auto"/>
        </w:rPr>
        <w:t>The information set forth on page 14 of Exhibit 99.2 of the Schedule 13D is hereby amended and supplemented to include the following information:</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Brian L. Roberts is both a Director and an Executive Officer of</w:t>
      </w:r>
    </w:p>
    <w:p>
      <w:pPr>
        <w:spacing w:after="0" w:line="238" w:lineRule="auto"/>
        <w:rPr>
          <w:sz w:val="20"/>
          <w:szCs w:val="20"/>
          <w:color w:val="auto"/>
        </w:rPr>
      </w:pPr>
      <w:r>
        <w:rPr>
          <w:rFonts w:ascii="Courier New" w:cs="Courier New" w:eastAsia="Courier New" w:hAnsi="Courier New"/>
          <w:sz w:val="18"/>
          <w:szCs w:val="18"/>
          <w:color w:val="auto"/>
        </w:rPr>
        <w:t>Comcast.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Julian A. Brodsky is the Assistant Treasurer of Comcast.</w:t>
      </w:r>
    </w:p>
    <w:p>
      <w:pPr>
        <w:spacing w:after="0" w:line="207" w:lineRule="exact"/>
        <w:rPr>
          <w:sz w:val="20"/>
          <w:szCs w:val="20"/>
          <w:color w:val="auto"/>
        </w:rPr>
      </w:pPr>
    </w:p>
    <w:p>
      <w:pPr>
        <w:ind w:right="2419" w:firstLine="1580"/>
        <w:spacing w:after="0" w:line="236" w:lineRule="auto"/>
        <w:rPr>
          <w:sz w:val="20"/>
          <w:szCs w:val="20"/>
          <w:color w:val="auto"/>
        </w:rPr>
      </w:pPr>
      <w:r>
        <w:rPr>
          <w:rFonts w:ascii="Courier New" w:cs="Courier New" w:eastAsia="Courier New" w:hAnsi="Courier New"/>
          <w:sz w:val="18"/>
          <w:szCs w:val="18"/>
          <w:color w:val="auto"/>
        </w:rPr>
        <w:t>The information set forth on page 17 of Exhibit 99.2 of the Schedule 13D is hereby amended and supplemented to include the following information:</w:t>
      </w:r>
    </w:p>
    <w:p>
      <w:pPr>
        <w:spacing w:after="0" w:line="209"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Brian L. Roberts is both a Director and an Executive Officer of Comcast Teleport.</w:t>
      </w:r>
    </w:p>
    <w:p>
      <w:pPr>
        <w:spacing w:after="0" w:line="208" w:lineRule="exact"/>
        <w:rPr>
          <w:sz w:val="20"/>
          <w:szCs w:val="20"/>
          <w:color w:val="auto"/>
        </w:rPr>
      </w:pPr>
    </w:p>
    <w:p>
      <w:pPr>
        <w:ind w:right="2619" w:firstLine="1580"/>
        <w:spacing w:after="0" w:line="236" w:lineRule="auto"/>
        <w:rPr>
          <w:sz w:val="20"/>
          <w:szCs w:val="20"/>
          <w:color w:val="auto"/>
        </w:rPr>
      </w:pPr>
      <w:r>
        <w:rPr>
          <w:rFonts w:ascii="Courier New" w:cs="Courier New" w:eastAsia="Courier New" w:hAnsi="Courier New"/>
          <w:sz w:val="18"/>
          <w:szCs w:val="18"/>
          <w:color w:val="auto"/>
        </w:rPr>
        <w:t>Stanley Wang is both a Director and Executive Officer of Comcast Teleport and is the Senior Vice President, Secretary and General Counsel of Comcast.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Date: October 27, 1997</w:t>
      </w: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By:/s/ Stanley Wang</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Stanley Wang</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jc w:val="right"/>
        <w:ind w:right="1999"/>
        <w:spacing w:after="0"/>
        <w:rPr>
          <w:sz w:val="20"/>
          <w:szCs w:val="20"/>
          <w:color w:val="auto"/>
        </w:rPr>
      </w:pPr>
      <w:r>
        <w:rPr>
          <w:rFonts w:ascii="Courier New" w:cs="Courier New" w:eastAsia="Courier New" w:hAnsi="Courier New"/>
          <w:sz w:val="18"/>
          <w:szCs w:val="18"/>
          <w:color w:val="auto"/>
        </w:rPr>
        <w:t>Secretary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2019-12-16T14:04:53Z</dcterms:created>
  <dcterms:modified xsi:type="dcterms:W3CDTF">2019-12-16T14:04:53Z</dcterms:modified>
</cp:coreProperties>
</file>