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September 3,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5</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7" w:lineRule="auto"/>
        <w:rPr>
          <w:sz w:val="20"/>
          <w:szCs w:val="20"/>
          <w:color w:val="auto"/>
        </w:rPr>
      </w:pPr>
      <w:r>
        <w:rPr>
          <w:rFonts w:ascii="Arial" w:cs="Arial" w:eastAsia="Arial" w:hAnsi="Arial"/>
          <w:sz w:val="19"/>
          <w:szCs w:val="19"/>
          <w:b w:val="1"/>
          <w:bCs w:val="1"/>
          <w:i w:val="1"/>
          <w:iCs w:val="1"/>
          <w:color w:val="auto"/>
        </w:rPr>
        <w:t>UNDER</w:t>
      </w: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45720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COMCAST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190"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4841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27-0000798</w:t>
      </w:r>
    </w:p>
    <w:p>
      <w:pPr>
        <w:spacing w:after="0" w:line="36" w:lineRule="exact"/>
        <w:rPr>
          <w:sz w:val="24"/>
          <w:szCs w:val="24"/>
          <w:color w:val="auto"/>
        </w:rPr>
      </w:pPr>
    </w:p>
    <w:p>
      <w:pPr>
        <w:sectPr>
          <w:pgSz w:w="11900" w:h="16838" w:orient="portrait"/>
          <w:cols w:equalWidth="0" w:num="3">
            <w:col w:w="4960" w:space="720"/>
            <w:col w:w="2800" w:space="720"/>
            <w:col w:w="2220"/>
          </w:cols>
          <w:pgMar w:left="240" w:top="230" w:right="2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4"/>
          <w:szCs w:val="14"/>
          <w:b w:val="1"/>
          <w:bCs w:val="1"/>
          <w:color w:val="auto"/>
        </w:rPr>
        <w:t>(I.R.S. Employer</w:t>
      </w:r>
    </w:p>
    <w:p>
      <w:pPr>
        <w:jc w:val="center"/>
        <w:ind w:right="110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200" w:space="720"/>
            <w:col w:w="3240" w:space="720"/>
            <w:col w:w="25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Comcast Center</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Philadelphia, Pennsylvania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(215) 286-1700</w:t>
      </w:r>
    </w:p>
    <w:p>
      <w:pPr>
        <w:sectPr>
          <w:pgSz w:w="11900" w:h="16838" w:orient="portrait"/>
          <w:cols w:equalWidth="0" w:num="1">
            <w:col w:w="11420"/>
          </w:cols>
          <w:pgMar w:left="240" w:top="230"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Arthur R. Block,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Pennsylvania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(215) 286-1700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47625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40" w:type="dxa"/>
            <w:vAlign w:val="bottom"/>
          </w:tcPr>
          <w:p>
            <w:pPr>
              <w:jc w:val="center"/>
              <w:ind w:left="60"/>
              <w:spacing w:after="0"/>
              <w:rPr>
                <w:sz w:val="20"/>
                <w:szCs w:val="20"/>
                <w:color w:val="auto"/>
              </w:rPr>
            </w:pPr>
            <w:r>
              <w:rPr>
                <w:rFonts w:ascii="Arial" w:cs="Arial" w:eastAsia="Arial" w:hAnsi="Arial"/>
                <w:sz w:val="14"/>
                <w:szCs w:val="14"/>
                <w:b w:val="1"/>
                <w:bCs w:val="1"/>
                <w:i w:val="1"/>
                <w:iCs w:val="1"/>
                <w:color w:val="auto"/>
                <w:w w:val="87"/>
              </w:rPr>
              <w:t>Copies to:</w:t>
            </w:r>
          </w:p>
        </w:tc>
        <w:tc>
          <w:tcPr>
            <w:tcW w:w="3000" w:type="dxa"/>
            <w:vAlign w:val="bottom"/>
          </w:tcPr>
          <w:p>
            <w:pPr>
              <w:spacing w:after="0"/>
              <w:rPr>
                <w:sz w:val="14"/>
                <w:szCs w:val="14"/>
                <w:color w:val="auto"/>
              </w:rPr>
            </w:pP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David L. Caplan,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Marc Lawrence-Apfelbaum, Esq.</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0"/>
              </w:rPr>
              <w:t>Robert B. Schumer,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William J. Chudd,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Executive Vice President, General</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2"/>
              </w:rPr>
              <w:t>Ariel J. Deckelbaum, Esq.</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Bruce K. Dallas,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Counsel and Secretary</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88"/>
              </w:rPr>
              <w:t>Ross A. Fieldston,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5"/>
              </w:rPr>
              <w:t>Davis Polk &amp; Wardwell LLP</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Time Warner Cable Inc.</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Weiss, Rifkind, Wharton &amp;</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0"/>
              </w:rPr>
              <w:t>450 Lexington Ave.</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60 Columbus Circle</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6"/>
              </w:rPr>
              <w:t>Garrison LLP</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New York, New York 10017</w:t>
            </w:r>
          </w:p>
        </w:tc>
        <w:tc>
          <w:tcPr>
            <w:tcW w:w="394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New York, New York 10023</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1285 Avenue of the Americas</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(212) 450-4000</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(212) 364-8200</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3"/>
              </w:rPr>
              <w:t>New York, New York 10019</w:t>
            </w:r>
          </w:p>
        </w:tc>
      </w:tr>
      <w:tr>
        <w:trPr>
          <w:trHeight w:val="210"/>
        </w:trPr>
        <w:tc>
          <w:tcPr>
            <w:tcW w:w="2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ind w:right="20" w:firstLine="342"/>
        <w:spacing w:after="0" w:line="30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merger of Tango Acquisition Sub, Inc., a wholly owned subsidiary of Comcast Corporation (“Comcast”), with and into Time Warner Cable Inc. (“TWC”).</w:t>
      </w:r>
    </w:p>
    <w:p>
      <w:pPr>
        <w:spacing w:after="0" w:line="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4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right="20" w:firstLine="34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firstLine="342"/>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6"/>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80" w:type="dxa"/>
            <w:vAlign w:val="bottom"/>
          </w:tcPr>
          <w:p>
            <w:pPr>
              <w:ind w:left="35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6"/>
        </w:trPr>
        <w:tc>
          <w:tcPr>
            <w:tcW w:w="10980" w:type="dxa"/>
            <w:vAlign w:val="bottom"/>
            <w:gridSpan w:val="3"/>
          </w:tcPr>
          <w:p>
            <w:pPr>
              <w:ind w:left="2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500" w:type="dxa"/>
            <w:vAlign w:val="bottom"/>
            <w:gridSpan w:val="2"/>
          </w:tcPr>
          <w:p>
            <w:pPr>
              <w:ind w:left="260"/>
              <w:spacing w:after="0" w:line="184" w:lineRule="exact"/>
              <w:rPr>
                <w:sz w:val="20"/>
                <w:szCs w:val="20"/>
                <w:color w:val="auto"/>
              </w:rPr>
            </w:pPr>
            <w:r>
              <w:rPr>
                <w:rFonts w:ascii="Arial" w:cs="Arial" w:eastAsia="Arial" w:hAnsi="Arial"/>
                <w:sz w:val="16"/>
                <w:szCs w:val="16"/>
                <w:color w:val="auto"/>
                <w:w w:val="95"/>
              </w:rPr>
              <w:t xml:space="preserve">Securities Exchange Act Rule 13e-4(i) (Cross-Border Issuer Tender Offer) </w:t>
            </w:r>
            <w:r>
              <w:rPr>
                <w:rFonts w:ascii="MS PGothic" w:cs="MS PGothic" w:eastAsia="MS PGothic" w:hAnsi="MS PGothic"/>
                <w:sz w:val="16"/>
                <w:szCs w:val="16"/>
                <w:color w:val="auto"/>
                <w:w w:val="95"/>
              </w:rPr>
              <w:t>☐</w:t>
            </w:r>
          </w:p>
        </w:tc>
        <w:tc>
          <w:tcPr>
            <w:tcW w:w="54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6"/>
                <w:szCs w:val="16"/>
                <w:color w:val="auto"/>
                <w:w w:val="93"/>
              </w:rPr>
              <w:t>Securities Exchange Act Rule 14d-l(d) (Cross-Border Third-Party Tender Offer)</w:t>
            </w:r>
          </w:p>
        </w:tc>
        <w:tc>
          <w:tcPr>
            <w:tcW w:w="5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Corporation (“Comcast”) is filing this registration statement on Form S-4 to register the issuance of its Class A common stock, par value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 per share, in connection with the proposed merger (the “Merger”) of Tango Acquisition Sub, Inc., a wholly owned subsidiary of Comcast, with and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 (“TWC”). The proxy statement information that forms a part of this registration statement is also deemed filed pursuant to Comcast’s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TWC’s obligations under Regulation 14A in connection with Comcast’s special meeting of its shareholders to approve the issuance of shares of Comcast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in connection with the Merger and in connection with TWC’s special meeting of its stockholders to approve the Merger.</w:t>
      </w:r>
    </w:p>
    <w:p>
      <w:pPr>
        <w:spacing w:after="0" w:line="211" w:lineRule="exact"/>
        <w:rPr>
          <w:sz w:val="20"/>
          <w:szCs w:val="20"/>
          <w:color w:val="auto"/>
        </w:rPr>
      </w:pPr>
    </w:p>
    <w:p>
      <w:pPr>
        <w:ind w:right="600" w:firstLine="456"/>
        <w:spacing w:after="0" w:line="291"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w:t>
      </w:r>
    </w:p>
    <w:p>
      <w:pPr>
        <w:ind w:right="100"/>
        <w:spacing w:after="0" w:line="285" w:lineRule="auto"/>
        <w:rPr>
          <w:sz w:val="20"/>
          <w:szCs w:val="20"/>
          <w:color w:val="auto"/>
        </w:rPr>
      </w:pPr>
      <w:r>
        <w:rPr>
          <w:rFonts w:ascii="Arial" w:cs="Arial" w:eastAsia="Arial" w:hAnsi="Arial"/>
          <w:sz w:val="16"/>
          <w:szCs w:val="16"/>
          <w:color w:val="auto"/>
        </w:rPr>
        <w:t>(“SpinCo”)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described in this joint proxy statement/prospectus.</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connection with the Spin-Off, SpinCo will file a registration statement on Form S-1 to register the pro rata distribution of shares of its common stock to Comcast shareholders (including any legacy TWC stockholders who are Comcast shareholders as of the record date for the Spin-Off). SpinCo will file its registration statement on Form S-1 with the Securities and Exchange Commission (the “SEC”) prior to the anticipated closing of the Merger. The registration statement will need to be declared effective by the SEC prior to the record date for the distribution of shares of SpinCo to Comcast shareholders (including former TWC stockholders) and prior to the SpinCo Merger. In 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proposals for the divestiture transactions, including the SpinCo Merger (as defined below).</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Charter stockholders provide the requisite stockholder approvals and the other applicable conditions to the divestiture transactions are met or waived, then Comcast will distribute the shares of SpinCo common stock pro rata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or a subsidiary of New Charter will receive shares of SpinCo common stock (currently estimated to represent approximately 33% of SpinCo’s outstanding common stock after giving effect to the SpinCo Merger), and SpinCo’s stockholders immediately prior to giving effect to the SpinCo Merger will receive shares of New Charter common stock and will continue to hold shares of SpinCo common stock, which are currently estimated to represent 67% of</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SpinCo’s outstanding common stock in the aggregate. No Comcast shareholders, TWC stockholders or SpinCo stockholders (other than Comcast as the initial sole stockholder of SpinCo) will be entitled to vote on the SpinCo Merger and no vote with respect thereto is or will be solicited by Comcast, TWC or SpinCo. In addition to registering the issuance of common stock of New Charter to Charter’s existing stockholders, the Charter Registration Statement is expected to register the issuance of New Charter shares in connection with the SpinCo Merger.</w:t>
      </w:r>
    </w:p>
    <w:p>
      <w:pPr>
        <w:spacing w:after="0" w:line="17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connection with the divestiture transactions and prior to the Spin-Off, Comcast, Charter and SpinCo will use reasonable best efforts to cause SpinCo to incur new indebtedness, including through the issuance of newly issued SpinCo notes to Comcast, which will enable Comcast to complete a debt-for-debt exchange (the “debt-for-debt exchange”). The divestiture transactions (including the Spin-Off, the SpinCo Merger, the Exchange, the Sale and the debt-for-debt exchange) are further described in “The Divestiture Transactions” beginning on page 203 of this joint proxy statement/prospectus.</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 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PRELIMINARY—SUBJECT TO COMPLETION—DATED SEPTEMBER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2905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46291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94615</wp:posOffset>
            </wp:positionV>
            <wp:extent cx="1329055"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Ÿ ], 2014</w:t>
      </w:r>
    </w:p>
    <w:p>
      <w:pPr>
        <w:spacing w:after="0" w:line="123" w:lineRule="exact"/>
        <w:rPr>
          <w:sz w:val="20"/>
          <w:szCs w:val="20"/>
          <w:color w:val="auto"/>
        </w:rPr>
      </w:pPr>
    </w:p>
    <w:p>
      <w:pPr>
        <w:ind w:right="3460" w:firstLine="3453"/>
        <w:spacing w:after="0" w:line="372" w:lineRule="auto"/>
        <w:rPr>
          <w:sz w:val="20"/>
          <w:szCs w:val="20"/>
          <w:color w:val="auto"/>
        </w:rPr>
      </w:pPr>
      <w:r>
        <w:rPr>
          <w:rFonts w:ascii="Arial" w:cs="Arial" w:eastAsia="Arial" w:hAnsi="Arial"/>
          <w:sz w:val="16"/>
          <w:szCs w:val="16"/>
          <w:b w:val="1"/>
          <w:bCs w:val="1"/>
          <w:color w:val="auto"/>
        </w:rPr>
        <w:t>MERGER PROPOSAL—YOUR VOTE IS VERY IMPORTANT Dear Comcast Corporation Shareholders and Time Warner Cable Inc. Stockholders:</w:t>
      </w:r>
    </w:p>
    <w:p>
      <w:pPr>
        <w:spacing w:after="0" w:line="1" w:lineRule="exact"/>
        <w:rPr>
          <w:sz w:val="20"/>
          <w:szCs w:val="20"/>
          <w:color w:val="auto"/>
        </w:rPr>
      </w:pPr>
    </w:p>
    <w:p>
      <w:pPr>
        <w:ind w:right="140" w:firstLine="342"/>
        <w:spacing w:after="0" w:line="289" w:lineRule="auto"/>
        <w:rPr>
          <w:sz w:val="20"/>
          <w:szCs w:val="20"/>
          <w:color w:val="auto"/>
        </w:rPr>
      </w:pPr>
      <w:r>
        <w:rPr>
          <w:rFonts w:ascii="Arial" w:cs="Arial" w:eastAsia="Arial" w:hAnsi="Arial"/>
          <w:sz w:val="15"/>
          <w:szCs w:val="15"/>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72" w:lineRule="exact"/>
        <w:rPr>
          <w:sz w:val="20"/>
          <w:szCs w:val="20"/>
          <w:color w:val="auto"/>
        </w:rPr>
      </w:pPr>
    </w:p>
    <w:p>
      <w:pPr>
        <w:ind w:right="40" w:firstLine="342"/>
        <w:spacing w:after="0" w:line="293" w:lineRule="auto"/>
        <w:rPr>
          <w:sz w:val="20"/>
          <w:szCs w:val="20"/>
          <w:color w:val="auto"/>
        </w:rPr>
      </w:pPr>
      <w:r>
        <w:rPr>
          <w:rFonts w:ascii="Arial" w:cs="Arial" w:eastAsia="Arial" w:hAnsi="Arial"/>
          <w:sz w:val="16"/>
          <w:szCs w:val="16"/>
          <w:color w:val="auto"/>
        </w:rPr>
        <w:t>Each of TWC and Comcast will be holding a special meeting for TWC stockholders and Comcast shareholders, respectively, to vote on certain matters in connection with the proposed merger.</w:t>
      </w:r>
    </w:p>
    <w:p>
      <w:pPr>
        <w:spacing w:after="0" w:line="64" w:lineRule="exact"/>
        <w:rPr>
          <w:sz w:val="20"/>
          <w:szCs w:val="20"/>
          <w:color w:val="auto"/>
        </w:rPr>
      </w:pPr>
    </w:p>
    <w:p>
      <w:pPr>
        <w:ind w:firstLine="342"/>
        <w:spacing w:after="0" w:line="293" w:lineRule="auto"/>
        <w:rPr>
          <w:sz w:val="20"/>
          <w:szCs w:val="20"/>
          <w:color w:val="auto"/>
        </w:rPr>
      </w:pPr>
      <w:r>
        <w:rPr>
          <w:rFonts w:ascii="Arial" w:cs="Arial" w:eastAsia="Arial" w:hAnsi="Arial"/>
          <w:sz w:val="15"/>
          <w:szCs w:val="15"/>
          <w:color w:val="auto"/>
        </w:rPr>
        <w:t>TWC stockholders are cordially invited to attend a special meeting of TWC stockholders to be held on October 9, 2014, at The Bennack Theater at the Paley Center for Media, located at 25 West 52nd Street, New York, New York 10019, at 10:00 a.m., local time. At the TWC special meeting, TWC stockholders will be asked to adopt the merger agreement. Comcast shareholders are cordially invited to attend a special meeting of Comcast shareholders to be held on October 8, 2014, at The Kimmel Center for the Performing Arts, located at 300 S. Broad Street, Philadelphia, Pennsylvania 19102, at 9:30 a.m., local time. At the Comcast special meeting, Comcast shareholders will be asked to approve the issuance of shares of Comcast Class A common stock to TWC stockholders in the merger, which is referred to as the stock issuance.</w:t>
      </w:r>
    </w:p>
    <w:p>
      <w:pPr>
        <w:spacing w:after="0" w:line="64" w:lineRule="exact"/>
        <w:rPr>
          <w:sz w:val="20"/>
          <w:szCs w:val="20"/>
          <w:color w:val="auto"/>
        </w:rPr>
      </w:pPr>
    </w:p>
    <w:p>
      <w:pPr>
        <w:ind w:right="80" w:firstLine="342"/>
        <w:spacing w:after="0" w:line="272" w:lineRule="auto"/>
        <w:rPr>
          <w:sz w:val="20"/>
          <w:szCs w:val="20"/>
          <w:color w:val="auto"/>
        </w:rPr>
      </w:pPr>
      <w:r>
        <w:rPr>
          <w:rFonts w:ascii="Arial" w:cs="Arial" w:eastAsia="Arial" w:hAnsi="Arial"/>
          <w:sz w:val="16"/>
          <w:szCs w:val="16"/>
          <w:color w:val="auto"/>
        </w:rPr>
        <w:t xml:space="preserve">We cannot complete the merger unless TWC stockholders adopt the merger agreement and Comcast shareholders approve the stock issuance. </w:t>
      </w:r>
      <w:r>
        <w:rPr>
          <w:rFonts w:ascii="Arial" w:cs="Arial" w:eastAsia="Arial" w:hAnsi="Arial"/>
          <w:sz w:val="16"/>
          <w:szCs w:val="16"/>
          <w:b w:val="1"/>
          <w:bCs w:val="1"/>
          <w:color w:val="auto"/>
        </w:rPr>
        <w:t>Your vote is very</w:t>
      </w:r>
      <w:r>
        <w:rPr>
          <w:rFonts w:ascii="Arial" w:cs="Arial" w:eastAsia="Arial" w:hAnsi="Arial"/>
          <w:sz w:val="16"/>
          <w:szCs w:val="16"/>
          <w:color w:val="auto"/>
        </w:rPr>
        <w:t xml:space="preserve"> </w:t>
      </w:r>
      <w:r>
        <w:rPr>
          <w:rFonts w:ascii="Arial" w:cs="Arial" w:eastAsia="Arial" w:hAnsi="Arial"/>
          <w:sz w:val="16"/>
          <w:szCs w:val="16"/>
          <w:b w:val="1"/>
          <w:bCs w:val="1"/>
          <w:color w:val="auto"/>
        </w:rPr>
        <w:t>important, 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6"/>
          <w:szCs w:val="16"/>
          <w:color w:val="auto"/>
        </w:rPr>
        <w:t>.</w:t>
      </w:r>
    </w:p>
    <w:p>
      <w:pPr>
        <w:spacing w:after="0" w:line="82" w:lineRule="exact"/>
        <w:rPr>
          <w:sz w:val="20"/>
          <w:szCs w:val="20"/>
          <w:color w:val="auto"/>
        </w:rPr>
      </w:pPr>
    </w:p>
    <w:p>
      <w:pPr>
        <w:ind w:right="20" w:firstLine="342"/>
        <w:spacing w:after="0" w:line="278" w:lineRule="auto"/>
        <w:rPr>
          <w:sz w:val="20"/>
          <w:szCs w:val="20"/>
          <w:color w:val="auto"/>
        </w:rPr>
      </w:pPr>
      <w:r>
        <w:rPr>
          <w:rFonts w:ascii="Arial" w:cs="Arial" w:eastAsia="Arial" w:hAnsi="Arial"/>
          <w:sz w:val="16"/>
          <w:szCs w:val="16"/>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72" w:lineRule="exact"/>
        <w:rPr>
          <w:sz w:val="20"/>
          <w:szCs w:val="20"/>
          <w:color w:val="auto"/>
        </w:rPr>
      </w:pPr>
    </w:p>
    <w:p>
      <w:pPr>
        <w:ind w:right="360" w:firstLine="342"/>
        <w:spacing w:after="0" w:line="298" w:lineRule="auto"/>
        <w:rPr>
          <w:sz w:val="20"/>
          <w:szCs w:val="20"/>
          <w:color w:val="auto"/>
        </w:rPr>
      </w:pPr>
      <w:r>
        <w:rPr>
          <w:rFonts w:ascii="Arial" w:cs="Arial" w:eastAsia="Arial" w:hAnsi="Arial"/>
          <w:sz w:val="16"/>
          <w:szCs w:val="16"/>
          <w:b w:val="1"/>
          <w:bCs w:val="1"/>
          <w:color w:val="auto"/>
        </w:rPr>
        <w:t>The TWC board of directors unanimously recommends that TWC stockholders vote “FOR” the adoption of the merger agreement and “FOR” the “golden parachute” compensation proposal.</w:t>
      </w:r>
    </w:p>
    <w:p>
      <w:pPr>
        <w:spacing w:after="0" w:line="56" w:lineRule="exact"/>
        <w:rPr>
          <w:sz w:val="20"/>
          <w:szCs w:val="20"/>
          <w:color w:val="auto"/>
        </w:rPr>
      </w:pPr>
    </w:p>
    <w:p>
      <w:pPr>
        <w:jc w:val="both"/>
        <w:ind w:right="400" w:firstLine="342"/>
        <w:spacing w:after="0" w:line="281" w:lineRule="auto"/>
        <w:rPr>
          <w:sz w:val="20"/>
          <w:szCs w:val="20"/>
          <w:color w:val="auto"/>
        </w:rPr>
      </w:pPr>
      <w:r>
        <w:rPr>
          <w:rFonts w:ascii="Arial" w:cs="Arial" w:eastAsia="Arial" w:hAnsi="Arial"/>
          <w:sz w:val="16"/>
          <w:szCs w:val="16"/>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74" w:lineRule="exact"/>
        <w:rPr>
          <w:sz w:val="20"/>
          <w:szCs w:val="20"/>
          <w:color w:val="auto"/>
        </w:rPr>
      </w:pPr>
    </w:p>
    <w:p>
      <w:pPr>
        <w:ind w:right="100" w:firstLine="456"/>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6"/>
          <w:szCs w:val="16"/>
          <w:b w:val="1"/>
          <w:bCs w:val="1"/>
          <w:color w:val="auto"/>
        </w:rPr>
        <w:t>We urge you to read the accompanying joint proxy statement/prospectus (and any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by reference into the accompanying joint proxy statement/prospectus) carefully. Please pay particular attention to the section entitled “</w:t>
      </w:r>
      <w:hyperlink w:anchor="page81">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68.</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hope to see you at the special meetings and look forward to the successful completion of the merger.</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Sincerely,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Brian L. Roberts</w:t>
            </w:r>
          </w:p>
        </w:tc>
        <w:tc>
          <w:tcPr>
            <w:tcW w:w="4340" w:type="dxa"/>
            <w:vAlign w:val="bottom"/>
          </w:tcPr>
          <w:p>
            <w:pPr>
              <w:ind w:left="1840"/>
              <w:spacing w:after="0"/>
              <w:rPr>
                <w:sz w:val="20"/>
                <w:szCs w:val="20"/>
                <w:color w:val="auto"/>
              </w:rPr>
            </w:pPr>
            <w:r>
              <w:rPr>
                <w:rFonts w:ascii="Arial" w:cs="Arial" w:eastAsia="Arial" w:hAnsi="Arial"/>
                <w:sz w:val="16"/>
                <w:szCs w:val="16"/>
                <w:color w:val="auto"/>
              </w:rPr>
              <w:t>Robert D. Marcus</w:t>
            </w: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Chairman and Chief Executive Officer</w:t>
            </w:r>
          </w:p>
        </w:tc>
        <w:tc>
          <w:tcPr>
            <w:tcW w:w="4340" w:type="dxa"/>
            <w:vAlign w:val="bottom"/>
          </w:tcPr>
          <w:p>
            <w:pPr>
              <w:ind w:left="1840"/>
              <w:spacing w:after="0"/>
              <w:rPr>
                <w:sz w:val="20"/>
                <w:szCs w:val="20"/>
                <w:color w:val="auto"/>
              </w:rPr>
            </w:pPr>
            <w:r>
              <w:rPr>
                <w:rFonts w:ascii="Arial" w:cs="Arial" w:eastAsia="Arial" w:hAnsi="Arial"/>
                <w:sz w:val="16"/>
                <w:szCs w:val="16"/>
                <w:color w:val="auto"/>
                <w:w w:val="92"/>
              </w:rPr>
              <w:t>Chairman and Chief Executive Officer</w:t>
            </w:r>
          </w:p>
        </w:tc>
      </w:tr>
      <w:tr>
        <w:trPr>
          <w:trHeight w:val="206"/>
        </w:trPr>
        <w:tc>
          <w:tcPr>
            <w:tcW w:w="4340" w:type="dxa"/>
            <w:vAlign w:val="bottom"/>
          </w:tcPr>
          <w:p>
            <w:pPr>
              <w:spacing w:after="0"/>
              <w:rPr>
                <w:sz w:val="20"/>
                <w:szCs w:val="20"/>
                <w:color w:val="auto"/>
              </w:rPr>
            </w:pPr>
            <w:r>
              <w:rPr>
                <w:rFonts w:ascii="Arial" w:cs="Arial" w:eastAsia="Arial" w:hAnsi="Arial"/>
                <w:sz w:val="16"/>
                <w:szCs w:val="16"/>
                <w:color w:val="auto"/>
              </w:rPr>
              <w:t>Comcast Corporation</w:t>
            </w:r>
          </w:p>
        </w:tc>
        <w:tc>
          <w:tcPr>
            <w:tcW w:w="4340" w:type="dxa"/>
            <w:vAlign w:val="bottom"/>
          </w:tcPr>
          <w:p>
            <w:pPr>
              <w:ind w:left="1840"/>
              <w:spacing w:after="0"/>
              <w:rPr>
                <w:sz w:val="20"/>
                <w:szCs w:val="20"/>
                <w:color w:val="auto"/>
              </w:rPr>
            </w:pPr>
            <w:r>
              <w:rPr>
                <w:rFonts w:ascii="Arial" w:cs="Arial" w:eastAsia="Arial" w:hAnsi="Arial"/>
                <w:sz w:val="16"/>
                <w:szCs w:val="16"/>
                <w:color w:val="auto"/>
              </w:rPr>
              <w:t>Time Warner Cable Inc.</w:t>
            </w:r>
          </w:p>
        </w:tc>
      </w:tr>
    </w:tbl>
    <w:p>
      <w:pPr>
        <w:spacing w:after="0" w:line="10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Ÿ ], 2014, and is first being mailed to Comcast shareholders and TWC stockholders on or about [ Ÿ ], 2014.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Comcast Corporation</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0"/>
              </w:rPr>
              <w:t>Time Warner Cable Inc.</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88"/>
              </w:rPr>
              <w:t>One Comcast Center</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1"/>
              </w:rPr>
              <w:t>60 Columbus Circle</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Philadelphia, Pennsylvania 19103-2838</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New York, New York 10023</w:t>
            </w:r>
          </w:p>
        </w:tc>
      </w:tr>
      <w:tr>
        <w:trPr>
          <w:trHeight w:val="216"/>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Attention: Investor Relations</w:t>
            </w:r>
          </w:p>
        </w:tc>
      </w:tr>
      <w:tr>
        <w:trPr>
          <w:trHeight w:val="230"/>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89"/>
              </w:rPr>
              <w:t>Telephone: (866) 281-2100</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89"/>
              </w:rPr>
              <w:t>Telephone: (877) 446-3689</w:t>
            </w: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67"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If you would like to request documents, please do so no later than five business days before the date of Comcast’s special meeting of shareholders (which meeting is October 8, 2014) or five business days before the date of TWC’s special meeting of stockholders (which meeting is October 9, 2014), as applicable.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244 of the accompanying joint proxy statement/prospectus for further information.</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8,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of Comcast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special meeting of shareholders of Comcast Corporation, a Pennsylvania corporation, will be held on October 8, 2014, at The Kimmel Center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Performing Arts, located at 300 S. Broad Street, Philadelphia, Pennsylvania 19102, at 9:30 a.m., local time, for the following purposes:</w:t>
      </w:r>
    </w:p>
    <w:p>
      <w:pPr>
        <w:spacing w:after="0" w:line="116" w:lineRule="exact"/>
        <w:rPr>
          <w:sz w:val="20"/>
          <w:szCs w:val="20"/>
          <w:color w:val="auto"/>
        </w:rPr>
      </w:pPr>
    </w:p>
    <w:p>
      <w:pPr>
        <w:ind w:left="900" w:right="160" w:hanging="446"/>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76"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Comcast board of directors has fixed the close of business on August 18,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5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hold shares of Comcast common stock in your name at the record date, please be prepared to provide proper identification, such as a driver’s license, to gain admission to the Comcast special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0.1317 votes per share and each holder of Comcast Class B</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common stock is entitled to 15 votes per share. Holders of shares of Comcast Class A Special common stock are not entitled to vote at the meeting. </w:t>
      </w:r>
      <w:r>
        <w:rPr>
          <w:rFonts w:ascii="Arial" w:cs="Arial" w:eastAsia="Arial" w:hAnsi="Arial"/>
          <w:sz w:val="16"/>
          <w:szCs w:val="16"/>
          <w:b w:val="1"/>
          <w:bCs w:val="1"/>
          <w:color w:val="auto"/>
        </w:rPr>
        <w:t>After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Ÿ ],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COMCAST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TIME WARNER CABLE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9,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Time Warner Cable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special meeting of stockholders of Time Warner Cable Inc., a Delaware corporation, will be held on October 9, 2014, at The Bennack Theater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Paley Center for Media, located at 25 West 52nd Street, New York, New York 10019, at 10:00 a.m., local time, for the following purposes:</w:t>
      </w:r>
    </w:p>
    <w:p>
      <w:pPr>
        <w:spacing w:after="0" w:line="116" w:lineRule="exact"/>
        <w:rPr>
          <w:sz w:val="20"/>
          <w:szCs w:val="20"/>
          <w:color w:val="auto"/>
        </w:rPr>
      </w:pPr>
    </w:p>
    <w:p>
      <w:pPr>
        <w:ind w:left="90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3"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on an advisory (non-binding) basis, the “golden parachute” compensation payments that will or may be paid by TWC to its named executive officers in connection with the merger.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TWC board of directors has fixed the close of business on August 18,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 consideration and consultation with its advisors, the TWC board of directors unanimously determined that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the merger and the other transactions contemplated by the merger agreement are fair to and in the best interests of TWC’s</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 Lawrence-Apfelbaum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Ÿ ], 2014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ir@twcable.com</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35"/>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Questions And Answers About The Merger And The Matters To Be Addressed At The Special Meetings</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3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0000EE"/>
            </w:tcBorders>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Summary</w:t>
              </w:r>
            </w:hyperlink>
          </w:p>
        </w:tc>
        <w:tc>
          <w:tcPr>
            <w:tcW w:w="34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Selected Historical Consolidated Financial Data of Comcast</w:t>
              </w:r>
            </w:hyperlink>
          </w:p>
        </w:tc>
        <w:tc>
          <w:tcPr>
            <w:tcW w:w="66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Historical Consolidated Financial Data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Comparative Historical and Unaudited Pro Forma Per Share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Comparative Per Share Market Price and Dividend Information</w:t>
              </w:r>
            </w:hyperlink>
          </w:p>
        </w:tc>
        <w:tc>
          <w:tcPr>
            <w:tcW w:w="62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Comcast Unaudited Pro Forma Condensed Combined Financial Statements</w:t>
              </w:r>
            </w:hyperlink>
          </w:p>
        </w:tc>
        <w:tc>
          <w:tcPr>
            <w:tcW w:w="5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Risk Factors</w:t>
              </w:r>
            </w:hyperlink>
          </w:p>
        </w:tc>
        <w:tc>
          <w:tcPr>
            <w:tcW w:w="100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The Companies</w:t>
              </w:r>
            </w:hyperlink>
          </w:p>
        </w:tc>
        <w:tc>
          <w:tcPr>
            <w:tcW w:w="342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Special Meeting of Shareholders of Comcast</w:t>
              </w:r>
            </w:hyperlink>
          </w:p>
        </w:tc>
        <w:tc>
          <w:tcPr>
            <w:tcW w:w="7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Date, Time and Location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Recommendations of the Comcast Board of Directors</w:t>
              </w:r>
            </w:hyperlink>
          </w:p>
        </w:tc>
        <w:tc>
          <w:tcPr>
            <w:tcW w:w="67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Comcast Record Date; Outstanding Shares; Shareholders Entitled to Vote</w:t>
              </w:r>
            </w:hyperlink>
          </w:p>
        </w:tc>
        <w:tc>
          <w:tcPr>
            <w:tcW w:w="53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Quorum</w:t>
              </w:r>
            </w:hyperlink>
          </w:p>
        </w:tc>
        <w:tc>
          <w:tcPr>
            <w:tcW w:w="10020" w:type="dxa"/>
            <w:vAlign w:val="bottom"/>
            <w:gridSpan w:val="2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Share Ownership of and Voting by Comcast Directors and Executive Officers</w:t>
              </w:r>
            </w:hyperlink>
          </w:p>
        </w:tc>
        <w:tc>
          <w:tcPr>
            <w:tcW w:w="50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Voting of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Special Meeting of Stockholders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Date, Time and Location</w:t>
              </w:r>
            </w:hyperlink>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9">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Recommendations of the TWC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TWC Record Date; Outstanding Shares; Stockholders Entitled to Vote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00">
              <w:r>
                <w:rPr>
                  <w:rFonts w:ascii="Arial" w:cs="Arial" w:eastAsia="Arial" w:hAnsi="Arial"/>
                  <w:sz w:val="18"/>
                  <w:szCs w:val="18"/>
                  <w:color w:val="0000EE"/>
                  <w:w w:val="92"/>
                </w:rPr>
                <w:t>Quorum</w:t>
              </w:r>
            </w:hyperlink>
          </w:p>
        </w:tc>
        <w:tc>
          <w:tcPr>
            <w:tcW w:w="4440" w:type="dxa"/>
            <w:vAlign w:val="bottom"/>
            <w:tcBorders>
              <w:top w:val="single" w:sz="8" w:color="0000EE"/>
            </w:tcBorders>
            <w:gridSpan w:val="20"/>
          </w:tcPr>
          <w:p>
            <w:pPr>
              <w:spacing w:after="0"/>
              <w:rPr>
                <w:sz w:val="17"/>
                <w:szCs w:val="17"/>
                <w:color w:val="auto"/>
              </w:rPr>
            </w:pPr>
          </w:p>
        </w:tc>
        <w:tc>
          <w:tcPr>
            <w:tcW w:w="55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Share Ownership of and Voting by TWC Directors and Executive Officers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Voting of Shares</w:t>
              </w:r>
            </w:hyperlink>
          </w:p>
        </w:tc>
        <w:tc>
          <w:tcPr>
            <w:tcW w:w="5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TWC Proposal I: Adoption of the Merger Agreement and Comcast Proposal I: Approval of the Stock Issuance</w:t>
              </w:r>
            </w:hyperlink>
          </w:p>
        </w:tc>
        <w:tc>
          <w:tcPr>
            <w:tcW w:w="30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General</w:t>
              </w:r>
            </w:hyperlink>
          </w:p>
        </w:tc>
        <w:tc>
          <w:tcPr>
            <w:tcW w:w="100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Background of the Merger</w:t>
              </w:r>
            </w:hyperlink>
          </w:p>
        </w:tc>
        <w:tc>
          <w:tcPr>
            <w:tcW w:w="87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TWC’s Reasons for the Merger; Recommendation of the Merger by the TWC Board of Directors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980" w:type="dxa"/>
            <w:vAlign w:val="bottom"/>
            <w:tcBorders>
              <w:top w:val="single" w:sz="8" w:color="0000EE"/>
            </w:tcBorders>
            <w:gridSpan w:val="31"/>
          </w:tcPr>
          <w:p>
            <w:pPr>
              <w:spacing w:after="0" w:line="196" w:lineRule="exact"/>
              <w:rPr>
                <w:rFonts w:ascii="Arial" w:cs="Arial" w:eastAsia="Arial" w:hAnsi="Arial"/>
                <w:sz w:val="18"/>
                <w:szCs w:val="18"/>
                <w:color w:val="0000EE"/>
                <w:w w:val="98"/>
              </w:rPr>
            </w:pPr>
            <w:hyperlink w:anchor="page122">
              <w:r>
                <w:rPr>
                  <w:rFonts w:ascii="Arial" w:cs="Arial" w:eastAsia="Arial" w:hAnsi="Arial"/>
                  <w:sz w:val="18"/>
                  <w:szCs w:val="18"/>
                  <w:color w:val="0000EE"/>
                  <w:w w:val="98"/>
                </w:rPr>
                <w:t>Comcast’s Reasons for the Merger; Recommendation of the Comcast Board of Directors</w:t>
              </w:r>
            </w:hyperlink>
          </w:p>
        </w:tc>
        <w:tc>
          <w:tcPr>
            <w:tcW w:w="36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840" w:type="dxa"/>
            <w:vAlign w:val="bottom"/>
            <w:gridSpan w:val="16"/>
            <w:vMerge w:val="restart"/>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Opinions of TWC’s Financial Advisors</w:t>
              </w:r>
            </w:hyperlink>
          </w:p>
        </w:tc>
        <w:tc>
          <w:tcPr>
            <w:tcW w:w="7780" w:type="dxa"/>
            <w:vAlign w:val="bottom"/>
            <w:gridSpan w:val="14"/>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840" w:type="dxa"/>
            <w:vAlign w:val="bottom"/>
            <w:tcBorders>
              <w:bottom w:val="single" w:sz="8" w:color="0000EE"/>
            </w:tcBorders>
            <w:gridSpan w:val="16"/>
            <w:vMerge w:val="continue"/>
          </w:tcPr>
          <w:p>
            <w:pPr>
              <w:spacing w:after="0"/>
              <w:rPr>
                <w:sz w:val="13"/>
                <w:szCs w:val="13"/>
                <w:color w:val="auto"/>
              </w:rPr>
            </w:pPr>
          </w:p>
        </w:tc>
        <w:tc>
          <w:tcPr>
            <w:tcW w:w="7780" w:type="dxa"/>
            <w:vAlign w:val="bottom"/>
            <w:gridSpan w:val="14"/>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Opinion of Financial Advisor to the TWC Independent Directors</w:t>
              </w:r>
            </w:hyperlink>
          </w:p>
        </w:tc>
        <w:tc>
          <w:tcPr>
            <w:tcW w:w="5940" w:type="dxa"/>
            <w:vAlign w:val="bottom"/>
            <w:gridSpan w:val="2"/>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Opinion of Comcast’s Financial Advisor</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Unaudited Prospective Financial Information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Certain Relationships between Comcast and TWC</w:t>
              </w:r>
            </w:hyperlink>
          </w:p>
        </w:tc>
        <w:tc>
          <w:tcPr>
            <w:tcW w:w="69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Regulatory Approvals Required for the Merger</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No Appraisal Rights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Material U.S. Federal Income Tax Consequences of the Merger</w:t>
              </w:r>
            </w:hyperlink>
          </w:p>
        </w:tc>
        <w:tc>
          <w:tcPr>
            <w:tcW w:w="60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Accounting Treatment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73">
              <w:r>
                <w:rPr>
                  <w:rFonts w:ascii="Arial" w:cs="Arial" w:eastAsia="Arial" w:hAnsi="Arial"/>
                  <w:sz w:val="18"/>
                  <w:szCs w:val="18"/>
                  <w:color w:val="0000EE"/>
                  <w:w w:val="91"/>
                </w:rPr>
                <w:t>Listing of Shares of Comcast Class A Common Stock and Delisting and Deregistration of TWC Common Stock</w:t>
              </w:r>
            </w:hyperlink>
          </w:p>
        </w:tc>
        <w:tc>
          <w:tcPr>
            <w:tcW w:w="254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73">
              <w:r>
                <w:rPr>
                  <w:rFonts w:ascii="Arial" w:cs="Arial" w:eastAsia="Arial" w:hAnsi="Arial"/>
                  <w:sz w:val="18"/>
                  <w:szCs w:val="18"/>
                  <w:color w:val="0000EE"/>
                  <w:w w:val="93"/>
                </w:rPr>
                <w:t>Litigation Relating to the Merger</w:t>
              </w:r>
            </w:hyperlink>
          </w:p>
        </w:tc>
        <w:tc>
          <w:tcPr>
            <w:tcW w:w="822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The Merger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The Voting Agreement</w:t>
              </w:r>
            </w:hyperlink>
          </w:p>
        </w:tc>
        <w:tc>
          <w:tcPr>
            <w:tcW w:w="40" w:type="dxa"/>
            <w:vAlign w:val="bottom"/>
            <w:tcBorders>
              <w:top w:val="single" w:sz="8" w:color="0000EE"/>
            </w:tcBorders>
          </w:tcPr>
          <w:p>
            <w:pPr>
              <w:spacing w:after="0"/>
              <w:rPr>
                <w:sz w:val="17"/>
                <w:szCs w:val="17"/>
                <w:color w:val="auto"/>
              </w:rPr>
            </w:pPr>
          </w:p>
        </w:tc>
        <w:tc>
          <w:tcPr>
            <w:tcW w:w="928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Interests of Certain Persons in the Merger</w:t>
              </w:r>
            </w:hyperlink>
          </w:p>
        </w:tc>
        <w:tc>
          <w:tcPr>
            <w:tcW w:w="796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TWC Proposal II: Advisory Vote on Golden Parachute Compensation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w:anchor="page214">
              <w:r>
                <w:rPr>
                  <w:rFonts w:ascii="Arial" w:cs="Arial" w:eastAsia="Arial" w:hAnsi="Arial"/>
                  <w:sz w:val="18"/>
                  <w:szCs w:val="18"/>
                  <w:color w:val="0000EE"/>
                  <w:w w:val="93"/>
                </w:rPr>
                <w:t>Comcast Proposal II: Adjournment of the Comcast Special Meeting</w:t>
              </w:r>
            </w:hyperlink>
          </w:p>
        </w:tc>
        <w:tc>
          <w:tcPr>
            <w:tcW w:w="596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The Divestiture Transactions</w:t>
              </w:r>
            </w:hyperlink>
          </w:p>
        </w:tc>
        <w:tc>
          <w:tcPr>
            <w:tcW w:w="2780" w:type="dxa"/>
            <w:vAlign w:val="bottom"/>
            <w:tcBorders>
              <w:top w:val="single" w:sz="8" w:color="0000EE"/>
            </w:tcBorders>
            <w:gridSpan w:val="17"/>
          </w:tcPr>
          <w:p>
            <w:pPr>
              <w:spacing w:after="0"/>
              <w:rPr>
                <w:sz w:val="17"/>
                <w:szCs w:val="17"/>
                <w:color w:val="auto"/>
              </w:rPr>
            </w:pPr>
          </w:p>
        </w:tc>
        <w:tc>
          <w:tcPr>
            <w:tcW w:w="610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226">
              <w:r>
                <w:rPr>
                  <w:rFonts w:ascii="Arial" w:cs="Arial" w:eastAsia="Arial" w:hAnsi="Arial"/>
                  <w:sz w:val="18"/>
                  <w:szCs w:val="18"/>
                  <w:color w:val="0000EE"/>
                  <w:w w:val="92"/>
                </w:rPr>
                <w:t>Certain Beneficial Owners of TWC Common Stock</w:t>
              </w:r>
            </w:hyperlink>
          </w:p>
        </w:tc>
        <w:tc>
          <w:tcPr>
            <w:tcW w:w="72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Certain Beneficial Owners of Comcast Common Stock</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31">
              <w:r>
                <w:rPr>
                  <w:rFonts w:ascii="Arial" w:cs="Arial" w:eastAsia="Arial" w:hAnsi="Arial"/>
                  <w:sz w:val="18"/>
                  <w:szCs w:val="18"/>
                  <w:color w:val="0000EE"/>
                  <w:w w:val="91"/>
                </w:rPr>
                <w:t>Description of Comcast Capital Stock</w:t>
              </w:r>
            </w:hyperlink>
          </w:p>
        </w:tc>
        <w:tc>
          <w:tcPr>
            <w:tcW w:w="1220" w:type="dxa"/>
            <w:vAlign w:val="bottom"/>
            <w:tcBorders>
              <w:top w:val="single" w:sz="8" w:color="0000EE"/>
            </w:tcBorders>
            <w:gridSpan w:val="12"/>
          </w:tcPr>
          <w:p>
            <w:pPr>
              <w:spacing w:after="0"/>
              <w:rPr>
                <w:sz w:val="17"/>
                <w:szCs w:val="17"/>
                <w:color w:val="auto"/>
              </w:rPr>
            </w:pPr>
          </w:p>
        </w:tc>
        <w:tc>
          <w:tcPr>
            <w:tcW w:w="70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37">
              <w:r>
                <w:rPr>
                  <w:rFonts w:ascii="Arial" w:cs="Arial" w:eastAsia="Arial" w:hAnsi="Arial"/>
                  <w:sz w:val="18"/>
                  <w:szCs w:val="18"/>
                  <w:color w:val="0000EE"/>
                  <w:w w:val="91"/>
                </w:rPr>
                <w:t>Comparison of Stockholder Rights</w:t>
              </w:r>
            </w:hyperlink>
          </w:p>
        </w:tc>
        <w:tc>
          <w:tcPr>
            <w:tcW w:w="8460" w:type="dxa"/>
            <w:vAlign w:val="bottom"/>
            <w:gridSpan w:val="2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3">
              <w:r>
                <w:rPr>
                  <w:rFonts w:ascii="Arial" w:cs="Arial" w:eastAsia="Arial" w:hAnsi="Arial"/>
                  <w:sz w:val="18"/>
                  <w:szCs w:val="18"/>
                  <w:color w:val="0000EE"/>
                  <w:w w:val="91"/>
                </w:rPr>
                <w:t>Legal Matters</w:t>
              </w:r>
            </w:hyperlink>
          </w:p>
        </w:tc>
        <w:tc>
          <w:tcPr>
            <w:tcW w:w="99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Experts</w:t>
              </w:r>
            </w:hyperlink>
          </w:p>
        </w:tc>
        <w:tc>
          <w:tcPr>
            <w:tcW w:w="1042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4">
              <w:r>
                <w:rPr>
                  <w:rFonts w:ascii="Arial" w:cs="Arial" w:eastAsia="Arial" w:hAnsi="Arial"/>
                  <w:sz w:val="18"/>
                  <w:szCs w:val="18"/>
                  <w:color w:val="0000EE"/>
                  <w:w w:val="88"/>
                </w:rPr>
                <w:t>Future Shareholder Proposals</w:t>
              </w:r>
            </w:hyperlink>
          </w:p>
        </w:tc>
        <w:tc>
          <w:tcPr>
            <w:tcW w:w="88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6">
              <w:r>
                <w:rPr>
                  <w:rFonts w:ascii="Arial" w:cs="Arial" w:eastAsia="Arial" w:hAnsi="Arial"/>
                  <w:sz w:val="18"/>
                  <w:szCs w:val="18"/>
                  <w:color w:val="0000EE"/>
                  <w:w w:val="92"/>
                </w:rPr>
                <w:t>Where You Can Find More Information</w:t>
              </w:r>
            </w:hyperlink>
          </w:p>
        </w:tc>
        <w:tc>
          <w:tcPr>
            <w:tcW w:w="810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330"/>
        </w:trPr>
        <w:tc>
          <w:tcPr>
            <w:tcW w:w="10980" w:type="dxa"/>
            <w:vAlign w:val="bottom"/>
            <w:gridSpan w:val="31"/>
          </w:tcPr>
          <w:p>
            <w:pPr>
              <w:spacing w:after="0"/>
              <w:rPr>
                <w:sz w:val="20"/>
                <w:szCs w:val="20"/>
                <w:color w:val="auto"/>
              </w:rPr>
            </w:pPr>
            <w:r>
              <w:rPr>
                <w:rFonts w:ascii="Arial" w:cs="Arial" w:eastAsia="Arial" w:hAnsi="Arial"/>
                <w:sz w:val="18"/>
                <w:szCs w:val="18"/>
                <w:color w:val="auto"/>
              </w:rPr>
              <w:t>Annexes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w:anchor="page258">
              <w:r>
                <w:rPr>
                  <w:rFonts w:ascii="Arial" w:cs="Arial" w:eastAsia="Arial" w:hAnsi="Arial"/>
                  <w:sz w:val="18"/>
                  <w:szCs w:val="18"/>
                  <w:color w:val="0000EE"/>
                  <w:w w:val="91"/>
                </w:rPr>
                <w:t>Annex A: Agreement and Plan of Merger</w:t>
              </w:r>
            </w:hyperlink>
          </w:p>
        </w:tc>
        <w:tc>
          <w:tcPr>
            <w:tcW w:w="7980" w:type="dxa"/>
            <w:vAlign w:val="bottom"/>
            <w:gridSpan w:val="16"/>
          </w:tcPr>
          <w:p>
            <w:pPr>
              <w:spacing w:after="0"/>
              <w:rPr>
                <w:sz w:val="16"/>
                <w:szCs w:val="16"/>
                <w:color w:val="auto"/>
              </w:rPr>
            </w:pPr>
          </w:p>
        </w:tc>
        <w:tc>
          <w:tcPr>
            <w:tcW w:w="3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Annex B: Voting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24">
              <w:r>
                <w:rPr>
                  <w:rFonts w:ascii="Arial" w:cs="Arial" w:eastAsia="Arial" w:hAnsi="Arial"/>
                  <w:sz w:val="18"/>
                  <w:szCs w:val="18"/>
                  <w:color w:val="0000EE"/>
                  <w:w w:val="95"/>
                </w:rPr>
                <w:t>Annex C: Opinion of Allen &amp; Company LLC</w:t>
              </w:r>
            </w:hyperlink>
          </w:p>
        </w:tc>
        <w:tc>
          <w:tcPr>
            <w:tcW w:w="768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Annex D: Opinion of Citigroup Global Markets Inc.</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w:anchor="page330">
              <w:r>
                <w:rPr>
                  <w:rFonts w:ascii="Arial" w:cs="Arial" w:eastAsia="Arial" w:hAnsi="Arial"/>
                  <w:sz w:val="18"/>
                  <w:szCs w:val="18"/>
                  <w:color w:val="0000EE"/>
                  <w:w w:val="98"/>
                </w:rPr>
                <w:t>Annex E: Opinion of Morgan Stanley &amp; Co. LLC</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w:anchor="page333">
              <w:r>
                <w:rPr>
                  <w:rFonts w:ascii="Arial" w:cs="Arial" w:eastAsia="Arial" w:hAnsi="Arial"/>
                  <w:sz w:val="18"/>
                  <w:szCs w:val="18"/>
                  <w:color w:val="0000EE"/>
                  <w:w w:val="98"/>
                </w:rPr>
                <w:t>Annex F: Opinion of Centerview Partners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00" w:type="dxa"/>
            <w:vAlign w:val="bottom"/>
            <w:gridSpan w:val="2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336">
              <w:r>
                <w:rPr>
                  <w:rFonts w:ascii="Arial" w:cs="Arial" w:eastAsia="Arial" w:hAnsi="Arial"/>
                  <w:sz w:val="18"/>
                  <w:szCs w:val="18"/>
                  <w:color w:val="0000EE"/>
                  <w:w w:val="92"/>
                </w:rPr>
                <w:t>Annex G: Opinion of J.P. Morgan Securities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QUESTIONS AND ANSWERS ABOUT THE MERGER AND THE MATTERS TO BE ADDRESSED AT THE SPECIAL MEETINGS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460" w:right="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85"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78"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78" w:lineRule="exact"/>
        <w:rPr>
          <w:rFonts w:ascii="Arial" w:cs="Arial" w:eastAsia="Arial" w:hAnsi="Arial"/>
          <w:sz w:val="18"/>
          <w:szCs w:val="18"/>
          <w:color w:val="auto"/>
        </w:rPr>
      </w:pPr>
    </w:p>
    <w:p>
      <w:pPr>
        <w:ind w:left="460" w:right="20"/>
        <w:spacing w:after="0" w:line="271" w:lineRule="auto"/>
        <w:rPr>
          <w:rFonts w:ascii="Arial" w:cs="Arial" w:eastAsia="Arial" w:hAnsi="Arial"/>
          <w:sz w:val="18"/>
          <w:szCs w:val="18"/>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Your vote is important. We encourage you to vote as soon as possible.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TWC stockholders receive in the merger?</w:t>
      </w:r>
    </w:p>
    <w:p>
      <w:pPr>
        <w:spacing w:after="0" w:line="131" w:lineRule="exact"/>
        <w:rPr>
          <w:sz w:val="20"/>
          <w:szCs w:val="20"/>
          <w:color w:val="auto"/>
        </w:rPr>
      </w:pPr>
    </w:p>
    <w:p>
      <w:pPr>
        <w:ind w:left="460" w:right="40" w:hanging="452"/>
        <w:spacing w:after="0" w:line="29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50" w:lineRule="exact"/>
        <w:rPr>
          <w:rFonts w:ascii="Arial" w:cs="Arial" w:eastAsia="Arial" w:hAnsi="Arial"/>
          <w:sz w:val="16"/>
          <w:szCs w:val="16"/>
          <w:color w:val="auto"/>
        </w:rPr>
      </w:pPr>
    </w:p>
    <w:p>
      <w:pPr>
        <w:ind w:left="460" w:right="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August 29, 2014, the most recent practicable trading day prior to the date of this joint proxy statement/prospectus, the merger consideration represented approximately $157.32 in value for each share of TWC common stock. </w:t>
      </w:r>
      <w:r>
        <w:rPr>
          <w:rFonts w:ascii="Arial" w:cs="Arial" w:eastAsia="Arial" w:hAnsi="Arial"/>
          <w:sz w:val="16"/>
          <w:szCs w:val="16"/>
          <w:b w:val="1"/>
          <w:bCs w:val="1"/>
          <w:color w:val="auto"/>
        </w:rPr>
        <w:t>Because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will issue a fixed number of shares of Comcast Class A common stock 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1" w:lineRule="exact"/>
        <w:rPr>
          <w:rFonts w:ascii="Arial" w:cs="Arial" w:eastAsia="Arial" w:hAnsi="Arial"/>
          <w:sz w:val="16"/>
          <w:szCs w:val="16"/>
          <w:color w:val="auto"/>
        </w:rPr>
      </w:pPr>
    </w:p>
    <w:p>
      <w:pPr>
        <w:ind w:left="460" w:right="1100"/>
        <w:spacing w:after="0" w:line="277" w:lineRule="auto"/>
        <w:rPr>
          <w:rFonts w:ascii="Arial" w:cs="Arial" w:eastAsia="Arial" w:hAnsi="Arial"/>
          <w:sz w:val="16"/>
          <w:szCs w:val="16"/>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merger is not completed?</w:t>
      </w:r>
    </w:p>
    <w:p>
      <w:pPr>
        <w:spacing w:after="0" w:line="131" w:lineRule="exact"/>
        <w:rPr>
          <w:sz w:val="20"/>
          <w:szCs w:val="20"/>
          <w:color w:val="auto"/>
        </w:rPr>
      </w:pPr>
    </w:p>
    <w:p>
      <w:pPr>
        <w:ind w:left="460" w:right="28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TWC stockholders being asked to vote on?</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TWC stockholders are being asked to vote on the following proposals: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paid by TWC to its named executive officers in connection with the merger.</w:t>
      </w:r>
    </w:p>
    <w:p>
      <w:pPr>
        <w:spacing w:after="0" w:line="62"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Comcast shareholders being asked to vote on?</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shareholders are being asked to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62"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adopt the merger agreement?</w:t>
      </w:r>
    </w:p>
    <w:p>
      <w:pPr>
        <w:spacing w:after="0" w:line="131" w:lineRule="exact"/>
        <w:rPr>
          <w:sz w:val="20"/>
          <w:szCs w:val="20"/>
          <w:color w:val="auto"/>
        </w:rPr>
      </w:pPr>
    </w:p>
    <w:p>
      <w:pPr>
        <w:ind w:left="460" w:hanging="452"/>
        <w:spacing w:after="0" w:line="27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105 of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“golden parachute” compensation and why am I being asked to vote on it?</w:t>
      </w:r>
    </w:p>
    <w:p>
      <w:pPr>
        <w:spacing w:after="0" w:line="131" w:lineRule="exact"/>
        <w:rPr>
          <w:sz w:val="20"/>
          <w:szCs w:val="20"/>
          <w:color w:val="auto"/>
        </w:rPr>
      </w:pPr>
    </w:p>
    <w:p>
      <w:pPr>
        <w:ind w:left="460" w:right="4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19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approve the “golden parachute” compensation proposal?</w:t>
      </w:r>
    </w:p>
    <w:p>
      <w:pPr>
        <w:spacing w:after="0" w:line="127" w:lineRule="exact"/>
        <w:rPr>
          <w:sz w:val="20"/>
          <w:szCs w:val="20"/>
          <w:color w:val="auto"/>
        </w:rPr>
      </w:pPr>
    </w:p>
    <w:p>
      <w:pPr>
        <w:ind w:left="460" w:right="520" w:hanging="452"/>
        <w:spacing w:after="0" w:line="28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201 of this joint proxy statement/prospectus.</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“golden parachute” compensation proposal is not approved?</w:t>
      </w:r>
    </w:p>
    <w:p>
      <w:pPr>
        <w:spacing w:after="0" w:line="131" w:lineRule="exact"/>
        <w:rPr>
          <w:sz w:val="20"/>
          <w:szCs w:val="20"/>
          <w:color w:val="auto"/>
        </w:rPr>
      </w:pPr>
    </w:p>
    <w:p>
      <w:pPr>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Comcast board of directors recommend that Comcast shareholders approve the stock issuance?</w:t>
      </w:r>
    </w:p>
    <w:p>
      <w:pPr>
        <w:spacing w:after="0" w:line="131" w:lineRule="exact"/>
        <w:rPr>
          <w:sz w:val="20"/>
          <w:szCs w:val="20"/>
          <w:color w:val="auto"/>
        </w:rPr>
      </w:pPr>
    </w:p>
    <w:p>
      <w:pPr>
        <w:ind w:left="460" w:right="20" w:hanging="452"/>
        <w:spacing w:after="0" w:line="29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110 of this joint proxy statement/prospectus.</w:t>
      </w:r>
    </w:p>
    <w:p>
      <w:pPr>
        <w:spacing w:after="0" w:line="19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61" w:lineRule="exact"/>
        <w:rPr>
          <w:sz w:val="20"/>
          <w:szCs w:val="20"/>
          <w:color w:val="auto"/>
        </w:rPr>
      </w:pPr>
    </w:p>
    <w:p>
      <w:pPr>
        <w:ind w:left="460" w:right="320" w:hanging="452"/>
        <w:spacing w:after="0" w:line="31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202 of this joint proxy statement/prospectus.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is 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9" w:lineRule="exact"/>
        <w:rPr>
          <w:rFonts w:ascii="Arial" w:cs="Arial" w:eastAsia="Arial" w:hAnsi="Arial"/>
          <w:sz w:val="16"/>
          <w:szCs w:val="16"/>
          <w:color w:val="auto"/>
        </w:rPr>
      </w:pPr>
    </w:p>
    <w:p>
      <w:pPr>
        <w:ind w:left="900" w:right="20" w:hanging="446"/>
        <w:spacing w:after="0" w:line="255"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Approval of Golden Parachute Compensation</w:t>
      </w:r>
      <w:r>
        <w:rPr>
          <w:rFonts w:ascii="Arial" w:cs="Arial" w:eastAsia="Arial" w:hAnsi="Arial"/>
          <w:sz w:val="18"/>
          <w:szCs w:val="18"/>
          <w:color w:val="auto"/>
        </w:rPr>
        <w:t>: The affirmative vote of a majority of the votes cast at the TWC special meeting by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TWC 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2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5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Stock Issuance</w:t>
      </w:r>
      <w:r>
        <w:rPr>
          <w:rFonts w:ascii="Arial" w:cs="Arial" w:eastAsia="Arial" w:hAnsi="Arial"/>
          <w:sz w:val="18"/>
          <w:szCs w:val="18"/>
          <w:color w:val="auto"/>
        </w:rPr>
        <w:t>: There are two vote requirements required to approve the stock issuance:</w:t>
      </w:r>
    </w:p>
    <w:p>
      <w:pPr>
        <w:spacing w:after="0" w:line="130" w:lineRule="exact"/>
        <w:rPr>
          <w:rFonts w:ascii="Arial" w:cs="Arial" w:eastAsia="Arial" w:hAnsi="Arial"/>
          <w:sz w:val="18"/>
          <w:szCs w:val="18"/>
          <w:color w:val="auto"/>
        </w:rPr>
      </w:pPr>
    </w:p>
    <w:p>
      <w:pPr>
        <w:ind w:left="1480" w:right="100" w:hanging="567"/>
        <w:spacing w:after="0" w:line="297" w:lineRule="auto"/>
        <w:tabs>
          <w:tab w:leader="none" w:pos="14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63" w:lineRule="exact"/>
        <w:rPr>
          <w:rFonts w:ascii="Arial" w:cs="Arial" w:eastAsia="Arial" w:hAnsi="Arial"/>
          <w:sz w:val="16"/>
          <w:szCs w:val="16"/>
          <w:color w:val="auto"/>
        </w:rPr>
      </w:pPr>
    </w:p>
    <w:p>
      <w:pPr>
        <w:ind w:left="1480" w:right="180" w:hanging="567"/>
        <w:spacing w:after="0" w:line="264" w:lineRule="auto"/>
        <w:tabs>
          <w:tab w:leader="none" w:pos="14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 0.03% of the outstanding shares of Comcast Class A common stock and 100% of the outstanding shares of Comcast Class B common stock, which together represent approximately 33.4% of the combined voting power of Comcast Class A common stock and Comcast Class B common stock for purposes of the single class vote. The voting agreement may be terminated under certain circumstances.</w:t>
      </w:r>
    </w:p>
    <w:p>
      <w:pPr>
        <w:spacing w:after="0" w:line="57" w:lineRule="exact"/>
        <w:rPr>
          <w:sz w:val="20"/>
          <w:szCs w:val="20"/>
          <w:color w:val="auto"/>
        </w:rPr>
      </w:pPr>
    </w:p>
    <w:p>
      <w:pPr>
        <w:ind w:left="920" w:right="380"/>
        <w:spacing w:after="0" w:line="279"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186 of this joint proxy statement/prospectus.</w:t>
      </w:r>
    </w:p>
    <w:p>
      <w:pPr>
        <w:spacing w:after="0" w:line="63"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written consent is sufficient to approve the stock issuance for purposes of the separate Class B vote. Accordingly, the only vote being sought at the Comcast special meeting on the proposal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0" w:lineRule="exact"/>
        <w:rPr>
          <w:sz w:val="20"/>
          <w:szCs w:val="20"/>
          <w:color w:val="auto"/>
        </w:rPr>
      </w:pPr>
    </w:p>
    <w:p>
      <w:pPr>
        <w:ind w:left="900" w:right="100" w:hanging="446"/>
        <w:spacing w:after="0" w:line="255"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Adjournment (if necessary)</w:t>
      </w:r>
      <w:r>
        <w:rPr>
          <w:rFonts w:ascii="Arial" w:cs="Arial" w:eastAsia="Arial" w:hAnsi="Arial"/>
          <w:sz w:val="18"/>
          <w:szCs w:val="18"/>
          <w:color w:val="auto"/>
        </w:rPr>
        <w:t>: Whether or not a quorum is present, the affirmative vote of a majority of the votes cast at the Comcast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TWC special meeting?</w:t>
      </w:r>
    </w:p>
    <w:p>
      <w:pPr>
        <w:spacing w:after="0" w:line="131" w:lineRule="exact"/>
        <w:rPr>
          <w:sz w:val="20"/>
          <w:szCs w:val="20"/>
          <w:color w:val="auto"/>
        </w:rPr>
      </w:pPr>
    </w:p>
    <w:p>
      <w:pPr>
        <w:ind w:left="460" w:right="40" w:hanging="452"/>
        <w:spacing w:after="0" w:line="279"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9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Comcast special meeting?</w:t>
      </w:r>
    </w:p>
    <w:p>
      <w:pPr>
        <w:spacing w:after="0" w:line="131" w:lineRule="exact"/>
        <w:rPr>
          <w:sz w:val="20"/>
          <w:szCs w:val="20"/>
          <w:color w:val="auto"/>
        </w:rPr>
      </w:pPr>
    </w:p>
    <w:p>
      <w:pPr>
        <w:ind w:left="46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46" w:lineRule="exact"/>
        <w:rPr>
          <w:rFonts w:ascii="Arial" w:cs="Arial" w:eastAsia="Arial" w:hAnsi="Arial"/>
          <w:sz w:val="16"/>
          <w:szCs w:val="16"/>
          <w:color w:val="auto"/>
        </w:rPr>
      </w:pPr>
    </w:p>
    <w:p>
      <w:pPr>
        <w:ind w:left="460" w:right="20"/>
        <w:spacing w:after="0" w:line="31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TWC special meeting, and how many votes does each holder of TWC common stock have?</w:t>
      </w:r>
    </w:p>
    <w:p>
      <w:pPr>
        <w:spacing w:after="0" w:line="131" w:lineRule="exact"/>
        <w:rPr>
          <w:sz w:val="20"/>
          <w:szCs w:val="20"/>
          <w:color w:val="auto"/>
        </w:rPr>
      </w:pPr>
    </w:p>
    <w:p>
      <w:pPr>
        <w:ind w:left="460" w:right="300" w:hanging="452"/>
        <w:spacing w:after="0" w:line="279"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holders of TWC common stock who held shares at the record date for the TWC special meeting (the close of business on August 18, 2014) are entitled to receive notice of, and to vote at, the TWC special meeting, provided that those shares remain outstanding on the date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9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Comcast special meeting?</w:t>
      </w:r>
    </w:p>
    <w:p>
      <w:pPr>
        <w:spacing w:after="0" w:line="131" w:lineRule="exact"/>
        <w:rPr>
          <w:sz w:val="20"/>
          <w:szCs w:val="20"/>
          <w:color w:val="auto"/>
        </w:rPr>
      </w:pPr>
    </w:p>
    <w:p>
      <w:pPr>
        <w:ind w:left="460" w:right="200" w:hanging="452"/>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 Class A shareholders and Comcast Class B shareholders who held shares at the record date for the Comcast special meeting (the close of business on August 18,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8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August 18, 2014, there were 2,151,130,406 shares of Comcast Class A common stock outstanding and 9,444,375 shares of Comcast Class B common stock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does each Comcast shareholder have?</w:t>
      </w:r>
    </w:p>
    <w:p>
      <w:pPr>
        <w:spacing w:after="0" w:line="131" w:lineRule="exact"/>
        <w:rPr>
          <w:sz w:val="20"/>
          <w:szCs w:val="20"/>
          <w:color w:val="auto"/>
        </w:rPr>
      </w:pPr>
    </w:p>
    <w:p>
      <w:pPr>
        <w:ind w:left="460" w:right="160" w:hanging="452"/>
        <w:spacing w:after="0" w:line="26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0.1317 votes for each share of Comcast Class A common stock owned by such shareholder and (ii) each Comcast Class B shareholder is entitled to 15 votes per share for each share of Comcast Class B common stock owned by such shareholder.</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hold shares in both TWC and Comcast?</w:t>
      </w:r>
    </w:p>
    <w:p>
      <w:pPr>
        <w:spacing w:after="0" w:line="131" w:lineRule="exact"/>
        <w:rPr>
          <w:sz w:val="20"/>
          <w:szCs w:val="20"/>
          <w:color w:val="auto"/>
        </w:rPr>
      </w:pPr>
    </w:p>
    <w:p>
      <w:pPr>
        <w:ind w:left="460" w:right="1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8"/>
          <w:szCs w:val="18"/>
          <w:b w:val="1"/>
          <w:bCs w:val="1"/>
          <w:color w:val="auto"/>
        </w:rPr>
        <w:t>Therefore, please sign, date, mark and return all proxy cards and/or voting instructions that you receive from TWC or Comcast, or</w:t>
      </w:r>
      <w:r>
        <w:rPr>
          <w:rFonts w:ascii="Arial" w:cs="Arial" w:eastAsia="Arial" w:hAnsi="Arial"/>
          <w:sz w:val="18"/>
          <w:szCs w:val="18"/>
          <w:color w:val="auto"/>
        </w:rPr>
        <w:t xml:space="preserve"> </w:t>
      </w:r>
      <w:r>
        <w:rPr>
          <w:rFonts w:ascii="Arial" w:cs="Arial" w:eastAsia="Arial" w:hAnsi="Arial"/>
          <w:sz w:val="18"/>
          <w:szCs w:val="18"/>
          <w:b w:val="1"/>
          <w:bCs w:val="1"/>
          <w:color w:val="auto"/>
        </w:rPr>
        <w:t>submit them over the Internet or by telephone.</w:t>
      </w:r>
    </w:p>
    <w:p>
      <w:pPr>
        <w:spacing w:after="0" w:line="2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TWC special meeting?</w:t>
      </w:r>
    </w:p>
    <w:p>
      <w:pPr>
        <w:spacing w:after="0" w:line="131" w:lineRule="exact"/>
        <w:rPr>
          <w:sz w:val="20"/>
          <w:szCs w:val="20"/>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TWC special meeting will be held on October 9, 2014, at The Bennack Theater at the Paley Center for Media, located at 25 West 52nd Street, New York, New York 10019, at 10:00 a.m., local time.</w:t>
      </w:r>
    </w:p>
    <w:p>
      <w:pPr>
        <w:spacing w:after="0" w:line="19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Comcast special meeting?</w:t>
      </w:r>
    </w:p>
    <w:p>
      <w:pPr>
        <w:spacing w:after="0" w:line="131" w:lineRule="exact"/>
        <w:rPr>
          <w:sz w:val="20"/>
          <w:szCs w:val="20"/>
          <w:color w:val="auto"/>
        </w:rPr>
      </w:pPr>
    </w:p>
    <w:p>
      <w:pPr>
        <w:ind w:left="460" w:right="74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Comcast special meeting will be held on October 8, 2014, at The Kimmel Center for the Performing Arts, located at 300 S. Broad Street, Philadelphia, Pennsylvania 19102, at 9:30 a.m., local time.</w:t>
      </w:r>
    </w:p>
    <w:p>
      <w:pPr>
        <w:spacing w:after="0" w:line="19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TWC special meeting?</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October 8, 2014.</w:t>
      </w:r>
    </w:p>
    <w:p>
      <w:pPr>
        <w:spacing w:after="0" w:line="78" w:lineRule="exact"/>
        <w:rPr>
          <w:rFonts w:ascii="Arial" w:cs="Arial" w:eastAsia="Arial" w:hAnsi="Arial"/>
          <w:sz w:val="18"/>
          <w:szCs w:val="18"/>
          <w:color w:val="auto"/>
        </w:rPr>
      </w:pPr>
    </w:p>
    <w:p>
      <w:pPr>
        <w:jc w:val="both"/>
        <w:ind w:left="460" w:right="420"/>
        <w:spacing w:after="0" w:line="264"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spacing w:after="0" w:line="302" w:lineRule="auto"/>
        <w:rPr>
          <w:rFonts w:ascii="Arial" w:cs="Arial" w:eastAsia="Arial" w:hAnsi="Arial"/>
          <w:sz w:val="18"/>
          <w:szCs w:val="18"/>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October 8, 2014.</w:t>
      </w:r>
    </w:p>
    <w:p>
      <w:pPr>
        <w:spacing w:after="0" w:line="46"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Person</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9"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in TWC’s 401(k) Plan</w:t>
      </w:r>
    </w:p>
    <w:p>
      <w:pPr>
        <w:spacing w:after="0" w:line="11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October 6, 2014, your interest will be voted at the TWC special meeting in the same proportion as other participants’ interests in the TWC Savings Plan for which Fidelity Management Trust Company has received voting instructions.</w:t>
      </w:r>
    </w:p>
    <w:p>
      <w:pPr>
        <w:spacing w:after="0" w:line="77"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2"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October 8, 2014, or TWC’s agent must receive your paper proxy card by mail no later than the close of business on October 8, 2014.</w:t>
      </w:r>
    </w:p>
    <w:p>
      <w:pPr>
        <w:spacing w:after="0" w:line="193" w:lineRule="exact"/>
        <w:rPr>
          <w:sz w:val="20"/>
          <w:szCs w:val="20"/>
          <w:color w:val="auto"/>
        </w:rPr>
      </w:pPr>
    </w:p>
    <w:p>
      <w:pPr>
        <w:ind w:left="460" w:right="500" w:hanging="452"/>
        <w:spacing w:after="0" w:line="277"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my shares of TWC common stock are held in “street name,” will my broker, bank, nominee or other holder of record automatically vote my shares for me?</w:t>
      </w:r>
    </w:p>
    <w:p>
      <w:pPr>
        <w:spacing w:after="0" w:line="76" w:lineRule="exact"/>
        <w:rPr>
          <w:sz w:val="20"/>
          <w:szCs w:val="20"/>
          <w:color w:val="auto"/>
        </w:rPr>
      </w:pPr>
    </w:p>
    <w:p>
      <w:pPr>
        <w:ind w:left="460" w:right="180" w:hanging="452"/>
        <w:spacing w:after="0" w:line="31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54" w:lineRule="exact"/>
        <w:rPr>
          <w:sz w:val="20"/>
          <w:szCs w:val="20"/>
          <w:color w:val="auto"/>
        </w:rPr>
      </w:pPr>
    </w:p>
    <w:p>
      <w:pPr>
        <w:ind w:left="460" w:right="48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proxy card and return it without indicating how to vote on any particular proposal, the shares of TWC common stock represented by your proxy will be voted in favor of that proposal.</w:t>
      </w:r>
    </w:p>
    <w:p>
      <w:pPr>
        <w:spacing w:after="0" w:line="19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Comcast special meeting?</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jc w:val="both"/>
        <w:ind w:left="460" w:right="160"/>
        <w:spacing w:after="0" w:line="34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October 7, 2014.</w:t>
      </w:r>
    </w:p>
    <w:p>
      <w:pPr>
        <w:spacing w:after="0" w:line="15" w:lineRule="exact"/>
        <w:rPr>
          <w:rFonts w:ascii="Arial" w:cs="Arial" w:eastAsia="Arial" w:hAnsi="Arial"/>
          <w:sz w:val="18"/>
          <w:szCs w:val="18"/>
          <w:color w:val="auto"/>
        </w:rPr>
      </w:pPr>
    </w:p>
    <w:p>
      <w:pPr>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October 7, 2014.</w:t>
      </w:r>
    </w:p>
    <w:p>
      <w:pPr>
        <w:spacing w:after="0" w:line="78"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 Person</w:t>
      </w:r>
    </w:p>
    <w:p>
      <w:pPr>
        <w:spacing w:after="0" w:line="117" w:lineRule="exact"/>
        <w:rPr>
          <w:rFonts w:ascii="Arial" w:cs="Arial" w:eastAsia="Arial" w:hAnsi="Arial"/>
          <w:sz w:val="18"/>
          <w:szCs w:val="18"/>
          <w:color w:val="auto"/>
        </w:rPr>
      </w:pPr>
    </w:p>
    <w:p>
      <w:pPr>
        <w:jc w:val="both"/>
        <w:ind w:left="460" w:right="140"/>
        <w:spacing w:after="0" w:line="286" w:lineRule="auto"/>
        <w:rPr>
          <w:rFonts w:ascii="Arial" w:cs="Arial" w:eastAsia="Arial" w:hAnsi="Arial"/>
          <w:sz w:val="18"/>
          <w:szCs w:val="18"/>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Shares held in Comcast Corporation Retirement-Investment Plan and Comcast Spectacor 401(k) Plan</w:t>
      </w:r>
    </w:p>
    <w:p>
      <w:pPr>
        <w:spacing w:after="0" w:line="117" w:lineRule="exact"/>
        <w:rPr>
          <w:rFonts w:ascii="Arial" w:cs="Arial" w:eastAsia="Arial" w:hAnsi="Arial"/>
          <w:sz w:val="18"/>
          <w:szCs w:val="18"/>
          <w:color w:val="auto"/>
        </w:rPr>
      </w:pPr>
    </w:p>
    <w:p>
      <w:pPr>
        <w:ind w:left="460"/>
        <w:spacing w:after="0" w:line="269" w:lineRule="auto"/>
        <w:rPr>
          <w:rFonts w:ascii="Arial" w:cs="Arial" w:eastAsia="Arial" w:hAnsi="Arial"/>
          <w:sz w:val="18"/>
          <w:szCs w:val="18"/>
          <w:color w:val="auto"/>
        </w:rPr>
      </w:pPr>
      <w:r>
        <w:rPr>
          <w:rFonts w:ascii="Arial" w:cs="Arial" w:eastAsia="Arial" w:hAnsi="Arial"/>
          <w:sz w:val="17"/>
          <w:szCs w:val="17"/>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spacing w:after="0" w:line="264" w:lineRule="auto"/>
        <w:rPr>
          <w:sz w:val="20"/>
          <w:szCs w:val="20"/>
          <w:color w:val="auto"/>
        </w:rPr>
      </w:pPr>
      <w:r>
        <w:rPr>
          <w:rFonts w:ascii="Arial" w:cs="Arial" w:eastAsia="Arial" w:hAnsi="Arial"/>
          <w:sz w:val="18"/>
          <w:szCs w:val="18"/>
          <w:color w:val="auto"/>
        </w:rPr>
        <w:t>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October 3, 2014.</w:t>
      </w:r>
    </w:p>
    <w:p>
      <w:pPr>
        <w:spacing w:after="0" w:line="69" w:lineRule="exact"/>
        <w:rPr>
          <w:sz w:val="20"/>
          <w:szCs w:val="20"/>
          <w:color w:val="auto"/>
        </w:rPr>
      </w:pPr>
    </w:p>
    <w:p>
      <w:pPr>
        <w:ind w:left="460" w:right="2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2"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October 7, 2014, or Comcast’s agent must receive your paper proxy card by mail no later than the close of business on October 7, 2014.</w:t>
      </w:r>
    </w:p>
    <w:p>
      <w:pPr>
        <w:spacing w:after="0" w:line="19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54" w:lineRule="exact"/>
        <w:rPr>
          <w:sz w:val="20"/>
          <w:szCs w:val="20"/>
          <w:color w:val="auto"/>
        </w:rPr>
      </w:pPr>
    </w:p>
    <w:p>
      <w:pPr>
        <w:ind w:left="460" w:right="40" w:hanging="452"/>
        <w:spacing w:after="0" w:line="286"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65" w:lineRule="exact"/>
        <w:rPr>
          <w:sz w:val="20"/>
          <w:szCs w:val="20"/>
          <w:color w:val="auto"/>
        </w:rPr>
      </w:pPr>
    </w:p>
    <w:p>
      <w:pPr>
        <w:ind w:left="460" w:right="6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TWC special meeting?</w:t>
      </w:r>
    </w:p>
    <w:p>
      <w:pPr>
        <w:spacing w:after="0" w:line="131" w:lineRule="exact"/>
        <w:rPr>
          <w:sz w:val="20"/>
          <w:szCs w:val="20"/>
          <w:color w:val="auto"/>
        </w:rPr>
      </w:pPr>
    </w:p>
    <w:p>
      <w:pPr>
        <w:ind w:left="46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TWC stockholders at the record date (the close of business on August 18,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85" w:lineRule="exact"/>
        <w:rPr>
          <w:rFonts w:ascii="Arial" w:cs="Arial" w:eastAsia="Arial" w:hAnsi="Arial"/>
          <w:sz w:val="18"/>
          <w:szCs w:val="18"/>
          <w:color w:val="auto"/>
        </w:rPr>
      </w:pPr>
    </w:p>
    <w:p>
      <w:pPr>
        <w:ind w:left="460" w:right="120"/>
        <w:spacing w:after="0" w:line="257" w:lineRule="auto"/>
        <w:rPr>
          <w:rFonts w:ascii="Arial" w:cs="Arial" w:eastAsia="Arial" w:hAnsi="Arial"/>
          <w:sz w:val="18"/>
          <w:szCs w:val="18"/>
          <w:color w:val="auto"/>
        </w:rPr>
      </w:pPr>
      <w:r>
        <w:rPr>
          <w:rFonts w:ascii="Arial" w:cs="Arial" w:eastAsia="Arial" w:hAnsi="Arial"/>
          <w:sz w:val="18"/>
          <w:szCs w:val="18"/>
          <w:color w:val="auto"/>
        </w:rPr>
        <w:t>If you are a beneficial owner of shares of TWC common stock held in “street name” by a broker, bank, nominee or other holder of record at the record date (the close of business on August 18,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TWC stockholders may contact TWC’s Investor Relations Department toll-free at (877) 446-3689 to obtain directions to the location of the TWC special meeting.</w:t>
      </w:r>
    </w:p>
    <w:p>
      <w:pPr>
        <w:spacing w:after="0" w:line="19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Comcast special meeting?</w:t>
      </w:r>
    </w:p>
    <w:p>
      <w:pPr>
        <w:spacing w:after="0" w:line="131" w:lineRule="exact"/>
        <w:rPr>
          <w:sz w:val="20"/>
          <w:szCs w:val="20"/>
          <w:color w:val="auto"/>
        </w:rPr>
      </w:pPr>
    </w:p>
    <w:p>
      <w:pPr>
        <w:ind w:left="46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Comcast shareholders at the record date (the close of business on August 18,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3"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August 18,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64"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Comcast shareholders may contact Comcast’s Investor Relations Department toll-free at (866) 281-2100 to obtain directions to the location of the Comcast special meeting.</w:t>
      </w:r>
    </w:p>
    <w:p>
      <w:pPr>
        <w:spacing w:after="0" w:line="19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my vote important?</w:t>
      </w:r>
    </w:p>
    <w:p>
      <w:pPr>
        <w:spacing w:after="0" w:line="131" w:lineRule="exact"/>
        <w:rPr>
          <w:sz w:val="20"/>
          <w:szCs w:val="20"/>
          <w:color w:val="auto"/>
        </w:rPr>
      </w:pPr>
    </w:p>
    <w:p>
      <w:pPr>
        <w:ind w:left="460" w:right="26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TWC stockholders adopt the merger agreement and Comcast shareholders approve the stock issuance.</w:t>
      </w:r>
    </w:p>
    <w:p>
      <w:pPr>
        <w:spacing w:after="0" w:line="58" w:lineRule="exact"/>
        <w:rPr>
          <w:rFonts w:ascii="Arial" w:cs="Arial" w:eastAsia="Arial" w:hAnsi="Arial"/>
          <w:sz w:val="18"/>
          <w:szCs w:val="18"/>
          <w:color w:val="auto"/>
        </w:rPr>
      </w:pPr>
    </w:p>
    <w:p>
      <w:pPr>
        <w:ind w:left="460"/>
        <w:spacing w:after="0" w:line="258" w:lineRule="auto"/>
        <w:rPr>
          <w:rFonts w:ascii="Arial" w:cs="Arial" w:eastAsia="Arial" w:hAnsi="Arial"/>
          <w:sz w:val="18"/>
          <w:szCs w:val="18"/>
          <w:color w:val="auto"/>
        </w:rPr>
      </w:pPr>
      <w:r>
        <w:rPr>
          <w:rFonts w:ascii="Arial" w:cs="Arial" w:eastAsia="Arial" w:hAnsi="Arial"/>
          <w:sz w:val="18"/>
          <w:szCs w:val="18"/>
          <w:color w:val="auto"/>
        </w:rPr>
        <w:t>For TWC stockholders,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 other holder of record will not be able to vote the shares on the adoption of the merger agreement, and such failure to give those instructions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w:t>
      </w:r>
    </w:p>
    <w:p>
      <w:pPr>
        <w:spacing w:after="0" w:line="75" w:lineRule="exact"/>
        <w:rPr>
          <w:rFonts w:ascii="Arial" w:cs="Arial" w:eastAsia="Arial" w:hAnsi="Arial"/>
          <w:sz w:val="18"/>
          <w:szCs w:val="18"/>
          <w:color w:val="auto"/>
        </w:rPr>
      </w:pPr>
    </w:p>
    <w:p>
      <w:pPr>
        <w:ind w:left="460" w:right="220"/>
        <w:spacing w:after="0" w:line="282" w:lineRule="auto"/>
        <w:rPr>
          <w:rFonts w:ascii="Arial" w:cs="Arial" w:eastAsia="Arial" w:hAnsi="Arial"/>
          <w:sz w:val="18"/>
          <w:szCs w:val="18"/>
          <w:color w:val="auto"/>
        </w:rPr>
      </w:pPr>
      <w:r>
        <w:rPr>
          <w:rFonts w:ascii="Arial" w:cs="Arial" w:eastAsia="Arial" w:hAnsi="Arial"/>
          <w:sz w:val="18"/>
          <w:szCs w:val="18"/>
          <w:color w:val="auto"/>
        </w:rPr>
        <w:t>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the Comcast board of directors unanimously recommends that Comcast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stock issuance.</w:t>
      </w:r>
    </w:p>
    <w:p>
      <w:pPr>
        <w:spacing w:after="0" w:line="1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revoke my proxy or change my voting instructions?</w:t>
      </w:r>
    </w:p>
    <w:p>
      <w:pPr>
        <w:spacing w:after="0" w:line="1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Yes. You may revoke your proxy or change your vote at any time before your proxy is voted at the applicable special meeting.</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If you are a stockholder of record at the record date (the close of business on August 18, 2014), you can revoke your proxy or change your vote by:</w:t>
      </w:r>
    </w:p>
    <w:p>
      <w:pPr>
        <w:spacing w:after="0" w:line="153"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TWC stockholder, to the General Counsel of TWC, at TWC’s offices at 60 Columbus Circle, New York, New York 10023, Attention: General Counsel; or,</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Comcast shareholder, to the Secretary of Comcast, at Comcast’s offices at One Comcast Center, Philadelphia, Pennsylvania 19103-2838, Attention: Secretary;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bears a date later than the date of the proxy you want to revoke and is received prior to the applicable special meeting;</w:t>
      </w:r>
    </w:p>
    <w:p>
      <w:pPr>
        <w:spacing w:after="0" w:line="131" w:lineRule="exact"/>
        <w:rPr>
          <w:sz w:val="20"/>
          <w:szCs w:val="20"/>
          <w:color w:val="auto"/>
        </w:rPr>
      </w:pPr>
    </w:p>
    <w:p>
      <w:pPr>
        <w:ind w:left="900" w:right="1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submitting a valid, later-dated proxy by mail that is received prior to the applicable special meeting, or via the Internet or by telephone before 11:59 p.m. (Eastern Time) on October 7, if you are a Comcast shareholder, or before 11:59 p.m. (Eastern Time) on October 8, 2014, if you are a TWC stockholder;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attending the applicable special meeting (or, if the applicable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73" w:lineRule="exact"/>
        <w:rPr>
          <w:sz w:val="20"/>
          <w:szCs w:val="20"/>
          <w:color w:val="auto"/>
        </w:rPr>
      </w:pPr>
    </w:p>
    <w:p>
      <w:pPr>
        <w:ind w:left="460" w:right="520"/>
        <w:spacing w:after="0" w:line="264" w:lineRule="auto"/>
        <w:rPr>
          <w:sz w:val="20"/>
          <w:szCs w:val="20"/>
          <w:color w:val="auto"/>
        </w:rPr>
      </w:pPr>
      <w:r>
        <w:rPr>
          <w:rFonts w:ascii="Arial" w:cs="Arial" w:eastAsia="Arial" w:hAnsi="Arial"/>
          <w:sz w:val="18"/>
          <w:szCs w:val="18"/>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20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TWC shares after the record date but before the TWC special meeting?</w:t>
      </w:r>
    </w:p>
    <w:p>
      <w:pPr>
        <w:spacing w:after="0" w:line="131" w:lineRule="exact"/>
        <w:rPr>
          <w:sz w:val="20"/>
          <w:szCs w:val="20"/>
          <w:color w:val="auto"/>
        </w:rPr>
      </w:pPr>
    </w:p>
    <w:p>
      <w:pPr>
        <w:ind w:left="460" w:hanging="452"/>
        <w:spacing w:after="0" w:line="25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record date for the TWC special meeting (the close of business on August 18,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21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Comcast shares after the record date but before the Comcast special meeting?</w:t>
      </w:r>
    </w:p>
    <w:p>
      <w:pPr>
        <w:spacing w:after="0" w:line="131" w:lineRule="exact"/>
        <w:rPr>
          <w:sz w:val="20"/>
          <w:szCs w:val="20"/>
          <w:color w:val="auto"/>
        </w:rPr>
      </w:pPr>
    </w:p>
    <w:p>
      <w:pPr>
        <w:ind w:left="460" w:right="60" w:hanging="452"/>
        <w:spacing w:after="0" w:line="31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record date for the Comcast special meeting (the close of business on August 18,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17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do if I receive more than one set of voting materials?</w:t>
      </w:r>
    </w:p>
    <w:p>
      <w:pPr>
        <w:spacing w:after="0" w:line="131" w:lineRule="exact"/>
        <w:rPr>
          <w:sz w:val="20"/>
          <w:szCs w:val="20"/>
          <w:color w:val="auto"/>
        </w:rPr>
      </w:pPr>
    </w:p>
    <w:p>
      <w:pPr>
        <w:ind w:left="460" w:right="20" w:hanging="452"/>
        <w:spacing w:after="0" w:line="297"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8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completion of the merger subject to any conditions?</w:t>
      </w:r>
    </w:p>
    <w:p>
      <w:pPr>
        <w:spacing w:after="0" w:line="131" w:lineRule="exact"/>
        <w:rPr>
          <w:sz w:val="20"/>
          <w:szCs w:val="20"/>
          <w:color w:val="auto"/>
        </w:rPr>
      </w:pPr>
    </w:p>
    <w:p>
      <w:pPr>
        <w:ind w:left="460" w:right="20" w:hanging="452"/>
        <w:spacing w:after="0" w:line="287"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166 of this joint proxy statement/prospectus.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to complete the merger?</w:t>
      </w:r>
    </w:p>
    <w:p>
      <w:pPr>
        <w:spacing w:after="0" w:line="131" w:lineRule="exact"/>
        <w:rPr>
          <w:sz w:val="20"/>
          <w:szCs w:val="20"/>
          <w:color w:val="auto"/>
        </w:rPr>
      </w:pPr>
    </w:p>
    <w:p>
      <w:pPr>
        <w:ind w:left="460" w:right="280" w:hanging="452"/>
        <w:spacing w:after="0" w:line="31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subject to satisfaction (or, to the extent permitted by applicable law, waiver) of the conditions to the parties’ obligations to complete the merger. However, no assurance can be given as to when, or if, the merger will be completed.</w:t>
      </w:r>
    </w:p>
    <w:p>
      <w:pPr>
        <w:spacing w:after="0" w:line="17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transaction expected to be taxable to TWC stockholders?</w:t>
      </w:r>
    </w:p>
    <w:p>
      <w:pPr>
        <w:spacing w:after="0" w:line="131" w:lineRule="exact"/>
        <w:rPr>
          <w:sz w:val="20"/>
          <w:szCs w:val="20"/>
          <w:color w:val="auto"/>
        </w:rPr>
      </w:pPr>
    </w:p>
    <w:p>
      <w:pPr>
        <w:ind w:left="460" w:right="100" w:hanging="452"/>
        <w:spacing w:after="0" w:line="30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159 of this joint proxy statement/prospectus.</w:t>
      </w:r>
    </w:p>
    <w:p>
      <w:pPr>
        <w:spacing w:after="0" w:line="18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1" w:lineRule="exact"/>
        <w:rPr>
          <w:sz w:val="20"/>
          <w:szCs w:val="20"/>
          <w:color w:val="auto"/>
        </w:rPr>
      </w:pPr>
    </w:p>
    <w:p>
      <w:pPr>
        <w:ind w:left="46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attending the applicable special meeting and voting by ballot in person.</w:t>
      </w:r>
    </w:p>
    <w:p>
      <w:pPr>
        <w:spacing w:after="0" w:line="11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73" w:lineRule="exact"/>
        <w:rPr>
          <w:sz w:val="20"/>
          <w:szCs w:val="20"/>
          <w:color w:val="auto"/>
        </w:rPr>
      </w:pPr>
    </w:p>
    <w:p>
      <w:pPr>
        <w:ind w:left="460" w:right="300"/>
        <w:spacing w:after="0" w:line="31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7 of this joint proxy statement/prospectus and “—How will my shares be represented at the Comcast special meeting, and what will happen if I return my proxy card without indicating how to vote?” beginning on page 9 of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Should I send in my TWC stock certificates now?</w:t>
      </w:r>
    </w:p>
    <w:p>
      <w:pPr>
        <w:spacing w:after="0" w:line="131" w:lineRule="exact"/>
        <w:rPr>
          <w:sz w:val="20"/>
          <w:szCs w:val="20"/>
          <w:color w:val="auto"/>
        </w:rPr>
      </w:pPr>
    </w:p>
    <w:p>
      <w:pPr>
        <w:jc w:val="both"/>
        <w:ind w:left="460" w:right="120" w:hanging="452"/>
        <w:spacing w:after="0" w:line="30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 Procedures for Surrendering TWC Stock Certificates” beginning on page 164 of this joint proxy statement/prospectus.</w:t>
      </w:r>
    </w:p>
    <w:p>
      <w:pPr>
        <w:spacing w:after="0" w:line="181" w:lineRule="exact"/>
        <w:rPr>
          <w:sz w:val="20"/>
          <w:szCs w:val="20"/>
          <w:color w:val="auto"/>
        </w:rPr>
      </w:pPr>
    </w:p>
    <w:p>
      <w:pPr>
        <w:ind w:left="460" w:right="200" w:hanging="452"/>
        <w:spacing w:after="0" w:line="277" w:lineRule="auto"/>
        <w:tabs>
          <w:tab w:leader="none" w:pos="4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current employee and holder of options issued by TWC to purchase shares of TWC common stock, or a holder of TWC restricted stock units, what will I receive in the merger?</w:t>
      </w:r>
    </w:p>
    <w:p>
      <w:pPr>
        <w:spacing w:after="0" w:line="76" w:lineRule="exact"/>
        <w:rPr>
          <w:sz w:val="20"/>
          <w:szCs w:val="20"/>
          <w:color w:val="auto"/>
        </w:rPr>
      </w:pPr>
    </w:p>
    <w:p>
      <w:pPr>
        <w:ind w:left="460" w:right="2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w:t>
      </w:r>
    </w:p>
    <w:p>
      <w:pPr>
        <w:ind w:left="460" w:right="180" w:hanging="6"/>
        <w:spacing w:after="0" w:line="261" w:lineRule="auto"/>
        <w:tabs>
          <w:tab w:leader="none" w:pos="6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price per share of TWC common stock subject to such option immediately prior to the completion of the merger divided by (ii) 2.875, with any fractional cents rounded up to the next higher number of whole cents.</w:t>
      </w:r>
    </w:p>
    <w:p>
      <w:pPr>
        <w:spacing w:after="0" w:line="76"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165 of this joint proxy statement/prospectus.</w:t>
      </w:r>
    </w:p>
    <w:p>
      <w:pPr>
        <w:spacing w:after="0" w:line="252" w:lineRule="exact"/>
        <w:rPr>
          <w:sz w:val="20"/>
          <w:szCs w:val="20"/>
          <w:color w:val="auto"/>
        </w:rPr>
      </w:pPr>
    </w:p>
    <w:p>
      <w:pPr>
        <w:ind w:left="460" w:right="560" w:hanging="452"/>
        <w:spacing w:after="0" w:line="277" w:lineRule="auto"/>
        <w:tabs>
          <w:tab w:leader="none" w:pos="4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6" w:lineRule="exact"/>
        <w:rPr>
          <w:sz w:val="20"/>
          <w:szCs w:val="20"/>
          <w:color w:val="auto"/>
        </w:rPr>
      </w:pPr>
    </w:p>
    <w:p>
      <w:pPr>
        <w:ind w:left="460" w:hanging="452"/>
        <w:spacing w:after="0" w:line="271"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0" w:lineRule="exact"/>
        <w:rPr>
          <w:rFonts w:ascii="Arial" w:cs="Arial" w:eastAsia="Arial" w:hAnsi="Arial"/>
          <w:sz w:val="17"/>
          <w:szCs w:val="17"/>
          <w:color w:val="auto"/>
        </w:rPr>
      </w:pPr>
    </w:p>
    <w:p>
      <w:pPr>
        <w:ind w:left="460" w:right="60"/>
        <w:spacing w:after="0" w:line="288" w:lineRule="auto"/>
        <w:rPr>
          <w:rFonts w:ascii="Arial" w:cs="Arial" w:eastAsia="Arial" w:hAnsi="Arial"/>
          <w:sz w:val="17"/>
          <w:szCs w:val="17"/>
          <w:color w:val="auto"/>
        </w:rPr>
      </w:pPr>
      <w:r>
        <w:rPr>
          <w:rFonts w:ascii="Arial" w:cs="Arial" w:eastAsia="Arial" w:hAnsi="Arial"/>
          <w:sz w:val="16"/>
          <w:szCs w:val="16"/>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w:t>
      </w:r>
    </w:p>
    <w:p>
      <w:pPr>
        <w:ind w:left="460" w:right="60" w:firstLine="4"/>
        <w:spacing w:after="0" w:line="261" w:lineRule="auto"/>
        <w:tabs>
          <w:tab w:leader="none" w:pos="7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2.875, with any fractional shares rounded down to the next lower whole number of shares of Comcast Class A common stock, and then multiplying the product of (x) and (y) by the Comcast closing price.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165 of this joint proxy statement/prospectus.</w:t>
      </w:r>
    </w:p>
    <w:p>
      <w:pPr>
        <w:spacing w:after="0" w:line="25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divestiture transactions, and am I being asked to vote on them?</w:t>
      </w:r>
    </w:p>
    <w:p>
      <w:pPr>
        <w:spacing w:after="0" w:line="131" w:lineRule="exact"/>
        <w:rPr>
          <w:sz w:val="20"/>
          <w:szCs w:val="20"/>
          <w:color w:val="auto"/>
        </w:rPr>
      </w:pPr>
    </w:p>
    <w:p>
      <w:pPr>
        <w:ind w:left="460" w:hanging="452"/>
        <w:spacing w:after="0" w:line="272"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April 25, 2014, Comcast entered into a binding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203 of this joint proxy statement/prospectus.</w:t>
      </w:r>
    </w:p>
    <w:p>
      <w:pPr>
        <w:spacing w:after="0" w:line="80"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20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divestiture transactions are not completed?</w:t>
      </w:r>
    </w:p>
    <w:p>
      <w:pPr>
        <w:spacing w:after="0" w:line="131" w:lineRule="exact"/>
        <w:rPr>
          <w:sz w:val="20"/>
          <w:szCs w:val="20"/>
          <w:color w:val="auto"/>
        </w:rPr>
      </w:pPr>
    </w:p>
    <w:p>
      <w:pPr>
        <w:ind w:left="460" w:right="80" w:hanging="452"/>
        <w:spacing w:after="0" w:line="276"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0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TWC stockholder, whom should I call with questions?</w:t>
      </w:r>
    </w:p>
    <w:p>
      <w:pPr>
        <w:spacing w:after="0" w:line="131" w:lineRule="exact"/>
        <w:rPr>
          <w:sz w:val="20"/>
          <w:szCs w:val="20"/>
          <w:color w:val="auto"/>
        </w:rPr>
      </w:pPr>
    </w:p>
    <w:p>
      <w:pPr>
        <w:ind w:left="460" w:right="4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TWC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proxy@mackenziepartners.com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ir@twcable.com</w:t>
      </w:r>
    </w:p>
    <w:p>
      <w:pPr>
        <w:spacing w:after="0" w:line="23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Comcast shareholder, whom should I call with questions?</w:t>
      </w:r>
    </w:p>
    <w:p>
      <w:pPr>
        <w:spacing w:after="0" w:line="131" w:lineRule="exact"/>
        <w:rPr>
          <w:sz w:val="20"/>
          <w:szCs w:val="20"/>
          <w:color w:val="auto"/>
        </w:rPr>
      </w:pPr>
    </w:p>
    <w:p>
      <w:pPr>
        <w:ind w:left="460" w:right="1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Comcast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 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Telephone: (866) 281-2100</w:t>
      </w:r>
    </w:p>
    <w:p>
      <w:pPr>
        <w:spacing w:after="0" w:line="238"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more information about TWC and Comcast?</w:t>
      </w:r>
    </w:p>
    <w:p>
      <w:pPr>
        <w:spacing w:after="0" w:line="131" w:lineRule="exact"/>
        <w:rPr>
          <w:sz w:val="20"/>
          <w:szCs w:val="20"/>
          <w:color w:val="auto"/>
        </w:rPr>
      </w:pPr>
    </w:p>
    <w:p>
      <w:pPr>
        <w:ind w:left="46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can find more information about TWC and Comcast from the various sources described under the heading “Where You Can Find More Information” beginning on page 244 of this joint proxy statement/prospectus.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240" w:top="459" w:right="11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 244 of this joint proxy statement/prospectus. Each item in this summary refers to the page of this joint proxy statement/prospectus on which that subject is discussed in more detail.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(See Page 80)</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117"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66" w:lineRule="exact"/>
        <w:rPr>
          <w:sz w:val="20"/>
          <w:szCs w:val="20"/>
          <w:color w:val="auto"/>
        </w:rPr>
      </w:pPr>
    </w:p>
    <w:p>
      <w:pPr>
        <w:ind w:left="1060" w:right="160" w:hanging="431"/>
        <w:spacing w:after="0" w:line="277"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and 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1060" w:right="36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1060" w:right="34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w:t>
      </w:r>
      <w:r>
        <w:rPr>
          <w:rFonts w:ascii="Arial" w:cs="Arial" w:eastAsia="Arial" w:hAnsi="Arial"/>
          <w:sz w:val="18"/>
          <w:szCs w:val="18"/>
          <w:b w:val="1"/>
          <w:bCs w:val="1"/>
          <w:color w:val="auto"/>
        </w:rPr>
        <w:t xml:space="preserve"> </w:t>
      </w:r>
      <w:r>
        <w:rPr>
          <w:rFonts w:ascii="Arial" w:cs="Arial" w:eastAsia="Arial" w:hAnsi="Arial"/>
          <w:sz w:val="18"/>
          <w:szCs w:val="18"/>
          <w:color w:val="auto"/>
        </w:rPr>
        <w:t>local broadcast television stations, and Comcast’s broadcast television production operations.</w:t>
      </w:r>
    </w:p>
    <w:p>
      <w:pPr>
        <w:spacing w:after="0" w:line="67" w:lineRule="exact"/>
        <w:rPr>
          <w:rFonts w:ascii="Arial" w:cs="Arial" w:eastAsia="Arial" w:hAnsi="Arial"/>
          <w:sz w:val="18"/>
          <w:szCs w:val="18"/>
          <w:color w:val="auto"/>
        </w:rPr>
      </w:pPr>
    </w:p>
    <w:p>
      <w:pPr>
        <w:ind w:left="1060" w:right="8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37"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trading market for shares of Comcast Class A common stock (NASDAQ: CMCSA) and shares of Comcast Class A Special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(NASDAQ: CMCSK) is NASDAQ. There is no established public</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920"/>
        <w:spacing w:after="0" w:line="342" w:lineRule="auto"/>
        <w:rPr>
          <w:sz w:val="20"/>
          <w:szCs w:val="20"/>
          <w:color w:val="auto"/>
        </w:rPr>
      </w:pPr>
      <w:r>
        <w:rPr>
          <w:rFonts w:ascii="Arial" w:cs="Arial" w:eastAsia="Arial" w:hAnsi="Arial"/>
          <w:sz w:val="16"/>
          <w:szCs w:val="16"/>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24"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244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Time Warner Cable Inc.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7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87"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244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Tango Acquisition Sub, Inc.</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81"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The principal executive offices of Merger Sub are located at One Comcast Center, Philadelphia, Pennsylvania 19103-2838; and its telephone number is (215) 286-1700.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(See Page 163)</w:t>
      </w:r>
    </w:p>
    <w:p>
      <w:pPr>
        <w:spacing w:after="0" w:line="121"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0" w:lineRule="exact"/>
        <w:rPr>
          <w:sz w:val="20"/>
          <w:szCs w:val="20"/>
          <w:color w:val="auto"/>
        </w:rPr>
      </w:pPr>
    </w:p>
    <w:p>
      <w:pPr>
        <w:ind w:left="200" w:right="620" w:firstLine="443"/>
        <w:spacing w:after="0" w:line="282" w:lineRule="auto"/>
        <w:rPr>
          <w:sz w:val="20"/>
          <w:szCs w:val="20"/>
          <w:color w:val="auto"/>
        </w:rPr>
      </w:pPr>
      <w:r>
        <w:rPr>
          <w:rFonts w:ascii="Arial" w:cs="Arial" w:eastAsia="Arial" w:hAnsi="Arial"/>
          <w:sz w:val="18"/>
          <w:szCs w:val="18"/>
          <w:color w:val="auto"/>
        </w:rPr>
        <w:t xml:space="preserve">A copy of the merger agreement is attached as Annex A to this joint proxy statement/prospectus. </w:t>
      </w:r>
      <w:r>
        <w:rPr>
          <w:rFonts w:ascii="Arial" w:cs="Arial" w:eastAsia="Arial" w:hAnsi="Arial"/>
          <w:sz w:val="18"/>
          <w:szCs w:val="18"/>
          <w:b w:val="1"/>
          <w:bCs w:val="1"/>
          <w:color w:val="auto"/>
        </w:rPr>
        <w:t>You should read 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because it is the legal document that governs the merger</w:t>
      </w:r>
      <w:r>
        <w:rPr>
          <w:rFonts w:ascii="Arial" w:cs="Arial" w:eastAsia="Arial" w:hAnsi="Arial"/>
          <w:sz w:val="18"/>
          <w:szCs w:val="18"/>
          <w:color w:val="auto"/>
        </w:rPr>
        <w: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Stockholders of TWC (See Page 87)</w:t>
      </w:r>
    </w:p>
    <w:p>
      <w:pPr>
        <w:spacing w:after="0" w:line="12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TWC special meeting will be held on October 9, 2014, at The Bennack Theater at the Paley Center for Media, located at 25 West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52nd Street, New York, New York 10019, at 10:00 a.m., local time. At the TWC special meeting, TWC stockholders will be asked to consider and vote on the following proposals:</w:t>
      </w:r>
    </w:p>
    <w:p>
      <w:pPr>
        <w:spacing w:after="0" w:line="87" w:lineRule="exact"/>
        <w:rPr>
          <w:sz w:val="20"/>
          <w:szCs w:val="20"/>
          <w:color w:val="auto"/>
        </w:rPr>
      </w:pPr>
    </w:p>
    <w:p>
      <w:pPr>
        <w:ind w:left="1060" w:right="300" w:hanging="431"/>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approve, on an advisory (non-binding) basis, “golden parachute” compensation payments that will or may be paid by TWC to its named executive officers in connection with the merger.</w:t>
      </w:r>
    </w:p>
    <w:p>
      <w:pPr>
        <w:spacing w:after="0" w:line="170"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TWC board of directors has fixed the close of business on August 18, 2014, as the record date for determination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7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The presence at the TWC special meeting, in person or by proxy, of the holders of a majority of the votes entitled to be cast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at the record date (the close of business on August 18,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89" w:lineRule="exact"/>
        <w:rPr>
          <w:sz w:val="20"/>
          <w:szCs w:val="20"/>
          <w:color w:val="auto"/>
        </w:rPr>
      </w:pPr>
    </w:p>
    <w:p>
      <w:pPr>
        <w:ind w:left="200" w:right="460" w:firstLine="443"/>
        <w:spacing w:after="0" w:line="342" w:lineRule="auto"/>
        <w:rPr>
          <w:sz w:val="20"/>
          <w:szCs w:val="20"/>
          <w:color w:val="auto"/>
        </w:rPr>
      </w:pPr>
      <w:r>
        <w:rPr>
          <w:rFonts w:ascii="Arial" w:cs="Arial" w:eastAsia="Arial" w:hAnsi="Arial"/>
          <w:sz w:val="16"/>
          <w:szCs w:val="16"/>
          <w:b w:val="1"/>
          <w:bCs w:val="1"/>
          <w:i w:val="1"/>
          <w:iCs w:val="1"/>
          <w:color w:val="auto"/>
        </w:rPr>
        <w:t>Adjournment</w:t>
      </w:r>
      <w:r>
        <w:rPr>
          <w:rFonts w:ascii="Arial" w:cs="Arial" w:eastAsia="Arial" w:hAnsi="Arial"/>
          <w:sz w:val="16"/>
          <w:szCs w:val="16"/>
          <w:color w:val="auto"/>
        </w:rPr>
        <w:t>. In accordance with TWC’s by-laws, the TWC special meeting may be adjourned by the Chairman of the meeting. If the TWC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meeting is adjourned, stockholders who have already submitted their proxies will be able to revoke them at any time prior to their use.</w:t>
      </w:r>
    </w:p>
    <w:p>
      <w:pPr>
        <w:spacing w:after="0" w:line="124"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entitled to vote 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w:t>
      </w:r>
      <w:r>
        <w:rPr>
          <w:rFonts w:ascii="Arial" w:cs="Arial" w:eastAsia="Arial" w:hAnsi="Arial"/>
          <w:sz w:val="17"/>
          <w:szCs w:val="17"/>
          <w:color w:val="auto"/>
        </w:rPr>
        <w:t xml:space="preserve"> </w:t>
      </w:r>
      <w:r>
        <w:rPr>
          <w:rFonts w:ascii="Arial" w:cs="Arial" w:eastAsia="Arial" w:hAnsi="Arial"/>
          <w:sz w:val="17"/>
          <w:szCs w:val="17"/>
          <w:b w:val="1"/>
          <w:bCs w:val="1"/>
          <w:color w:val="auto"/>
        </w:rPr>
        <w:t>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78"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78"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b w:val="1"/>
          <w:bCs w:val="1"/>
          <w:i w:val="1"/>
          <w:iCs w:val="1"/>
          <w:color w:val="auto"/>
        </w:rPr>
        <w:t>Stock Ownership of and Voting by TWC Directors and Executive Officers</w:t>
      </w:r>
      <w:r>
        <w:rPr>
          <w:rFonts w:ascii="Arial" w:cs="Arial" w:eastAsia="Arial" w:hAnsi="Arial"/>
          <w:sz w:val="18"/>
          <w:szCs w:val="18"/>
          <w:color w:val="auto"/>
        </w:rPr>
        <w:t>. At the record date for the TWC special meeting (the close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18, 2014), TWC’s directors and executive officers and their</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affiliates beneficially owned and had the right to vote 139,191 shares of TWC common stock at the TWC special meeting, which represents less than 0.1% of the shares of TWC common stock entitled to vote at the TWC special meeting.</w:t>
      </w:r>
    </w:p>
    <w:p>
      <w:pPr>
        <w:spacing w:after="0" w:line="166" w:lineRule="exact"/>
        <w:rPr>
          <w:sz w:val="20"/>
          <w:szCs w:val="20"/>
          <w:color w:val="auto"/>
        </w:rPr>
      </w:pPr>
    </w:p>
    <w:p>
      <w:pPr>
        <w:ind w:left="200" w:right="440" w:firstLine="443"/>
        <w:spacing w:after="0" w:line="313"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Shareholders of Comcast (See Page 81)</w:t>
      </w:r>
    </w:p>
    <w:p>
      <w:pPr>
        <w:spacing w:after="0" w:line="121"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Comcast special meeting will be held on October 8, 2014, at The Kimmel Center for the Performing Arts, located at 300 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Street, Philadelphia, Pennsylvania, at 9:30 a.m., local time. At the Comcast special meeting, Comcast shareholders will be asked to consider and vote on the following proposals:</w:t>
      </w:r>
    </w:p>
    <w:p>
      <w:pPr>
        <w:spacing w:after="0" w:line="87" w:lineRule="exact"/>
        <w:rPr>
          <w:sz w:val="20"/>
          <w:szCs w:val="20"/>
          <w:color w:val="auto"/>
        </w:rPr>
      </w:pPr>
    </w:p>
    <w:p>
      <w:pPr>
        <w:ind w:left="1060" w:hanging="431"/>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1060" w:right="560" w:hanging="431"/>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left="200" w:firstLine="443"/>
        <w:spacing w:after="0" w:line="254"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Comcast board of directors has fixed the close of business on August 18, 2014, as the record date for determination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shareholders entitled to 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August 18, 2014, there were 2,151,130,406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0.1317 votes for each share of Comcast Class A common stock owned by such shareholder and (ii) each Comcast Class B shareholder is entitled to 15 votes per share for each share of Comcast Class B common stock owned by such shareholder.</w:t>
      </w:r>
    </w:p>
    <w:p>
      <w:pPr>
        <w:spacing w:after="0" w:line="193"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b w:val="1"/>
          <w:bCs w:val="1"/>
          <w:i w:val="1"/>
          <w:iCs w:val="1"/>
          <w:color w:val="auto"/>
        </w:rPr>
        <w:t>Quorum</w:t>
      </w:r>
      <w:r>
        <w:rPr>
          <w:rFonts w:ascii="Arial" w:cs="Arial" w:eastAsia="Arial" w:hAnsi="Arial"/>
          <w:sz w:val="17"/>
          <w:szCs w:val="17"/>
          <w:color w:val="auto"/>
        </w:rPr>
        <w:t>. The presence at the Comcast special meeting, in person or by proxy, of the holders of a majority of votes entitled to be cast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at the record date (the close of business on August 18,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82" w:lineRule="exact"/>
        <w:rPr>
          <w:sz w:val="20"/>
          <w:szCs w:val="20"/>
          <w:color w:val="auto"/>
        </w:rPr>
      </w:pPr>
    </w:p>
    <w:p>
      <w:pPr>
        <w:ind w:left="200" w:right="100" w:firstLine="443"/>
        <w:spacing w:after="0" w:line="312" w:lineRule="auto"/>
        <w:rPr>
          <w:sz w:val="20"/>
          <w:szCs w:val="20"/>
          <w:color w:val="auto"/>
        </w:rPr>
      </w:pPr>
      <w:r>
        <w:rPr>
          <w:rFonts w:ascii="Arial" w:cs="Arial" w:eastAsia="Arial" w:hAnsi="Arial"/>
          <w:sz w:val="16"/>
          <w:szCs w:val="16"/>
          <w:b w:val="1"/>
          <w:bCs w:val="1"/>
          <w:i w:val="1"/>
          <w:iCs w:val="1"/>
          <w:color w:val="auto"/>
        </w:rPr>
        <w:t>Required Vote</w:t>
      </w:r>
      <w:r>
        <w:rPr>
          <w:rFonts w:ascii="Arial" w:cs="Arial" w:eastAsia="Arial" w:hAnsi="Arial"/>
          <w:sz w:val="16"/>
          <w:szCs w:val="16"/>
          <w:color w:val="auto"/>
        </w:rPr>
        <w:t>. To approve the stock issuance, the affirmative vote of a majority of the votes cast at the Comcast special meeting by Comcast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A shareholders and Comcast Class B shareholders, voting together as a single class, is required. </w:t>
      </w:r>
      <w:r>
        <w:rPr>
          <w:rFonts w:ascii="Arial" w:cs="Arial" w:eastAsia="Arial" w:hAnsi="Arial"/>
          <w:sz w:val="16"/>
          <w:szCs w:val="16"/>
          <w:b w:val="1"/>
          <w:bCs w:val="1"/>
          <w:color w:val="auto"/>
        </w:rPr>
        <w:t>Comcast cannot complete the merger unless its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approve the stock issuance. </w:t>
      </w:r>
      <w:r>
        <w:rPr>
          <w:rFonts w:ascii="Arial" w:cs="Arial" w:eastAsia="Arial" w:hAnsi="Arial"/>
          <w:sz w:val="16"/>
          <w:szCs w:val="16"/>
          <w:color w:val="auto"/>
        </w:rPr>
        <w:t>An abstention is not considered a vote cast. Accordingly, assuming a quorum is present, a Comcast</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8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89"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b w:val="1"/>
          <w:bCs w:val="1"/>
          <w:i w:val="1"/>
          <w:iCs w:val="1"/>
          <w:color w:val="auto"/>
        </w:rPr>
        <w:t xml:space="preserve">Stock Ownership of and Voting by Comcast Directors and Executive Officers. </w:t>
      </w:r>
      <w:r>
        <w:rPr>
          <w:rFonts w:ascii="Arial" w:cs="Arial" w:eastAsia="Arial" w:hAnsi="Arial"/>
          <w:sz w:val="18"/>
          <w:szCs w:val="18"/>
          <w:color w:val="auto"/>
        </w:rPr>
        <w:t>At the record date for the Comcast special meeting (the close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on August 18, 2014), Comcast’s directors and executive officers and their affiliates beneficially owned and had the right to vote 3,183,285 shares of Comcast Class A common stock at the Comcast special meeting, which represents approximately 0.15%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93"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Voting Agreement (See Page 186)</w:t>
      </w:r>
    </w:p>
    <w:p>
      <w:pPr>
        <w:spacing w:after="0" w:line="121" w:lineRule="exact"/>
        <w:rPr>
          <w:sz w:val="20"/>
          <w:szCs w:val="20"/>
          <w:color w:val="auto"/>
        </w:rPr>
      </w:pPr>
    </w:p>
    <w:p>
      <w:pPr>
        <w:jc w:val="both"/>
        <w:ind w:left="200" w:right="260" w:firstLine="443"/>
        <w:spacing w:after="0" w:line="264" w:lineRule="auto"/>
        <w:rPr>
          <w:sz w:val="20"/>
          <w:szCs w:val="20"/>
          <w:color w:val="auto"/>
        </w:rPr>
      </w:pPr>
      <w:r>
        <w:rPr>
          <w:rFonts w:ascii="Arial" w:cs="Arial" w:eastAsia="Arial" w:hAnsi="Arial"/>
          <w:sz w:val="18"/>
          <w:szCs w:val="18"/>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81" w:lineRule="exact"/>
        <w:rPr>
          <w:sz w:val="20"/>
          <w:szCs w:val="20"/>
          <w:color w:val="auto"/>
        </w:rPr>
      </w:pPr>
    </w:p>
    <w:p>
      <w:pPr>
        <w:jc w:val="both"/>
        <w:ind w:left="200" w:right="100" w:firstLine="443"/>
        <w:spacing w:after="0" w:line="259" w:lineRule="auto"/>
        <w:rPr>
          <w:sz w:val="20"/>
          <w:szCs w:val="20"/>
          <w:color w:val="auto"/>
        </w:rPr>
      </w:pPr>
      <w:r>
        <w:rPr>
          <w:rFonts w:ascii="Arial" w:cs="Arial" w:eastAsia="Arial" w:hAnsi="Arial"/>
          <w:sz w:val="18"/>
          <w:szCs w:val="18"/>
          <w:color w:val="auto"/>
        </w:rPr>
        <w:t>In addition, the Comcast shareholders who are parties to the voting agreement have agreed to vote all of their shares of Comcast Class A common stock and Comcast Class B common stock (i) in favor of the stock 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merger. The voting agreement imposes certain restrictions on these Comcast shareholders’ right to transfer shares of Comcast Class B common stock, as described under “The Voting Agreement,” beginning on page 186 of this joint proxy statement/prospectus. The voting agreement will terminate upon the earliest to occur of: (i) 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9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As of February 12, 2014, the Comcast shareholders who are parties to the voting agreement held in the aggregate 471,436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682,105 shares of Comcast Class A common stock (representing 0.03% of the outstanding shares of Comcast Class A common stock) and 9,444,375 shares of Comcast Class B common stock (representing 100% of the outstanding shares of Comcast Class B common stock), which together represent approximately 33.4% of the combined voting power of Comcast Class A common stock and Comcast Class B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voting agreement is attached as Annex B to this joint proxy statement/prospectus.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TWC Stockholders Will Receive in the Merger (See Page 164)</w:t>
      </w:r>
    </w:p>
    <w:p>
      <w:pPr>
        <w:spacing w:after="0" w:line="121"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24"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8"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181"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The ratio of 2.875 shares of Comcast Class A common stock for each share of TWC common stock, which is referred to in this joint proxy statement/prospectus as the exchange ratio, is fixed, which means that it will not 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 xml:space="preserve">stock on NASDAQ on August 29, 2014, the most recent practicable trading day prior to the date of this joint proxy statement/prospectus, the merger consideration represented approximately $157.32 in value for each share of TWC common stock. </w:t>
      </w:r>
      <w:r>
        <w:rPr>
          <w:rFonts w:ascii="Arial" w:cs="Arial" w:eastAsia="Arial" w:hAnsi="Arial"/>
          <w:sz w:val="18"/>
          <w:szCs w:val="18"/>
          <w:b w:val="1"/>
          <w:bCs w:val="1"/>
          <w:color w:val="auto"/>
        </w:rPr>
        <w:t>The market price of shares of Comcast Class A</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9" w:lineRule="exact"/>
        <w:rPr>
          <w:sz w:val="20"/>
          <w:szCs w:val="20"/>
          <w:color w:val="auto"/>
        </w:rPr>
      </w:pPr>
    </w:p>
    <w:p>
      <w:pPr>
        <w:ind w:left="200" w:right="740" w:firstLine="443"/>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Dissenters’ or Appraisal Rights (See Page 158)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TWC stockholders nor Comcast shareholders have dissenters’ or appraisal rights with respect to the merger.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TWC Equity Awards (See Page 165)</w:t>
      </w:r>
    </w:p>
    <w:p>
      <w:pPr>
        <w:spacing w:after="0" w:line="121" w:lineRule="exact"/>
        <w:rPr>
          <w:sz w:val="20"/>
          <w:szCs w:val="20"/>
          <w:color w:val="auto"/>
        </w:rPr>
      </w:pPr>
    </w:p>
    <w:p>
      <w:pPr>
        <w:ind w:left="200" w:right="180" w:firstLine="443"/>
        <w:spacing w:after="0" w:line="293" w:lineRule="auto"/>
        <w:rPr>
          <w:sz w:val="20"/>
          <w:szCs w:val="20"/>
          <w:color w:val="auto"/>
        </w:rPr>
      </w:pPr>
      <w:r>
        <w:rPr>
          <w:rFonts w:ascii="Arial" w:cs="Arial" w:eastAsia="Arial" w:hAnsi="Arial"/>
          <w:sz w:val="16"/>
          <w:szCs w:val="16"/>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6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9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18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For restricted stock units, the cash amount will be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TWC Board of Directors (See Page 105)</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8"/>
          <w:szCs w:val="18"/>
          <w:b w:val="1"/>
          <w:bCs w:val="1"/>
          <w:color w:val="auto"/>
        </w:rPr>
        <w:t>The TWC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unanimously recommends that TWC stockholders vote “FOR” the adoption of the merger agreement. </w:t>
      </w:r>
      <w:r>
        <w:rPr>
          <w:rFonts w:ascii="Arial" w:cs="Arial" w:eastAsia="Arial" w:hAnsi="Arial"/>
          <w:sz w:val="18"/>
          <w:szCs w:val="18"/>
          <w:color w:val="auto"/>
        </w:rPr>
        <w:t>For the factors considered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TWC board of directors in reaching this decision, see “TWC Proposal I: Adoption of the Merger Agreement and Comcast Proposal I: Approval of the Stock Issuance—TWC’s Reasons for the Merger; Recommendation of the Merger by the TWC Board of Directors” beginning on page 105 of this joint proxy statement/prospectus.</w:t>
      </w:r>
    </w:p>
    <w:p>
      <w:pPr>
        <w:spacing w:after="0" w:line="185" w:lineRule="exact"/>
        <w:rPr>
          <w:sz w:val="20"/>
          <w:szCs w:val="20"/>
          <w:color w:val="auto"/>
        </w:rPr>
      </w:pPr>
    </w:p>
    <w:p>
      <w:pPr>
        <w:ind w:left="200" w:right="180" w:firstLine="443"/>
        <w:spacing w:after="0" w:line="34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201 of this joint proxy statement/prospectus.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Comcast Board of Directors (See Page 110)</w:t>
      </w:r>
    </w:p>
    <w:p>
      <w:pPr>
        <w:spacing w:after="0" w:line="12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vote “FOR” the stock issuance. </w:t>
      </w:r>
      <w:r>
        <w:rPr>
          <w:rFonts w:ascii="Arial" w:cs="Arial" w:eastAsia="Arial" w:hAnsi="Arial"/>
          <w:sz w:val="16"/>
          <w:szCs w:val="16"/>
          <w:color w:val="auto"/>
        </w:rPr>
        <w:t>For the factors considered by the Comcast board of directors in reaching this decision, see “TWC</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 Adoption of the Merger Agreement and Comcast Proposal I: Approval of the Stock Issuance—Comcast’s Reasons for the Merger; Recommendation of the Comcast Board of Directors” beginning on page 110 of this joint proxy statement/prospectus.</w:t>
      </w:r>
    </w:p>
    <w:p>
      <w:pPr>
        <w:spacing w:after="0" w:line="163" w:lineRule="exact"/>
        <w:rPr>
          <w:sz w:val="20"/>
          <w:szCs w:val="20"/>
          <w:color w:val="auto"/>
        </w:rPr>
      </w:pPr>
    </w:p>
    <w:p>
      <w:pPr>
        <w:ind w:left="200" w:firstLine="443"/>
        <w:spacing w:after="0" w:line="289" w:lineRule="auto"/>
        <w:rPr>
          <w:sz w:val="20"/>
          <w:szCs w:val="20"/>
          <w:color w:val="auto"/>
        </w:rPr>
      </w:pPr>
      <w:r>
        <w:rPr>
          <w:rFonts w:ascii="Arial" w:cs="Arial" w:eastAsia="Arial" w:hAnsi="Arial"/>
          <w:sz w:val="17"/>
          <w:szCs w:val="17"/>
          <w:color w:val="auto"/>
        </w:rPr>
        <w:t>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202 of this joint proxy statement/prospectus.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Divestiture Transactions (See Page 203)</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203 of this joint proxy statement/prospectus.</w:t>
      </w:r>
    </w:p>
    <w:p>
      <w:pPr>
        <w:spacing w:after="0" w:line="166"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76"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TWC’s Financial Advisors (See Page 113)</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9"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7"/>
          <w:szCs w:val="17"/>
          <w:b w:val="1"/>
          <w:bCs w:val="1"/>
          <w:color w:val="auto"/>
        </w:rPr>
        <w:t>Allen &amp; Company’s</w:t>
      </w:r>
      <w:r>
        <w:rPr>
          <w:rFonts w:ascii="Arial" w:cs="Arial" w:eastAsia="Arial" w:hAnsi="Arial"/>
          <w:sz w:val="17"/>
          <w:szCs w:val="17"/>
          <w:color w:val="auto"/>
        </w:rPr>
        <w:t xml:space="preserve"> </w:t>
      </w:r>
      <w:r>
        <w:rPr>
          <w:rFonts w:ascii="Arial" w:cs="Arial" w:eastAsia="Arial" w:hAnsi="Arial"/>
          <w:sz w:val="17"/>
          <w:szCs w:val="17"/>
          <w:b w:val="1"/>
          <w:bCs w:val="1"/>
          <w:color w:val="auto"/>
        </w:rPr>
        <w:t>opinion was 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5" w:lineRule="exact"/>
        <w:rPr>
          <w:sz w:val="20"/>
          <w:szCs w:val="20"/>
          <w:color w:val="auto"/>
        </w:rPr>
      </w:pPr>
    </w:p>
    <w:p>
      <w:pPr>
        <w:jc w:val="both"/>
        <w:ind w:left="200" w:right="220" w:firstLine="443"/>
        <w:spacing w:after="0" w:line="264" w:lineRule="auto"/>
        <w:rPr>
          <w:sz w:val="20"/>
          <w:szCs w:val="20"/>
          <w:color w:val="auto"/>
        </w:rPr>
      </w:pPr>
      <w:r>
        <w:rPr>
          <w:rFonts w:ascii="Arial" w:cs="Arial" w:eastAsia="Arial" w:hAnsi="Arial"/>
          <w:sz w:val="18"/>
          <w:szCs w:val="18"/>
          <w:color w:val="auto"/>
        </w:rPr>
        <w:t>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 xml:space="preserve">forth below is qualified in its entirety by reference to the full text of Citi’s opinion. </w:t>
      </w:r>
      <w:r>
        <w:rPr>
          <w:rFonts w:ascii="Arial" w:cs="Arial" w:eastAsia="Arial" w:hAnsi="Arial"/>
          <w:sz w:val="18"/>
          <w:szCs w:val="18"/>
          <w:b w:val="1"/>
          <w:bCs w:val="1"/>
          <w:color w:val="auto"/>
        </w:rPr>
        <w:t>Citi’s opinion was provided for the information of the TWC</w:t>
      </w:r>
      <w:r>
        <w:rPr>
          <w:rFonts w:ascii="Arial" w:cs="Arial" w:eastAsia="Arial" w:hAnsi="Arial"/>
          <w:sz w:val="18"/>
          <w:szCs w:val="18"/>
          <w:color w:val="auto"/>
        </w:rPr>
        <w:t xml:space="preserve"> </w:t>
      </w:r>
      <w:r>
        <w:rPr>
          <w:rFonts w:ascii="Arial" w:cs="Arial" w:eastAsia="Arial" w:hAnsi="Arial"/>
          <w:sz w:val="18"/>
          <w:szCs w:val="18"/>
          <w:b w:val="1"/>
          <w:bCs w:val="1"/>
          <w:color w:val="auto"/>
        </w:rPr>
        <w:t>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7"/>
          <w:szCs w:val="17"/>
          <w:b w:val="1"/>
          <w:bCs w:val="1"/>
          <w:color w:val="auto"/>
        </w:rPr>
        <w:t>Morgan Stanley’s opinion was directed to the TWC board of directors and addressed only the fairness from a</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Financial Advisor to the TWC Independent Directors (See Page 128)</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TWC as treasury stock or owned by Comcast prior to the effective time of the merger, which are referred to in this joint proxy statement/prospectus as excluded shares).</w:t>
      </w:r>
    </w:p>
    <w:p>
      <w:pPr>
        <w:spacing w:after="0" w:line="170" w:lineRule="exact"/>
        <w:rPr>
          <w:sz w:val="20"/>
          <w:szCs w:val="20"/>
          <w:color w:val="auto"/>
        </w:rPr>
      </w:pPr>
    </w:p>
    <w:p>
      <w:pPr>
        <w:ind w:left="200" w:right="100" w:firstLine="443"/>
        <w:spacing w:after="0" w:line="288" w:lineRule="auto"/>
        <w:rPr>
          <w:sz w:val="20"/>
          <w:szCs w:val="20"/>
          <w:color w:val="auto"/>
        </w:rPr>
      </w:pPr>
      <w:r>
        <w:rPr>
          <w:rFonts w:ascii="Arial" w:cs="Arial" w:eastAsia="Arial" w:hAnsi="Arial"/>
          <w:sz w:val="16"/>
          <w:szCs w:val="16"/>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6"/>
          <w:szCs w:val="16"/>
          <w:b w:val="1"/>
          <w:bCs w:val="1"/>
          <w:color w:val="auto"/>
        </w:rPr>
        <w:t>Centerview’s opinion was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Comcast’s Financial Advisor (See Page 137)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82"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For further information, see “TWC Proposal I: Adoption of the Merger Agreement and Comcast Proposal I: Approval of the Stock Issuance— Opinion of Comcast’s Financial Advisor” beginning on page 137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Shares of Comcast Class A Common Stock After the Merger (See Page 93)</w:t>
      </w:r>
    </w:p>
    <w:p>
      <w:pPr>
        <w:spacing w:after="0" w:line="121"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August 29, 2014, Comcast expects to issue approximately 806 million shares of Comcast Class A common stock to TWC stockholders pursuant to the merger and reserve for issuance approximately 54 million additional shares of Comcast Class A common stock in connection with the conversion, exercise or</w:t>
      </w: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settlement of outstanding 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Directors and Executive Officers of TWC in the Merger (See Page 188)</w:t>
      </w:r>
    </w:p>
    <w:p>
      <w:pPr>
        <w:spacing w:after="0" w:line="121"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interests include the following:</w:t>
      </w:r>
    </w:p>
    <w:p>
      <w:pPr>
        <w:spacing w:after="0" w:line="131" w:lineRule="exact"/>
        <w:rPr>
          <w:sz w:val="20"/>
          <w:szCs w:val="20"/>
          <w:color w:val="auto"/>
        </w:rPr>
      </w:pPr>
    </w:p>
    <w:p>
      <w:pPr>
        <w:ind w:left="1060" w:right="80" w:hanging="431"/>
        <w:spacing w:after="0" w:line="25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93" w:lineRule="exact"/>
        <w:rPr>
          <w:rFonts w:ascii="Arial" w:cs="Arial" w:eastAsia="Arial" w:hAnsi="Arial"/>
          <w:sz w:val="18"/>
          <w:szCs w:val="18"/>
          <w:color w:val="auto"/>
        </w:rPr>
      </w:pPr>
    </w:p>
    <w:p>
      <w:pPr>
        <w:jc w:val="both"/>
        <w:ind w:left="1060" w:right="280" w:hanging="431"/>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29" w:lineRule="exact"/>
        <w:rPr>
          <w:rFonts w:ascii="Arial" w:cs="Arial" w:eastAsia="Arial" w:hAnsi="Arial"/>
          <w:sz w:val="16"/>
          <w:szCs w:val="16"/>
          <w:color w:val="auto"/>
        </w:rPr>
      </w:pPr>
    </w:p>
    <w:p>
      <w:pPr>
        <w:ind w:left="1060" w:hanging="431"/>
        <w:spacing w:after="0" w:line="268"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 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9"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76" w:lineRule="exact"/>
        <w:rPr>
          <w:rFonts w:ascii="Arial" w:cs="Arial" w:eastAsia="Arial" w:hAnsi="Arial"/>
          <w:sz w:val="17"/>
          <w:szCs w:val="17"/>
          <w:color w:val="auto"/>
        </w:rPr>
      </w:pPr>
    </w:p>
    <w:p>
      <w:pPr>
        <w:ind w:left="1060" w:right="240" w:hanging="431"/>
        <w:spacing w:after="0" w:line="27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83" w:lineRule="exact"/>
        <w:rPr>
          <w:rFonts w:ascii="Arial" w:cs="Arial" w:eastAsia="Arial" w:hAnsi="Arial"/>
          <w:sz w:val="17"/>
          <w:szCs w:val="17"/>
          <w:color w:val="auto"/>
        </w:rPr>
      </w:pPr>
    </w:p>
    <w:p>
      <w:pPr>
        <w:ind w:left="1060" w:right="40" w:hanging="431"/>
        <w:spacing w:after="0" w:line="297"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63" w:lineRule="exact"/>
        <w:rPr>
          <w:rFonts w:ascii="Arial" w:cs="Arial" w:eastAsia="Arial" w:hAnsi="Arial"/>
          <w:sz w:val="16"/>
          <w:szCs w:val="16"/>
          <w:color w:val="auto"/>
        </w:rPr>
      </w:pPr>
    </w:p>
    <w:p>
      <w:pPr>
        <w:ind w:left="1060" w:right="380" w:hanging="431"/>
        <w:spacing w:after="0" w:line="30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51" w:lineRule="exact"/>
        <w:rPr>
          <w:rFonts w:ascii="Arial" w:cs="Arial" w:eastAsia="Arial" w:hAnsi="Arial"/>
          <w:sz w:val="17"/>
          <w:szCs w:val="17"/>
          <w:color w:val="auto"/>
        </w:rPr>
      </w:pPr>
    </w:p>
    <w:p>
      <w:pPr>
        <w:jc w:val="both"/>
        <w:ind w:left="1060" w:right="360" w:hanging="431"/>
        <w:spacing w:after="0" w:line="286"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214 of this joint proxy statement/prospectus for further details.</w:t>
      </w:r>
    </w:p>
    <w:p>
      <w:pPr>
        <w:spacing w:after="0" w:line="70" w:lineRule="exact"/>
        <w:rPr>
          <w:rFonts w:ascii="Arial" w:cs="Arial" w:eastAsia="Arial" w:hAnsi="Arial"/>
          <w:sz w:val="17"/>
          <w:szCs w:val="17"/>
          <w:color w:val="auto"/>
        </w:rPr>
      </w:pPr>
    </w:p>
    <w:p>
      <w:pPr>
        <w:ind w:left="1060" w:right="940" w:hanging="431"/>
        <w:spacing w:after="0" w:line="342"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Certain former directors and officers of TWC will have rights to indemnification from Comcast. See “The Merger Agreement— Indemnification and Insurance” beginning on page 180 of this joint proxy statement/prospectus for further details.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These interests are described in further detail under “Interests of Certain Persons in the Merger—Interests of Directors and Executive Officers of TWC in the Merger” and “The Merger Agreement—Indemnification and Insurance” beginning on pages 188 and 180, respectively,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 (See Page 161)</w:t>
      </w:r>
    </w:p>
    <w:p>
      <w:pPr>
        <w:spacing w:after="0" w:line="12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Comcast will apply for listing on NASDAQ, where shares of Comcast Class A common stock are currently traded, of the shares of Comcast Class A common stock to be issued in the merger. If the merger is completed, the shares of Comcast Class A common stock to be issued in the merger will be listed on NASDAQ, and TWC shares will no longer be listed on the New York Stock Exchange and will be deregistered under the Exchange Act.</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(See Page 166)</w:t>
      </w:r>
    </w:p>
    <w:p>
      <w:pPr>
        <w:spacing w:after="0" w:line="121"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87" w:lineRule="exact"/>
        <w:rPr>
          <w:sz w:val="20"/>
          <w:szCs w:val="20"/>
          <w:color w:val="auto"/>
        </w:rPr>
      </w:pPr>
    </w:p>
    <w:p>
      <w:pPr>
        <w:ind w:left="1060" w:right="14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outstanding shares of TWC common stock entitled to vote;</w:t>
      </w:r>
    </w:p>
    <w:p>
      <w:pPr>
        <w:spacing w:after="0" w:line="75" w:lineRule="exact"/>
        <w:rPr>
          <w:rFonts w:ascii="Arial" w:cs="Arial" w:eastAsia="Arial" w:hAnsi="Arial"/>
          <w:sz w:val="18"/>
          <w:szCs w:val="18"/>
          <w:color w:val="auto"/>
        </w:rPr>
      </w:pPr>
    </w:p>
    <w:p>
      <w:pPr>
        <w:ind w:left="1060" w:right="100" w:hanging="431"/>
        <w:spacing w:after="0" w:line="279"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76" w:lineRule="exact"/>
        <w:rPr>
          <w:rFonts w:ascii="Arial" w:cs="Arial" w:eastAsia="Arial" w:hAnsi="Arial"/>
          <w:sz w:val="17"/>
          <w:szCs w:val="17"/>
          <w:color w:val="auto"/>
        </w:rPr>
      </w:pPr>
    </w:p>
    <w:p>
      <w:pPr>
        <w:ind w:left="1060" w:right="40" w:hanging="431"/>
        <w:spacing w:after="0" w:line="259"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 —Reasonable Best Efforts Covenant” beginning on page 178 of this joint proxy statement/prospectus for a definition of burdensome condition));</w:t>
      </w:r>
    </w:p>
    <w:p>
      <w:pPr>
        <w:spacing w:after="0" w:line="92" w:lineRule="exact"/>
        <w:rPr>
          <w:rFonts w:ascii="Arial" w:cs="Arial" w:eastAsia="Arial" w:hAnsi="Arial"/>
          <w:sz w:val="18"/>
          <w:szCs w:val="18"/>
          <w:color w:val="auto"/>
        </w:rPr>
      </w:pPr>
    </w:p>
    <w:p>
      <w:pPr>
        <w:ind w:left="1060" w:hanging="431"/>
        <w:spacing w:after="0" w:line="25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155 of this joint proxy statement/prospectus);</w:t>
      </w:r>
    </w:p>
    <w:p>
      <w:pPr>
        <w:spacing w:after="0" w:line="97" w:lineRule="exact"/>
        <w:rPr>
          <w:rFonts w:ascii="Arial" w:cs="Arial" w:eastAsia="Arial" w:hAnsi="Arial"/>
          <w:sz w:val="18"/>
          <w:szCs w:val="18"/>
          <w:color w:val="auto"/>
        </w:rPr>
      </w:pPr>
    </w:p>
    <w:p>
      <w:pPr>
        <w:jc w:val="both"/>
        <w:ind w:left="1060" w:right="40" w:hanging="431"/>
        <w:spacing w:after="0" w:line="302"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59" w:lineRule="exact"/>
        <w:rPr>
          <w:rFonts w:ascii="Arial" w:cs="Arial" w:eastAsia="Arial" w:hAnsi="Arial"/>
          <w:sz w:val="16"/>
          <w:szCs w:val="16"/>
          <w:color w:val="auto"/>
        </w:rPr>
      </w:pPr>
    </w:p>
    <w:p>
      <w:pPr>
        <w:ind w:left="1060" w:right="20" w:hanging="431"/>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6"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153" w:lineRule="exact"/>
        <w:rPr>
          <w:rFonts w:ascii="Arial" w:cs="Arial" w:eastAsia="Arial" w:hAnsi="Arial"/>
          <w:sz w:val="16"/>
          <w:szCs w:val="16"/>
          <w:color w:val="auto"/>
        </w:rPr>
      </w:pPr>
    </w:p>
    <w:p>
      <w:pPr>
        <w:ind w:left="1060" w:right="14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performance in all material respects by the other party of the material obligations required to be performed by it at or prior to completion of the merger;</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absence of a material adverse effect on the other party (see “The Merger Agreement—Definition of ‘Material Adverse Effect’” beginning on page 169 of this joint proxy statement/prospectus for the definition of material adverse effect);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431"/>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as to the satisfaction of the conditions described in the preceding three bullets with respect to such other party; and</w:t>
      </w:r>
    </w:p>
    <w:p>
      <w:pPr>
        <w:spacing w:after="0" w:line="75"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48"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203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May Not Be Completed Without All Required Regulatory Approvals (See Page 155)</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81"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9"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78"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88"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73" w:lineRule="exact"/>
        <w:rPr>
          <w:sz w:val="20"/>
          <w:szCs w:val="20"/>
          <w:color w:val="auto"/>
        </w:rPr>
      </w:pPr>
    </w:p>
    <w:p>
      <w:pPr>
        <w:jc w:val="both"/>
        <w:ind w:left="200" w:right="160" w:firstLine="443"/>
        <w:spacing w:after="0" w:line="312" w:lineRule="auto"/>
        <w:rPr>
          <w:sz w:val="20"/>
          <w:szCs w:val="20"/>
          <w:color w:val="auto"/>
        </w:rPr>
      </w:pPr>
      <w:r>
        <w:rPr>
          <w:rFonts w:ascii="Arial" w:cs="Arial" w:eastAsia="Arial" w:hAnsi="Arial"/>
          <w:sz w:val="16"/>
          <w:szCs w:val="16"/>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4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Comcast’s obligation to use reasonable best efforts to obtain all regulatory approvals required to complete the merger does not require Comcast to (and, without Comcast’s prior written consent, TWC is not permitted to):</w:t>
      </w:r>
    </w:p>
    <w:p>
      <w:pPr>
        <w:spacing w:after="0" w:line="76" w:lineRule="exact"/>
        <w:rPr>
          <w:sz w:val="20"/>
          <w:szCs w:val="20"/>
          <w:color w:val="auto"/>
        </w:rPr>
      </w:pPr>
    </w:p>
    <w:p>
      <w:pPr>
        <w:ind w:left="1060" w:hanging="431"/>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1060" w:right="300" w:hanging="431"/>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Notwithstanding the first two bullets above, (i) Comcast is prepared to divest up to approximately three million subscribers of the combined company and (ii) 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178 of this joint proxy statement/prospectus.</w:t>
      </w:r>
    </w:p>
    <w:p>
      <w:pPr>
        <w:spacing w:after="0" w:line="18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67"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203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203 of this joint proxy statement/prospectus.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Expect to Complete the Merger in Early 2015 (See Page 163)</w:t>
      </w:r>
    </w:p>
    <w:p>
      <w:pPr>
        <w:spacing w:after="0" w:line="12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we expect to complete the merger in early 2015 due to our current expectations regarding the timing of certain regulatory approvals. However, there can be no assurance as to when, or if, the merger will occur.</w:t>
      </w:r>
    </w:p>
    <w:p>
      <w:pPr>
        <w:spacing w:after="0" w:line="187"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TWC (See Page 174)</w:t>
      </w:r>
    </w:p>
    <w:p>
      <w:pPr>
        <w:spacing w:after="0" w:line="121"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174 of this joint proxy statement/prospectus),</w:t>
      </w:r>
    </w:p>
    <w:p>
      <w:pPr>
        <w:spacing w:after="0" w:line="2" w:lineRule="exact"/>
        <w:rPr>
          <w:sz w:val="20"/>
          <w:szCs w:val="20"/>
          <w:color w:val="auto"/>
        </w:rPr>
      </w:pPr>
    </w:p>
    <w:p>
      <w:pPr>
        <w:ind w:left="200" w:right="60" w:hanging="3"/>
        <w:spacing w:after="0" w:line="286" w:lineRule="auto"/>
        <w:tabs>
          <w:tab w:leader="none" w:pos="46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Agreement—No Solicitation by TWC,” beginning on page 174 of this joint proxy statement/prospectus).</w:t>
      </w:r>
    </w:p>
    <w:p>
      <w:pPr>
        <w:spacing w:after="0" w:line="167" w:lineRule="exact"/>
        <w:rPr>
          <w:sz w:val="20"/>
          <w:szCs w:val="20"/>
          <w:color w:val="auto"/>
        </w:rPr>
      </w:pPr>
    </w:p>
    <w:p>
      <w:pPr>
        <w:ind w:left="200" w:right="780" w:firstLine="443"/>
        <w:spacing w:after="0" w:line="277" w:lineRule="auto"/>
        <w:rPr>
          <w:sz w:val="20"/>
          <w:szCs w:val="20"/>
          <w:color w:val="auto"/>
        </w:rPr>
      </w:pPr>
      <w:r>
        <w:rPr>
          <w:rFonts w:ascii="Arial" w:cs="Arial" w:eastAsia="Arial" w:hAnsi="Arial"/>
          <w:sz w:val="18"/>
          <w:szCs w:val="18"/>
          <w:color w:val="auto"/>
        </w:rPr>
        <w:t>Notwithstanding the foregoing, at any time prior to the adoption of the merger agreement by TWC stockholders, subject to the terms and conditions described in the merger agreement, TWC is permitted to:</w:t>
      </w:r>
    </w:p>
    <w:p>
      <w:pPr>
        <w:spacing w:after="0" w:line="76" w:lineRule="exact"/>
        <w:rPr>
          <w:sz w:val="20"/>
          <w:szCs w:val="20"/>
          <w:color w:val="auto"/>
        </w:rPr>
      </w:pPr>
    </w:p>
    <w:p>
      <w:pPr>
        <w:ind w:left="1060" w:hanging="431"/>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 and</w:t>
      </w:r>
    </w:p>
    <w:p>
      <w:pPr>
        <w:spacing w:after="0" w:line="83" w:lineRule="exact"/>
        <w:rPr>
          <w:rFonts w:ascii="Arial" w:cs="Arial" w:eastAsia="Arial" w:hAnsi="Arial"/>
          <w:sz w:val="17"/>
          <w:szCs w:val="17"/>
          <w:color w:val="auto"/>
        </w:rPr>
      </w:pPr>
    </w:p>
    <w:p>
      <w:pPr>
        <w:ind w:left="1060" w:right="200" w:hanging="431"/>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under “The Merger Agreement—No Solicitation by TWC,” beginning on page 174 of this joint proxy statement/prospectus).</w:t>
      </w:r>
    </w:p>
    <w:p>
      <w:pPr>
        <w:spacing w:after="0" w:line="18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hanging="3"/>
        <w:spacing w:after="0" w:line="259" w:lineRule="auto"/>
        <w:tabs>
          <w:tab w:leader="none" w:pos="4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w:t>
      </w:r>
    </w:p>
    <w:p>
      <w:pPr>
        <w:spacing w:after="0" w:line="46" w:lineRule="exact"/>
        <w:rPr>
          <w:sz w:val="20"/>
          <w:szCs w:val="20"/>
          <w:color w:val="auto"/>
        </w:rPr>
      </w:pPr>
    </w:p>
    <w:p>
      <w:pPr>
        <w:ind w:left="200" w:right="180" w:hanging="3"/>
        <w:spacing w:after="0" w:line="252" w:lineRule="auto"/>
        <w:tabs>
          <w:tab w:leader="none" w:pos="4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9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three preceding paragraphs to three business days. The litigation and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17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174 of this joint proxy statement/prospectus.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(See Page 183)</w:t>
      </w:r>
    </w:p>
    <w:p>
      <w:pPr>
        <w:spacing w:after="0" w:line="121" w:lineRule="exact"/>
        <w:rPr>
          <w:sz w:val="20"/>
          <w:szCs w:val="20"/>
          <w:color w:val="auto"/>
        </w:rPr>
      </w:pPr>
    </w:p>
    <w:p>
      <w:pPr>
        <w:ind w:left="200" w:right="80" w:firstLine="443"/>
        <w:spacing w:after="0" w:line="34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29" w:lineRule="exact"/>
        <w:rPr>
          <w:sz w:val="20"/>
          <w:szCs w:val="20"/>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620" w:right="20" w:hanging="437"/>
        <w:spacing w:after="0" w:line="293" w:lineRule="auto"/>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80" w:hanging="437"/>
        <w:spacing w:after="0" w:line="25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93" w:lineRule="exact"/>
        <w:rPr>
          <w:rFonts w:ascii="Arial" w:cs="Arial" w:eastAsia="Arial" w:hAnsi="Arial"/>
          <w:sz w:val="18"/>
          <w:szCs w:val="18"/>
          <w:color w:val="auto"/>
        </w:rPr>
      </w:pPr>
    </w:p>
    <w:p>
      <w:pPr>
        <w:ind w:left="1620" w:right="36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620" w:right="8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98" w:lineRule="exact"/>
        <w:rPr>
          <w:rFonts w:ascii="Arial" w:cs="Arial" w:eastAsia="Arial" w:hAnsi="Arial"/>
          <w:sz w:val="18"/>
          <w:szCs w:val="18"/>
          <w:color w:val="auto"/>
        </w:rPr>
      </w:pPr>
    </w:p>
    <w:p>
      <w:pPr>
        <w:ind w:left="1060" w:hanging="431"/>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620" w:right="40" w:hanging="437"/>
        <w:spacing w:after="0" w:line="25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ind w:left="1620" w:right="60" w:hanging="437"/>
        <w:spacing w:after="0" w:line="264"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620" w:hanging="437"/>
        <w:spacing w:after="0"/>
        <w:tabs>
          <w:tab w:leader="none" w:pos="16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prior to the adoption of the merger agreement by TWC stockholders, there has been an intentional and material breach by TWC of</w:t>
      </w:r>
    </w:p>
    <w:p>
      <w:pPr>
        <w:spacing w:after="0" w:line="46" w:lineRule="exact"/>
        <w:rPr>
          <w:rFonts w:ascii="Arial" w:cs="Arial" w:eastAsia="Arial" w:hAnsi="Arial"/>
          <w:sz w:val="16"/>
          <w:szCs w:val="16"/>
          <w:color w:val="auto"/>
        </w:rPr>
      </w:pPr>
    </w:p>
    <w:p>
      <w:pPr>
        <w:ind w:left="1620"/>
        <w:spacing w:after="0" w:line="254" w:lineRule="auto"/>
        <w:rPr>
          <w:rFonts w:ascii="Arial" w:cs="Arial" w:eastAsia="Arial" w:hAnsi="Arial"/>
          <w:sz w:val="16"/>
          <w:szCs w:val="16"/>
          <w:color w:val="auto"/>
        </w:rPr>
      </w:pPr>
      <w:r>
        <w:rPr>
          <w:rFonts w:ascii="Arial" w:cs="Arial" w:eastAsia="Arial" w:hAnsi="Arial"/>
          <w:sz w:val="18"/>
          <w:szCs w:val="18"/>
          <w:color w:val="auto"/>
        </w:rPr>
        <w:t>(i) any of its obligations described under “The Merger Agreement—No Solicitation by TWC” beginning on page 174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5" w:lineRule="exact"/>
        <w:rPr>
          <w:rFonts w:ascii="Arial" w:cs="Arial" w:eastAsia="Arial" w:hAnsi="Arial"/>
          <w:sz w:val="16"/>
          <w:szCs w:val="16"/>
          <w:color w:val="auto"/>
        </w:rPr>
      </w:pPr>
    </w:p>
    <w:p>
      <w:pPr>
        <w:ind w:left="1060" w:hanging="431"/>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620" w:right="6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Remedies (See Page 185)</w:t>
      </w:r>
    </w:p>
    <w:p>
      <w:pPr>
        <w:spacing w:after="0" w:line="12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(See Page 159)</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161)</w:t>
      </w:r>
    </w:p>
    <w:p>
      <w:pPr>
        <w:spacing w:after="0" w:line="12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 —Notes to Unaudited Pro Forma Financial Information Giving Effect to the TWC Merger” beginning on page 50 of this joint proxy statement/prospectus) over the net fair value of such assets and liabilities will be recorded as goodwill.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TWC Stockholders Will Change as a Result of the Merger (See Page 225)</w:t>
      </w:r>
    </w:p>
    <w:p>
      <w:pPr>
        <w:spacing w:after="0" w:line="121" w:lineRule="exact"/>
        <w:rPr>
          <w:sz w:val="20"/>
          <w:szCs w:val="20"/>
          <w:color w:val="auto"/>
        </w:rPr>
      </w:pPr>
    </w:p>
    <w:p>
      <w:pPr>
        <w:ind w:left="200" w:right="140" w:firstLine="443"/>
        <w:spacing w:after="0" w:line="31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225 of this joint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(See Page 161)</w:t>
      </w:r>
    </w:p>
    <w:p>
      <w:pPr>
        <w:spacing w:after="0" w:line="121"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Following the announcement of the merger, eight putative class action complaints challenging the merger have been filed on behalf of purported TWC stockholders in the Supreme Court of the State of New York, County of New York (the “New York Supreme Court”) and the Court of Chancery of the State of Delaware. Five of the actions have been consolidated in the New York Supreme Court,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92" w:lineRule="exact"/>
        <w:rPr>
          <w:sz w:val="20"/>
          <w:szCs w:val="20"/>
          <w:color w:val="auto"/>
        </w:rPr>
      </w:pPr>
    </w:p>
    <w:p>
      <w:pPr>
        <w:ind w:left="200" w:right="80" w:firstLine="443"/>
        <w:spacing w:after="0" w:line="253" w:lineRule="auto"/>
        <w:rPr>
          <w:sz w:val="20"/>
          <w:szCs w:val="20"/>
          <w:color w:val="auto"/>
        </w:rPr>
      </w:pPr>
      <w:r>
        <w:rPr>
          <w:rFonts w:ascii="Arial" w:cs="Arial" w:eastAsia="Arial" w:hAnsi="Arial"/>
          <w:sz w:val="18"/>
          <w:szCs w:val="18"/>
          <w:color w:val="auto"/>
        </w:rPr>
        <w:t>On July 22, 2014, the parties to the litigation entered into a memorandum of understanding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otherwise is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 The litigation and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COMCAST</w:t>
      </w:r>
    </w:p>
    <w:p>
      <w:pPr>
        <w:spacing w:after="0" w:line="22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89" w:lineRule="exact"/>
        <w:rPr>
          <w:sz w:val="20"/>
          <w:szCs w:val="20"/>
          <w:color w:val="auto"/>
        </w:rPr>
      </w:pPr>
    </w:p>
    <w:p>
      <w:pPr>
        <w:ind w:left="200" w:right="300" w:firstLine="443"/>
        <w:spacing w:after="0" w:line="293" w:lineRule="auto"/>
        <w:rPr>
          <w:sz w:val="20"/>
          <w:szCs w:val="20"/>
          <w:color w:val="auto"/>
        </w:rPr>
      </w:pPr>
      <w:r>
        <w:rPr>
          <w:rFonts w:ascii="Arial" w:cs="Arial" w:eastAsia="Arial" w:hAnsi="Arial"/>
          <w:sz w:val="16"/>
          <w:szCs w:val="16"/>
          <w:color w:val="auto"/>
        </w:rPr>
        <w:t>The selected financial data for Comcast as of June 30, 2014, and for the six months ended June 30, 2014 and June 30, 2013 are derived from Comcast’s unaudited condensed consolidated financial statements and related notes contained in its Quarterly Report on Form 10-Q for the six months ended June 30,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restart"/>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5"/>
              </w:rPr>
              <w:t>2011(2)</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w w:val="98"/>
              </w:rPr>
              <w:t>(in millions, except per share data)</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34,252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64,657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55,842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37,937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13,563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10,721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 attributable to Comcast(1)</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6,816</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attributable to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attributable to</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6"/>
              </w:rPr>
              <w:t>157,459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156,819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164,971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6"/>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46,549</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46,649</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47,847</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40,458</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39,309</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31,415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Comcast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51,971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50,694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49,356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7,547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14,345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(12,508)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(3,848)</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(12,287)</w:t>
            </w:r>
          </w:p>
        </w:tc>
        <w:tc>
          <w:tcPr>
            <w:tcW w:w="1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2"/>
              </w:rPr>
              <w:t>(13,879)</w:t>
            </w:r>
          </w:p>
        </w:tc>
        <w:tc>
          <w:tcPr>
            <w:tcW w:w="24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7" w:lineRule="auto"/>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2013, 2012 and 2011 and the six months ended June 30, 2014 and 2013, see Management’s Discussion and Analysis of Financial Condition and Results of Operations included in the Comcast 2013 10-K and the Comcast June 30,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six months ended June 30, 2014 and 2013, net income attributable to Comcast is stated after deducting net income attributable to noncontrolling interests of $100 million and $218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1" w:lineRule="exact"/>
        <w:rPr>
          <w:rFonts w:ascii="Arial" w:cs="Arial" w:eastAsia="Arial" w:hAnsi="Arial"/>
          <w:sz w:val="17"/>
          <w:szCs w:val="17"/>
          <w:color w:val="auto"/>
        </w:rPr>
      </w:pPr>
    </w:p>
    <w:p>
      <w:pPr>
        <w:ind w:left="620" w:right="120" w:hanging="423"/>
        <w:spacing w:after="0" w:line="302" w:lineRule="auto"/>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TWC</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67" w:lineRule="exact"/>
        <w:rPr>
          <w:sz w:val="20"/>
          <w:szCs w:val="20"/>
          <w:color w:val="auto"/>
        </w:rPr>
      </w:pPr>
    </w:p>
    <w:p>
      <w:pPr>
        <w:ind w:left="200" w:right="200" w:firstLine="443"/>
        <w:spacing w:after="0" w:line="271" w:lineRule="auto"/>
        <w:rPr>
          <w:sz w:val="20"/>
          <w:szCs w:val="20"/>
          <w:color w:val="auto"/>
        </w:rPr>
      </w:pPr>
      <w:r>
        <w:rPr>
          <w:rFonts w:ascii="Arial" w:cs="Arial" w:eastAsia="Arial" w:hAnsi="Arial"/>
          <w:sz w:val="17"/>
          <w:szCs w:val="17"/>
          <w:color w:val="auto"/>
        </w:rPr>
        <w:t>The selected financial data of TWC as of June 30, 2014, and for the six months ended June 30, 2014 and June 30, 2013 are derived from TWC’s unaudited consolidated financial statements and related notes contained in its Quarterly Report on Form 10-Q for the six months ended June 30, 2014, which is incorporated by reference into this joint proxy statement/prospectus. The selected financial data of TWC as of June 30,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11,308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11,025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22,120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21,386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19,675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18,868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17,868</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2,255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4,580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4,069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3,689</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Net income attributable to TWC shareholders</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978</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1,954</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1,665</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1,308</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20"/>
                <w:szCs w:val="20"/>
                <w:color w:val="auto"/>
              </w:rPr>
            </w:pPr>
            <w:r>
              <w:rPr>
                <w:rFonts w:ascii="Arial" w:cs="Arial" w:eastAsia="Arial" w:hAnsi="Arial"/>
                <w:sz w:val="16"/>
                <w:szCs w:val="16"/>
                <w:color w:val="auto"/>
              </w:rPr>
              <w:t>Diluted net income per common share attributable to TWC common</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6"/>
                <w:szCs w:val="16"/>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4.97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3.64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48,456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9"/>
              </w:rPr>
              <w:t>49,228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43,694</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debt, including current portion(2)</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24,580</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26,392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25,052</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26,689</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26,442</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23,121</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22,331</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preferred equity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Statement of Cash Flows Data</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by: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3,092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2,945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5,753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5,525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5,688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5,218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4"/>
              </w:rPr>
              <w:t>(2,067)</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(2,027)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(3,476)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(3,345)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(3,530)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4"/>
              </w:rPr>
              <w:t>(2,872)</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(3,307)</w:t>
            </w:r>
          </w:p>
        </w:tc>
        <w:tc>
          <w:tcPr>
            <w:tcW w:w="0" w:type="dxa"/>
            <w:vAlign w:val="bottom"/>
          </w:tcPr>
          <w:p>
            <w:pPr>
              <w:spacing w:after="0"/>
              <w:rPr>
                <w:sz w:val="1"/>
                <w:szCs w:val="1"/>
                <w:color w:val="auto"/>
              </w:rPr>
            </w:pPr>
          </w:p>
        </w:tc>
      </w:tr>
      <w:tr>
        <w:trPr>
          <w:trHeight w:val="206"/>
        </w:trPr>
        <w:tc>
          <w:tcPr>
            <w:tcW w:w="5480" w:type="dxa"/>
            <w:vAlign w:val="bottom"/>
          </w:tcPr>
          <w:p>
            <w:pPr>
              <w:ind w:left="320"/>
              <w:spacing w:after="0"/>
              <w:rPr>
                <w:sz w:val="20"/>
                <w:szCs w:val="20"/>
                <w:color w:val="auto"/>
              </w:rPr>
            </w:pPr>
            <w:r>
              <w:rPr>
                <w:rFonts w:ascii="Arial" w:cs="Arial" w:eastAsia="Arial" w:hAnsi="Arial"/>
                <w:sz w:val="16"/>
                <w:szCs w:val="16"/>
                <w:color w:val="auto"/>
              </w:rPr>
              <w:t>Financing activities</w:t>
            </w:r>
          </w:p>
        </w:tc>
        <w:tc>
          <w:tcPr>
            <w:tcW w:w="8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4"/>
              </w:rPr>
              <w:t>(1,147)</w:t>
            </w:r>
          </w:p>
        </w:tc>
        <w:tc>
          <w:tcPr>
            <w:tcW w:w="2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(1,599)</w:t>
            </w: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(5,056)</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(4,053)</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(6,273)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300" w:hanging="423"/>
        <w:spacing w:after="0" w:line="271"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$141 million in the six months ended June 30, 2014, $58 million in the six months ended June 30, 2013, $119 million in 2013, $115 million in 2012, $70 million in 2011, $52 million in 2010 and $81 million in 2009. Operating Income in 2011 includes a $60 million impairment charge on wireless assets that will no longer be utilized.</w:t>
      </w:r>
    </w:p>
    <w:p>
      <w:pPr>
        <w:ind w:left="620" w:right="80" w:hanging="423"/>
        <w:spacing w:after="0" w:line="261"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debt includes $1.663 billion of debt due within one year as of June 30, 2014 and $1.767 billion, $1.518 billion and $2.122 billion of debt due within one year as of December 31, 2013, 2012 and 2011, respectively.</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selected historical and unaudited pro forma combined per share information for Comcast and TWC.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Information of Comcast and TWC</w:t>
      </w:r>
    </w:p>
    <w:p>
      <w:pPr>
        <w:spacing w:after="0" w:line="12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six months ended, June 30, 2014.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Comcast Common Share Data</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The unaudited pro forma combined per Comcast common share data set forth below gives effect to the merger under the acquisition method of accounting, as if the merger had occurred on January 1, 2013, the first day of Comcast’s fiscal year ended December 31, 2013, in the case of net income, and at June 30, 2014, in the case of book value per share data, and assuming that each outstanding share of TWC common stock had been converted into Comcast common shares based on the exchange ratio.</w:t>
      </w:r>
    </w:p>
    <w:p>
      <w:pPr>
        <w:spacing w:after="0" w:line="18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is derived from the unaudited condensed consolidated financial statements of each of Comcast and TWC as of, and for the six months ended, June 30, 2014 and the audited consolidated financial statements for each of Comcast and TWC for the year ended December 31, 2013.</w:t>
      </w:r>
    </w:p>
    <w:p>
      <w:pPr>
        <w:spacing w:after="0" w:line="18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92"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TWC Equivalent Share Data</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unaudited pro forma combined per TWC equivalent share data set forth below shows the effect of the merger from the perspective of an owner of TWC common stock. The information was calculated by multiplying the unaudited pro forma combined per Comcast common share amounts by the exchange ratio.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37, 39 and 244,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44 of this joint proxy statement/prospectus.</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2"/>
              </w:rPr>
              <w:t>As of/For the</w:t>
            </w:r>
          </w:p>
        </w:tc>
        <w:tc>
          <w:tcPr>
            <w:tcW w:w="10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of/For the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June 30,</w:t>
            </w:r>
          </w:p>
        </w:tc>
        <w:tc>
          <w:tcPr>
            <w:tcW w:w="1920" w:type="dxa"/>
            <w:vAlign w:val="bottom"/>
            <w:gridSpan w:val="4"/>
          </w:tcPr>
          <w:p>
            <w:pPr>
              <w:ind w:left="10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Comcast Historical per Common Share Data:</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TWC Historical per Common Share Data:</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Book value(1)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Combined per Comcast Common Share Data(4):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Unaudited Pro Forma Combined per TWC Equivalent Share Data(4):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Book value(1)(3)</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80.76</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or shares of common stock, as applicable, outstanding.</w:t>
      </w:r>
    </w:p>
    <w:p>
      <w:pPr>
        <w:spacing w:after="0" w:line="23" w:lineRule="exact"/>
        <w:rPr>
          <w:rFonts w:ascii="Arial" w:cs="Arial" w:eastAsia="Arial" w:hAnsi="Arial"/>
          <w:sz w:val="18"/>
          <w:szCs w:val="18"/>
          <w:color w:val="auto"/>
        </w:rPr>
      </w:pPr>
    </w:p>
    <w:p>
      <w:pPr>
        <w:ind w:left="620" w:right="14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 forma combined dividends per share is not presented as the dividend policy for the combined entity will be determined by the Comcast board of directors following completion of the merger.</w:t>
      </w:r>
    </w:p>
    <w:p>
      <w:pPr>
        <w:ind w:left="620" w:right="66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by multiplying unaudited pro forma combined per share amounts by the exchange ratio in the merger (2.875 shares of Comcast Class A common stock for each share of TWC common stock).</w:t>
      </w: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based on pro forma financial statements giving effect to the merger excluding the divestiture transactions.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Comcast Class A</w:t>
            </w:r>
          </w:p>
        </w:tc>
        <w:tc>
          <w:tcPr>
            <w:tcW w:w="1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8"/>
              </w:rPr>
              <w:t>Comcast Class A Special</w:t>
            </w: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TWC Common Stock</w:t>
            </w:r>
          </w:p>
        </w:tc>
      </w:tr>
      <w:tr>
        <w:trPr>
          <w:trHeight w:val="142"/>
        </w:trPr>
        <w:tc>
          <w:tcPr>
            <w:tcW w:w="54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$30.41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35.83</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89.06</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$42.01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43.74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113.06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120.93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139.85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108.88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$55.28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130.53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148.20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132.58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Third Calendar Quarter (through August 29, 2014)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56.49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56.23</w:t>
            </w: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154.12</w:t>
            </w: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142.90</w:t>
            </w:r>
          </w:p>
        </w:tc>
      </w:tr>
    </w:tbl>
    <w:p>
      <w:pPr>
        <w:spacing w:after="0" w:line="187"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August 29,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Comcast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Comcast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Implied Per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TWC Common</w:t>
            </w:r>
          </w:p>
        </w:tc>
        <w:tc>
          <w:tcPr>
            <w:tcW w:w="7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 Value of</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Class A</w:t>
            </w:r>
          </w:p>
        </w:tc>
        <w:tc>
          <w:tcPr>
            <w:tcW w:w="7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Class A Special</w:t>
            </w:r>
          </w:p>
        </w:tc>
        <w:tc>
          <w:tcPr>
            <w:tcW w:w="7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1"/>
              </w:rPr>
              <w:t>Common Stock</w:t>
            </w:r>
          </w:p>
        </w:tc>
        <w:tc>
          <w:tcPr>
            <w:tcW w:w="7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Common Stock</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12, 2014</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August 29, 2014</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54.72</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54.60</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147.93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38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stock or Comcast Class A Special common stock after completion of the merger. The exchange ratio is fixed in 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currently pays a quarterly dividend on Comcast common shares and last paid a quarterly dividend on July 23, 2014, of $0.225 per share. In addition, on July 24, 2014, Comcast declared a quarterly dividend of $0.225 per share, which will be paid on October 22, 2014 to Comcast shareholders of record at the close of business on October 1,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currently pays a quarterly dividend on TWC common stock, and last paid a quarterly dividend on June 16, 2014, of $0.75 per share. In addition, on July 24, 2014, TWC declared a quarterly dividend of $0.75 per share, which will be paid on September 15, 2014 to TWC stockholders of record at the close of business on August 29,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9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87"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COMCAST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 FORMA CONDENSED COMBINED FINANCIAL STATEMENTS</w:t>
      </w:r>
    </w:p>
    <w:p>
      <w:pPr>
        <w:spacing w:after="0" w:line="211" w:lineRule="exact"/>
        <w:rPr>
          <w:sz w:val="20"/>
          <w:szCs w:val="20"/>
          <w:color w:val="auto"/>
        </w:rPr>
      </w:pPr>
    </w:p>
    <w:p>
      <w:pPr>
        <w:ind w:left="200" w:right="60" w:firstLine="443"/>
        <w:spacing w:after="0" w:line="287" w:lineRule="auto"/>
        <w:rPr>
          <w:sz w:val="20"/>
          <w:szCs w:val="20"/>
          <w:color w:val="auto"/>
        </w:rPr>
      </w:pPr>
      <w:r>
        <w:rPr>
          <w:rFonts w:ascii="Arial" w:cs="Arial" w:eastAsia="Arial" w:hAnsi="Arial"/>
          <w:sz w:val="16"/>
          <w:szCs w:val="16"/>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June 30, 2014. The Unaudited Pro Forma Condensed Combined Statements of Income for the six months ended June 30,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7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six months ended June 30,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June 30,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69" w:lineRule="exact"/>
        <w:rPr>
          <w:sz w:val="20"/>
          <w:szCs w:val="20"/>
          <w:color w:val="auto"/>
        </w:rPr>
      </w:pPr>
    </w:p>
    <w:p>
      <w:pPr>
        <w:jc w:val="both"/>
        <w:ind w:left="200" w:right="40" w:firstLine="443"/>
        <w:spacing w:after="0" w:line="288"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ind w:left="200" w:right="120"/>
        <w:spacing w:after="0" w:line="255" w:lineRule="auto"/>
        <w:rPr>
          <w:sz w:val="20"/>
          <w:szCs w:val="20"/>
          <w:color w:val="auto"/>
        </w:rPr>
      </w:pPr>
      <w:r>
        <w:rPr>
          <w:rFonts w:ascii="Arial" w:cs="Arial" w:eastAsia="Arial" w:hAnsi="Arial"/>
          <w:sz w:val="18"/>
          <w:szCs w:val="18"/>
          <w:color w:val="auto"/>
        </w:rPr>
        <w:t>For further information on the synergies expected from the Charter divestiture transactions, the selection of cable systems included in the Charter divestiture transactions and a map highlighting the cable systems relating to the Charter divestiture transactions, refer to “The Divestiture Transactions” beginning on page 203 of this joint proxy statement/prospectus.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 aggregate consideration to complete the TWC merger would have been $44.7 billion based upon a per share price of $54.72, the closing share price of Comcast Class A common stock on August 29, 2014, and 280.2 million shares of TWC common stock outstanding as of</w:t>
      </w:r>
    </w:p>
    <w:p>
      <w:pPr>
        <w:spacing w:after="0" w:line="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August 29, 2014. The purchase price also includes vested Comcast equity awards with an estimated fair value of $513 million that will be issued in respect of vested equity awards held by employees of TWC and $144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280.2 million shares of TWC common stock outstanding as of August 29, 2014 and the exchange ratio, each dollar increase (decrease) in the per share price of the Comcast Class A common stock will result in an $806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80"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1"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88"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In connection with the spin-off transaction, Comcast will form SpinCo, which will hold and operate cable systems serving approximately 2.5 million Comcast subscribers.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(collectively, the “SpinCo financing transactions”).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Following the SpinCo financing transactions, Comcast will then distribute, through the spin-off transaction, the common shares of SpinCo pro rata to the holders of all of Comcast’s outstanding common stock,</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or a subsidiary of New Charter owning the estimated remaining 33% (the “SpinCo merger”). Comcast will have no remaining interest in SpinCo. Comcast shareholders, including former TWC stockholders, will receive in exchange for the SpinCo common stock acquired by New Charter or a subsidiary of New Charter, shares of New Charter common stock. For diagrams illustrating the steps to consummate the divestiture transactions, please see pages 207 to 210 of this joint proxy statement/prospectus.</w:t>
      </w:r>
    </w:p>
    <w:p>
      <w:pPr>
        <w:spacing w:after="0" w:line="166"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$8.0 billion and $7.7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5.50%, TWC cable systems 3.60% and Charter cable systems 8.10%). In addition, the SpinCo indebtedness is estimated to be $7.8 billion using a similar methodology, consisting of $3.0 billion of SpinCo notes and $4.8 billion of other bank debt and/or term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For purposes of this unaudited pro forma financial information,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SpinCo cash distributions will be dependent upon the ultimate completion of the SpinCo financing transactions and the detailed analysis to quantify Comcast’s tax basis in SpinCo, and are subject to change.</w:t>
      </w:r>
    </w:p>
    <w:p>
      <w:pPr>
        <w:spacing w:after="0" w:line="17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 (1) upon termination of the TWC merger, (2) by either Comcast or Charter upon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periods from the completion of the TWC merger.</w:t>
      </w:r>
    </w:p>
    <w:p>
      <w:pPr>
        <w:spacing w:after="0" w:line="16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70"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TWC Merger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Merger-Related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gridSpan w:val="2"/>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29"/>
        </w:trPr>
        <w:tc>
          <w:tcPr>
            <w:tcW w:w="3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3p</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2,325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6,232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906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7,062</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905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2,449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(2,587)</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12,173</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5,208</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3,072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29,970</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15,604</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44,864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rights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26,012</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14,688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27,323</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3,137</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26,459</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56,919</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17,233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8,045</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26,564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157,459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46,505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252,420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Accounts payable and accrued expenses related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6,816</w:t>
            </w:r>
          </w:p>
        </w:tc>
        <w:tc>
          <w:tcPr>
            <w:tcW w:w="0" w:type="dxa"/>
            <w:vAlign w:val="bottom"/>
          </w:tcPr>
          <w:p>
            <w:pPr>
              <w:spacing w:after="0"/>
              <w:rPr>
                <w:sz w:val="1"/>
                <w:szCs w:val="1"/>
                <w:color w:val="auto"/>
              </w:rPr>
            </w:pPr>
          </w:p>
        </w:tc>
      </w:tr>
      <w:tr>
        <w:trPr>
          <w:trHeight w:val="167"/>
        </w:trPr>
        <w:tc>
          <w:tcPr>
            <w:tcW w:w="3720" w:type="dxa"/>
            <w:vAlign w:val="bottom"/>
          </w:tcPr>
          <w:p>
            <w:pPr>
              <w:ind w:left="440"/>
              <w:spacing w:after="0"/>
              <w:rPr>
                <w:sz w:val="20"/>
                <w:szCs w:val="20"/>
                <w:color w:val="auto"/>
              </w:rPr>
            </w:pPr>
            <w:r>
              <w:rPr>
                <w:rFonts w:ascii="Arial" w:cs="Arial" w:eastAsia="Arial" w:hAnsi="Arial"/>
                <w:sz w:val="14"/>
                <w:szCs w:val="14"/>
                <w:color w:val="auto"/>
              </w:rPr>
              <w:t>trade creditors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5,432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565</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540"/>
              <w:spacing w:after="0"/>
              <w:rPr>
                <w:sz w:val="20"/>
                <w:szCs w:val="20"/>
                <w:color w:val="auto"/>
              </w:rPr>
            </w:pPr>
            <w:r>
              <w:rPr>
                <w:rFonts w:ascii="Arial" w:cs="Arial" w:eastAsia="Arial" w:hAnsi="Arial"/>
                <w:sz w:val="14"/>
                <w:szCs w:val="14"/>
                <w:color w:val="auto"/>
              </w:rPr>
              <w:t>895</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(76)</w:t>
            </w:r>
          </w:p>
        </w:tc>
        <w:tc>
          <w:tcPr>
            <w:tcW w:w="1120" w:type="dxa"/>
            <w:vAlign w:val="bottom"/>
            <w:gridSpan w:val="2"/>
          </w:tcPr>
          <w:p>
            <w:pPr>
              <w:spacing w:after="0"/>
              <w:rPr>
                <w:sz w:val="20"/>
                <w:szCs w:val="20"/>
                <w:color w:val="auto"/>
              </w:rPr>
            </w:pPr>
            <w:r>
              <w:rPr>
                <w:rFonts w:ascii="Arial" w:cs="Arial" w:eastAsia="Arial" w:hAnsi="Arial"/>
                <w:sz w:val="14"/>
                <w:szCs w:val="14"/>
                <w:color w:val="auto"/>
              </w:rPr>
              <w:t>3b</w:t>
            </w: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programming expense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6,785</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1,956</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163</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3g, 3m</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9,072</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2,947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1,663</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17,375</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5,274</w:t>
            </w: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43,602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22,917</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4,808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71,327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31,854</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12,162</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6,949</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50,965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11,241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689</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11,930</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subsidiary preferred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51,971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42,075</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 3j, 3m, 3p</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94,046</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Time Warner Cable Inc. total stockholders’ equity</w:t>
            </w:r>
          </w:p>
        </w:tc>
        <w:tc>
          <w:tcPr>
            <w:tcW w:w="10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7,410</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(7,410)</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3k</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63"/>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52,332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7,414</w:t>
            </w:r>
          </w:p>
        </w:tc>
        <w:tc>
          <w:tcPr>
            <w:tcW w:w="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34,665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157,459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46,505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252,420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Merger-Related</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34,252</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11,308</w:t>
            </w: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(256)</w:t>
            </w:r>
          </w:p>
        </w:tc>
        <w:tc>
          <w:tcPr>
            <w:tcW w:w="4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45,304</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10,782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(243)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13,189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9,676</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2,371</w:t>
            </w:r>
          </w:p>
        </w:tc>
        <w:tc>
          <w:tcPr>
            <w:tcW w:w="260" w:type="dxa"/>
            <w:vAlign w:val="bottom"/>
          </w:tcPr>
          <w:p>
            <w:pPr>
              <w:spacing w:after="0"/>
              <w:rPr>
                <w:sz w:val="14"/>
                <w:szCs w:val="14"/>
                <w:color w:val="auto"/>
              </w:rPr>
            </w:pPr>
          </w:p>
        </w:tc>
        <w:tc>
          <w:tcPr>
            <w:tcW w:w="11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1,295</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(110)</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3g, 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13,232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2,452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1,099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3,538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742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(742)</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412</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(412)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3,168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1,570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4,588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802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470</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1,490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141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(141)</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26,880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9,053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36,037</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7,372</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2,255</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(360)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9,267</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(1,290)</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(713)</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228</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(1,775)</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233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300"/>
              <w:spacing w:after="0" w:line="149" w:lineRule="exact"/>
              <w:rPr>
                <w:sz w:val="20"/>
                <w:szCs w:val="20"/>
                <w:color w:val="auto"/>
              </w:rPr>
            </w:pPr>
            <w:r>
              <w:rPr>
                <w:rFonts w:ascii="Arial" w:cs="Arial" w:eastAsia="Arial" w:hAnsi="Arial"/>
                <w:sz w:val="15"/>
                <w:szCs w:val="15"/>
                <w:color w:val="auto"/>
              </w:rPr>
              <w:t>Equity in net income (losses) of investees,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b w:val="1"/>
                <w:bCs w:val="1"/>
                <w:color w:val="auto"/>
              </w:rPr>
              <w:t>77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46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(53)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(1,057)</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(690)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229</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(1,518)</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6,315</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1,565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(131)</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7,749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(2,352)</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(587)</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51</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(2,888)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3,963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978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(80)</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4,861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interests and redeemable subsidiary preferred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(101)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16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Net income attributable to Comcast</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Corporation</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b w:val="1"/>
                <w:bCs w:val="1"/>
                <w:color w:val="auto"/>
              </w:rPr>
              <w:t>3,863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rPr>
              <w:t>978</w:t>
            </w:r>
          </w:p>
        </w:tc>
        <w:tc>
          <w:tcPr>
            <w:tcW w:w="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b w:val="1"/>
                <w:bCs w:val="1"/>
                <w:color w:val="auto"/>
              </w:rPr>
              <w:t>(81)</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4,760</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3.48</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1.42</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1.47</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3.46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1.40</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2,598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278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3,358</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282</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3,408</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TWC</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Merger-Related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Pro Forma</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70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64,657</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22,120</w:t>
            </w: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(448)</w:t>
            </w: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86,329</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19,670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4,950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(396)</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24,224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18,584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4,876</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2,385</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108</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25,953</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4,969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2,048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(52)</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6,965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1,500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766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(766)</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6,254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3,155</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(270)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9,139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1,617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126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949</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2,962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119</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(119)</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51,094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17,540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609</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69,243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13,563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4,580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(1,057)</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17,086</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(2,574)</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(1,552)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458</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(3,671)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579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Equity in net income (losses) of investees, net</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(86)</w:t>
            </w:r>
          </w:p>
        </w:tc>
        <w:tc>
          <w:tcPr>
            <w:tcW w:w="100" w:type="dxa"/>
            <w:vAlign w:val="bottom"/>
          </w:tcPr>
          <w:p>
            <w:pPr>
              <w:spacing w:after="0"/>
              <w:rPr>
                <w:sz w:val="14"/>
                <w:szCs w:val="14"/>
                <w:color w:val="auto"/>
              </w:rPr>
            </w:pPr>
          </w:p>
        </w:tc>
        <w:tc>
          <w:tcPr>
            <w:tcW w:w="11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19</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3c</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(66)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(372)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(2,448)</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(1,541)</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459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(3,530)</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3,039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(598)</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13,556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(3,980)</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(1,085)</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233</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(4,832)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1,954</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(365)</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8,724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60"/>
              <w:spacing w:after="0"/>
              <w:rPr>
                <w:sz w:val="20"/>
                <w:szCs w:val="20"/>
                <w:color w:val="auto"/>
              </w:rPr>
            </w:pPr>
            <w:r>
              <w:rPr>
                <w:rFonts w:ascii="Arial" w:cs="Arial" w:eastAsia="Arial" w:hAnsi="Arial"/>
                <w:sz w:val="15"/>
                <w:szCs w:val="15"/>
                <w:color w:val="auto"/>
                <w:w w:val="99"/>
              </w:rPr>
              <w:t>interests and redeemable subsidiary preferred 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income attributable to Comcast Corporation</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6,816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b w:val="1"/>
                <w:bCs w:val="1"/>
                <w:color w:val="auto"/>
              </w:rPr>
              <w:t>1,954</w:t>
            </w: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(366)</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8,404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6.76</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2.48</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2.56</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6.70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2.45</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2,625</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288</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3,385</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2,665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292</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3,437</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Giving Effect to the TWC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57 to 68.</w:t>
      </w:r>
    </w:p>
    <w:p>
      <w:pPr>
        <w:spacing w:after="0" w:line="188"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Merger-related pro forma adjustments are included only to the extent they are (i) directly attributable to the TWC merger, (ii) factually supportable and (iii) with respect to the statements of income, expected to have a continuing impact on the combined results. The accompanying unaudited pro forma financial information is presented for illustrative purposes only.</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78"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June 30, 2014, and the Unaudited Pro Forma Condensed Combined Statements of Income for the six months ended June 30, 2014 and the year ended December 31, 2013 give effect to the TWC merger as if it had occurred on January 1, 2013, the beginning of the earliest period presented.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TWC Merger-Related Adjustments</w:t>
      </w:r>
    </w:p>
    <w:p>
      <w:pPr>
        <w:spacing w:after="0" w:line="12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The unaudited pro forma financial information reflects certain reclassifications of TWC balance sheet and statements of income categories to conform to Comcast’s presentation.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and TWC.</w:t>
      </w:r>
    </w:p>
    <w:p>
      <w:pPr>
        <w:spacing w:after="0" w:line="225" w:lineRule="exact"/>
        <w:rPr>
          <w:sz w:val="20"/>
          <w:szCs w:val="20"/>
          <w:color w:val="auto"/>
        </w:rPr>
      </w:pPr>
    </w:p>
    <w:p>
      <w:pPr>
        <w:ind w:left="200" w:right="580" w:firstLine="443"/>
        <w:spacing w:after="0" w:line="342" w:lineRule="auto"/>
        <w:rPr>
          <w:sz w:val="20"/>
          <w:szCs w:val="20"/>
          <w:color w:val="auto"/>
        </w:rPr>
      </w:pPr>
      <w:r>
        <w:rPr>
          <w:rFonts w:ascii="Arial" w:cs="Arial" w:eastAsia="Arial" w:hAnsi="Arial"/>
          <w:sz w:val="16"/>
          <w:szCs w:val="16"/>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24"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4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jc w:val="both"/>
        <w:ind w:left="200" w:right="100" w:firstLine="443"/>
        <w:spacing w:after="0" w:line="286" w:lineRule="auto"/>
        <w:rPr>
          <w:sz w:val="20"/>
          <w:szCs w:val="20"/>
          <w:color w:val="auto"/>
        </w:rPr>
      </w:pPr>
      <w:r>
        <w:rPr>
          <w:rFonts w:ascii="Arial" w:cs="Arial" w:eastAsia="Arial" w:hAnsi="Arial"/>
          <w:sz w:val="16"/>
          <w:szCs w:val="16"/>
          <w:color w:val="auto"/>
        </w:rPr>
        <w:t>Comcast performed an analysis of the cost structure of the Comcast and TWC businesses on a stand alone basis as compared to an estimate of the cost structure of the combined businesses and as a result, Comcast anticipates that the TWC merger will result in significant annual operating synergies that leverage Comcast’s and TWC’s combined platform to create economies of scale that would be unachievable without completing the transaction. In addition, the TWC merger will result in annual compensation expense savings from the elimination of overlapping positions and support functions.</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 For further information on the cost savings and synergies expected from the TWC merger, refer to “Comcast’s Reasons for the Merger; Recommendation of the Comcast Board of Directors—Increase Operating Efficiency” beginning on page 111 of this joint proxy statement/prospectus.</w:t>
      </w:r>
    </w:p>
    <w:p>
      <w:pPr>
        <w:spacing w:after="0" w:line="19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8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and TWC each has investments in certain entities that are accounted for under the equity method of accounting. As a result of the TWC merger, these entities may be required to be consolidated for accounting purposes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9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87"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 In addition, no gain or loss has been assumed related to these transactions.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TWC Merger Transaction</w:t>
      </w:r>
    </w:p>
    <w:p>
      <w:pPr>
        <w:spacing w:after="0" w:line="121" w:lineRule="exact"/>
        <w:rPr>
          <w:sz w:val="20"/>
          <w:szCs w:val="20"/>
          <w:color w:val="auto"/>
        </w:rPr>
      </w:pPr>
    </w:p>
    <w:p>
      <w:pPr>
        <w:ind w:left="200" w:right="260" w:firstLine="443"/>
        <w:spacing w:after="0" w:line="257" w:lineRule="auto"/>
        <w:rPr>
          <w:sz w:val="20"/>
          <w:szCs w:val="20"/>
          <w:color w:val="auto"/>
        </w:rPr>
      </w:pPr>
      <w:r>
        <w:rPr>
          <w:rFonts w:ascii="Arial" w:cs="Arial" w:eastAsia="Arial" w:hAnsi="Arial"/>
          <w:sz w:val="18"/>
          <w:szCs w:val="18"/>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$54.72 closing price of Comcast Class A common stock on August 29, 2014 that is assumed for purposes of this unaudited pro forma financial information, and that difference may be material.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Purchase Price</w:t>
      </w:r>
    </w:p>
    <w:p>
      <w:pPr>
        <w:spacing w:after="0" w:line="117"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$44.7 billion. This amount was derived based on the 280.2 million outstanding shares of TWC common stock at August 29, 2014, the exchange ratio and a price per share of Comcast Class A common stock of $54.72, which represents the closing price on August 29,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$513 million and $144 million, respectively.</w:t>
      </w:r>
    </w:p>
    <w:p>
      <w:pPr>
        <w:spacing w:after="0" w:line="172"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The table below presents the preliminary purchase price as if the TWC merger had closed on June 30, 2014, along with a preliminary allocation of purchase price to the assets acquired and liabilities assumed in the TWC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 except per share data)</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TWC common stock as of August 29, 2014</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 exchange ratio</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Comcast Class A common stock to be issued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Price per share as of August 29,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54.72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Comcast Class A common stock to be issued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44,081</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Fair value of Comcast equity awards issued in exchange for vested TWC equity awards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TWC non-employee equity awards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44,738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8540" w:type="dxa"/>
            <w:vAlign w:val="bottom"/>
            <w:gridSpan w:val="2"/>
          </w:tcPr>
          <w:p>
            <w:pPr>
              <w:jc w:val="right"/>
              <w:ind w:right="2650"/>
              <w:spacing w:after="0"/>
              <w:rPr>
                <w:sz w:val="20"/>
                <w:szCs w:val="20"/>
                <w:color w:val="auto"/>
              </w:rPr>
            </w:pPr>
            <w:r>
              <w:rPr>
                <w:rFonts w:ascii="Arial" w:cs="Arial" w:eastAsia="Arial" w:hAnsi="Arial"/>
                <w:sz w:val="18"/>
                <w:szCs w:val="18"/>
                <w:color w:val="auto"/>
              </w:rPr>
              <w:t>52</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3n</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1,498</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14,894</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3d</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Franchise rights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40,700</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29,596</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3f</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9,331</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(29,387)</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3h</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(19,111)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3i</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(4,225)</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7"/>
        </w:trPr>
        <w:tc>
          <w:tcPr>
            <w:tcW w:w="5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44,738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3"/>
        <w:spacing w:after="0" w:line="312" w:lineRule="auto"/>
        <w:rPr>
          <w:sz w:val="20"/>
          <w:szCs w:val="20"/>
          <w:color w:val="auto"/>
        </w:rPr>
      </w:pPr>
      <w:r>
        <w:rPr>
          <w:rFonts w:ascii="Arial" w:cs="Arial" w:eastAsia="Arial" w:hAnsi="Arial"/>
          <w:sz w:val="16"/>
          <w:szCs w:val="16"/>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Reclassifications and TWC Merger-Related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TWC merger:</w:t>
      </w:r>
    </w:p>
    <w:p>
      <w:pPr>
        <w:spacing w:after="0" w:line="131" w:lineRule="exact"/>
        <w:rPr>
          <w:sz w:val="20"/>
          <w:szCs w:val="20"/>
          <w:color w:val="auto"/>
        </w:rPr>
      </w:pPr>
    </w:p>
    <w:p>
      <w:pPr>
        <w:ind w:left="1060" w:right="240" w:hanging="431"/>
        <w:spacing w:after="0" w:line="272"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83" w:lineRule="exact"/>
        <w:rPr>
          <w:rFonts w:ascii="Arial" w:cs="Arial" w:eastAsia="Arial" w:hAnsi="Arial"/>
          <w:sz w:val="17"/>
          <w:szCs w:val="17"/>
          <w:color w:val="auto"/>
        </w:rPr>
      </w:pPr>
    </w:p>
    <w:p>
      <w:pPr>
        <w:ind w:left="1060" w:right="560" w:hanging="431"/>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eliminate balances and activity between Comcast and TWC for purposes of the combined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Transactions relate principally to programming and advertising between Comcast and TWC. The adjustments eliminate the following items as intercompany balances: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June 30, 2014</w:t>
            </w:r>
          </w:p>
        </w:tc>
        <w:tc>
          <w:tcPr>
            <w:tcW w:w="680" w:type="dxa"/>
            <w:vAlign w:val="bottom"/>
          </w:tcPr>
          <w:p>
            <w:pPr>
              <w:spacing w:after="0"/>
              <w:rPr>
                <w:sz w:val="14"/>
                <w:szCs w:val="14"/>
                <w:color w:val="auto"/>
              </w:rPr>
            </w:pPr>
          </w:p>
        </w:tc>
        <w:tc>
          <w:tcPr>
            <w:tcW w:w="2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Statements of Income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(256)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jc w:val="right"/>
              <w:ind w:right="4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Investments and redeemable noncontrolling interests. </w:t>
      </w:r>
      <w:r>
        <w:rPr>
          <w:rFonts w:ascii="Arial" w:cs="Arial" w:eastAsia="Arial" w:hAnsi="Arial"/>
          <w:sz w:val="18"/>
          <w:szCs w:val="18"/>
          <w:color w:val="auto"/>
        </w:rPr>
        <w:t>Adjustment to eliminate a TWC investment accounted for under the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redeemable noncontrolling interest balance recorded at Comcast. The entity is a consolidated subsidiary of Comcast and, therefore, Comcast accounts for the TWC interest as a redeemable noncontrolling interest.</w:t>
      </w:r>
    </w:p>
    <w:p>
      <w:pPr>
        <w:spacing w:after="0" w:line="86" w:lineRule="exact"/>
        <w:rPr>
          <w:rFonts w:ascii="Arial" w:cs="Arial" w:eastAsia="Arial" w:hAnsi="Arial"/>
          <w:sz w:val="18"/>
          <w:szCs w:val="18"/>
          <w:color w:val="auto"/>
        </w:rPr>
      </w:pPr>
    </w:p>
    <w:p>
      <w:pPr>
        <w:ind w:left="1060" w:right="80" w:hanging="431"/>
        <w:spacing w:after="0" w:line="288"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For purposes of this unaudited pro forma financial information, Comcast believes, to the best of its knowledge,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TWC book values represent the best estimate of fair value. No adjustment has been made because it is preliminarily assumed 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annual depreciation expense would increase by approximately $170 million.</w:t>
      </w:r>
    </w:p>
    <w:p>
      <w:pPr>
        <w:spacing w:after="0" w:line="74" w:lineRule="exact"/>
        <w:rPr>
          <w:rFonts w:ascii="Arial" w:cs="Arial" w:eastAsia="Arial" w:hAnsi="Arial"/>
          <w:sz w:val="16"/>
          <w:szCs w:val="16"/>
          <w:color w:val="auto"/>
        </w:rPr>
      </w:pPr>
    </w:p>
    <w:p>
      <w:pPr>
        <w:ind w:left="1060" w:right="100" w:hanging="431"/>
        <w:spacing w:after="0" w:line="30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46" w:lineRule="exact"/>
        <w:rPr>
          <w:sz w:val="20"/>
          <w:szCs w:val="20"/>
          <w:color w:val="auto"/>
        </w:rPr>
      </w:pPr>
    </w:p>
    <w:p>
      <w:pPr>
        <w:ind w:left="1080" w:right="380"/>
        <w:spacing w:after="0" w:line="264" w:lineRule="auto"/>
        <w:rPr>
          <w:sz w:val="20"/>
          <w:szCs w:val="20"/>
          <w:color w:val="auto"/>
        </w:rPr>
      </w:pPr>
      <w:r>
        <w:rPr>
          <w:rFonts w:ascii="Arial" w:cs="Arial" w:eastAsia="Arial" w:hAnsi="Arial"/>
          <w:sz w:val="18"/>
          <w:szCs w:val="18"/>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June 30, 2014</w:t>
            </w:r>
          </w:p>
        </w:tc>
        <w:tc>
          <w:tcPr>
            <w:tcW w:w="15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0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auto"/>
              </w:rPr>
              <w:t>Adjustment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Useful Life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480"/>
              <w:spacing w:after="0"/>
              <w:rPr>
                <w:sz w:val="20"/>
                <w:szCs w:val="20"/>
                <w:color w:val="auto"/>
              </w:rPr>
            </w:pPr>
            <w:r>
              <w:rPr>
                <w:rFonts w:ascii="Arial" w:cs="Arial" w:eastAsia="Arial" w:hAnsi="Arial"/>
                <w:sz w:val="14"/>
                <w:szCs w:val="14"/>
                <w:b w:val="1"/>
                <w:bCs w:val="1"/>
                <w:color w:val="auto"/>
              </w:rPr>
              <w:t>Incremental Amortization</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$ 40,700</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14,688</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8,045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years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ind w:left="740"/>
              <w:spacing w:after="0"/>
              <w:rPr>
                <w:sz w:val="20"/>
                <w:szCs w:val="20"/>
                <w:color w:val="auto"/>
              </w:rPr>
            </w:pPr>
            <w:r>
              <w:rPr>
                <w:rFonts w:ascii="Arial" w:cs="Arial" w:eastAsia="Arial" w:hAnsi="Arial"/>
                <w:sz w:val="18"/>
                <w:szCs w:val="18"/>
                <w:color w:val="auto"/>
              </w:rPr>
              <w:t>470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 years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0"/>
        <w:spacing w:after="0" w:line="270" w:lineRule="auto"/>
        <w:rPr>
          <w:sz w:val="20"/>
          <w:szCs w:val="20"/>
          <w:color w:val="auto"/>
        </w:rPr>
      </w:pPr>
      <w:r>
        <w:rPr>
          <w:rFonts w:ascii="Arial" w:cs="Arial" w:eastAsia="Arial" w:hAnsi="Arial"/>
          <w:sz w:val="17"/>
          <w:szCs w:val="17"/>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55%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4"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7" w:lineRule="exact"/>
        <w:rPr>
          <w:sz w:val="20"/>
          <w:szCs w:val="20"/>
          <w:color w:val="auto"/>
        </w:rPr>
      </w:pPr>
    </w:p>
    <w:p>
      <w:pPr>
        <w:ind w:left="1060" w:hanging="431"/>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 to record goodwill resulting from the TWC merger. Goodwill represents the residual of the purchase price over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identified assets acquired and liabilities assumed. Goodwill is not amortized but rather is assessed for impairment at least annually or more frequently whenever events or circumstances indicate that goodwill might be impaired.</w:t>
      </w:r>
    </w:p>
    <w:p>
      <w:pPr>
        <w:spacing w:after="0" w:line="86" w:lineRule="exact"/>
        <w:rPr>
          <w:rFonts w:ascii="Arial" w:cs="Arial" w:eastAsia="Arial" w:hAnsi="Arial"/>
          <w:sz w:val="18"/>
          <w:szCs w:val="18"/>
          <w:color w:val="auto"/>
        </w:rPr>
      </w:pPr>
    </w:p>
    <w:p>
      <w:pPr>
        <w:ind w:left="1060" w:right="200" w:hanging="431"/>
        <w:spacing w:after="0" w:line="302" w:lineRule="auto"/>
        <w:tabs>
          <w:tab w:leader="none" w:pos="10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 a corresponding adjustment to Comcast Corporation shareholders’ equity. Amount does not include estimates for fees that are not readily determinable or factually supportable. There was also an adjustment to eliminate nonrecurring transaction-related costs of $173 million recorded in the Unaudited Pro Forma Condensed Combined Statement of Income for the six months ended June 30, 2014.</w:t>
      </w:r>
    </w:p>
    <w:p>
      <w:pPr>
        <w:spacing w:after="0" w:line="59" w:lineRule="exact"/>
        <w:rPr>
          <w:rFonts w:ascii="Arial" w:cs="Arial" w:eastAsia="Arial" w:hAnsi="Arial"/>
          <w:sz w:val="16"/>
          <w:szCs w:val="16"/>
          <w:color w:val="auto"/>
        </w:rPr>
      </w:pPr>
    </w:p>
    <w:p>
      <w:pPr>
        <w:ind w:left="1060" w:right="120" w:hanging="431"/>
        <w:spacing w:after="0" w:line="269"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Adjustments to record long-term debt at fair value using quoted market values as of August 29, 2014. TWC deferred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$222 million and $445 million for the six months ended June 30,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$6 million and $13 million for the six months ended June 30, 2014 and the year ended December 31, 2013, respectively.</w:t>
      </w:r>
    </w:p>
    <w:p>
      <w:pPr>
        <w:spacing w:after="0" w:line="88" w:lineRule="exact"/>
        <w:rPr>
          <w:rFonts w:ascii="Arial" w:cs="Arial" w:eastAsia="Arial" w:hAnsi="Arial"/>
          <w:sz w:val="17"/>
          <w:szCs w:val="17"/>
          <w:color w:val="auto"/>
        </w:rPr>
      </w:pPr>
    </w:p>
    <w:p>
      <w:pPr>
        <w:ind w:left="1060" w:right="160" w:hanging="431"/>
        <w:spacing w:after="0" w:line="276"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franchise rights, and long-term debt. The incremental deferred tax liabilities were calculated based on the tax effect of the approximately $17.8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77" w:lineRule="exact"/>
        <w:rPr>
          <w:rFonts w:ascii="Arial" w:cs="Arial" w:eastAsia="Arial" w:hAnsi="Arial"/>
          <w:sz w:val="17"/>
          <w:szCs w:val="17"/>
          <w:color w:val="auto"/>
        </w:rPr>
      </w:pPr>
    </w:p>
    <w:p>
      <w:pPr>
        <w:ind w:left="1060" w:right="80" w:hanging="431"/>
        <w:spacing w:after="0" w:line="255"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Comcast Class A common stock issuance. </w:t>
      </w:r>
      <w:r>
        <w:rPr>
          <w:rFonts w:ascii="Arial" w:cs="Arial" w:eastAsia="Arial" w:hAnsi="Arial"/>
          <w:sz w:val="18"/>
          <w:szCs w:val="18"/>
          <w:color w:val="auto"/>
        </w:rPr>
        <w:t>An estimated 806 million shares of Comcast Class A common stock will be issued to TWC’s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based on 280.2 million TWC shares of common stock outstanding as of August 29, 2014, at a per share price of $54.72, which was the closing price on August 29, 2014, for a total value of $44.1 billion. Additionally, the purchase price includes vested Comcast equity awards with an estimated fair value of $513 million that will be issued in respect of vested equity awards held by employees of TWC. The purchase price excludes Comcast equity awards with an estimated fair value of $807 million that will be issued in respect of unvested equity awards held by employees of TWC.</w:t>
      </w:r>
    </w:p>
    <w:p>
      <w:pPr>
        <w:spacing w:after="0" w:line="98" w:lineRule="exact"/>
        <w:rPr>
          <w:rFonts w:ascii="Arial" w:cs="Arial" w:eastAsia="Arial" w:hAnsi="Arial"/>
          <w:sz w:val="18"/>
          <w:szCs w:val="18"/>
          <w:color w:val="auto"/>
        </w:rPr>
      </w:pPr>
    </w:p>
    <w:p>
      <w:pPr>
        <w:ind w:left="1060" w:right="54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TWC stockholders’ equity. </w:t>
      </w:r>
      <w:r>
        <w:rPr>
          <w:rFonts w:ascii="Arial" w:cs="Arial" w:eastAsia="Arial" w:hAnsi="Arial"/>
          <w:sz w:val="18"/>
          <w:szCs w:val="18"/>
          <w:color w:val="auto"/>
        </w:rPr>
        <w:t>Adjustment to eliminate all TWC stockholders’ equity, including common stock, additional paid-in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net, and retained earnings.</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Pension amortization. </w:t>
      </w:r>
      <w:r>
        <w:rPr>
          <w:rFonts w:ascii="Arial" w:cs="Arial" w:eastAsia="Arial" w:hAnsi="Arial"/>
          <w:sz w:val="18"/>
          <w:szCs w:val="18"/>
          <w:color w:val="auto"/>
        </w:rPr>
        <w:t>Adjustment to remove the amortization of net actuarial gains and losses and prior service credits for TWC’s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of $1 million of gains and $75 million of losses for the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six months ended June 30,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77" w:lineRule="exact"/>
        <w:rPr>
          <w:sz w:val="20"/>
          <w:szCs w:val="20"/>
          <w:color w:val="auto"/>
        </w:rPr>
      </w:pPr>
    </w:p>
    <w:p>
      <w:pPr>
        <w:ind w:left="1060" w:right="20" w:hanging="431"/>
        <w:spacing w:after="0" w:line="271"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w:t>
      </w:r>
      <w:r>
        <w:rPr>
          <w:rFonts w:ascii="Arial" w:cs="Arial" w:eastAsia="Arial" w:hAnsi="Arial"/>
          <w:sz w:val="17"/>
          <w:szCs w:val="17"/>
          <w:i w:val="1"/>
          <w:iCs w:val="1"/>
          <w:color w:val="auto"/>
        </w:rPr>
        <w:t xml:space="preserve"> </w:t>
      </w:r>
      <w:r>
        <w:rPr>
          <w:rFonts w:ascii="Arial" w:cs="Arial" w:eastAsia="Arial" w:hAnsi="Arial"/>
          <w:sz w:val="17"/>
          <w:szCs w:val="17"/>
          <w:color w:val="auto"/>
        </w:rPr>
        <w:t>$62 million and $183 million for the six months ended June 30,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$144 million for TWC non-employee equity awards. A corresponding tax benefit of $56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84" w:lineRule="exact"/>
        <w:rPr>
          <w:rFonts w:ascii="Arial" w:cs="Arial" w:eastAsia="Arial" w:hAnsi="Arial"/>
          <w:sz w:val="17"/>
          <w:szCs w:val="17"/>
          <w:color w:val="auto"/>
        </w:rPr>
      </w:pPr>
    </w:p>
    <w:p>
      <w:pPr>
        <w:ind w:left="1060" w:right="140" w:hanging="431"/>
        <w:spacing w:after="0" w:line="308"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 nature or short duration of the asset or liability, or based upon overall immateriality to the purchase price allocation.</w:t>
      </w:r>
    </w:p>
    <w:p>
      <w:pPr>
        <w:spacing w:after="0" w:line="51" w:lineRule="exact"/>
        <w:rPr>
          <w:rFonts w:ascii="Arial" w:cs="Arial" w:eastAsia="Arial" w:hAnsi="Arial"/>
          <w:sz w:val="17"/>
          <w:szCs w:val="17"/>
          <w:color w:val="auto"/>
        </w:rPr>
      </w:pPr>
    </w:p>
    <w:p>
      <w:pPr>
        <w:ind w:left="1060" w:right="20" w:hanging="431"/>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9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June 30, 2014</w:t>
            </w: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Pro forma net income</w:t>
            </w:r>
          </w:p>
        </w:tc>
        <w:tc>
          <w:tcPr>
            <w:tcW w:w="2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4,760</w:t>
            </w:r>
          </w:p>
        </w:tc>
        <w:tc>
          <w:tcPr>
            <w:tcW w:w="5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8,404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Basic weighted average Comcast shares outstanding</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2,598</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7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TWC shares converted to Comcast shares</w:t>
            </w:r>
          </w:p>
        </w:tc>
        <w:tc>
          <w:tcPr>
            <w:tcW w:w="2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806</w:t>
            </w: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806</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(a)</w:t>
            </w:r>
          </w:p>
        </w:tc>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line="162" w:lineRule="exact"/>
              <w:rPr>
                <w:sz w:val="20"/>
                <w:szCs w:val="20"/>
                <w:color w:val="auto"/>
              </w:rPr>
            </w:pPr>
            <w:r>
              <w:rPr>
                <w:rFonts w:ascii="Arial" w:cs="Arial" w:eastAsia="Arial" w:hAnsi="Arial"/>
                <w:sz w:val="15"/>
                <w:szCs w:val="15"/>
                <w:color w:val="auto"/>
              </w:rPr>
              <w:t>Comcast incremental share repurchase—Note 3p</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(46)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basic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3,358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Dilutive effect of securities:</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ind w:left="280"/>
              <w:spacing w:after="0" w:line="162" w:lineRule="exact"/>
              <w:rPr>
                <w:sz w:val="20"/>
                <w:szCs w:val="20"/>
                <w:color w:val="auto"/>
              </w:rPr>
            </w:pPr>
            <w:r>
              <w:rPr>
                <w:rFonts w:ascii="Arial" w:cs="Arial" w:eastAsia="Arial" w:hAnsi="Arial"/>
                <w:sz w:val="15"/>
                <w:szCs w:val="15"/>
                <w:color w:val="auto"/>
              </w:rPr>
              <w:t>Comcast equity awards</w:t>
            </w: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ind w:left="280"/>
              <w:spacing w:after="0" w:line="122" w:lineRule="exact"/>
              <w:rPr>
                <w:sz w:val="20"/>
                <w:szCs w:val="20"/>
                <w:color w:val="auto"/>
              </w:rPr>
            </w:pPr>
            <w:r>
              <w:rPr>
                <w:rFonts w:ascii="Arial" w:cs="Arial" w:eastAsia="Arial" w:hAnsi="Arial"/>
                <w:sz w:val="14"/>
                <w:szCs w:val="14"/>
                <w:color w:val="auto"/>
                <w:w w:val="98"/>
              </w:rPr>
              <w:t>TWC equity awards converted to Comcast equity awards</w:t>
            </w:r>
          </w:p>
        </w:tc>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(a)</w:t>
            </w: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diluted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3,408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Pro forma basic earnings per share</w:t>
            </w: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gridSpan w:val="2"/>
            <w:vMerge w:val="continue"/>
          </w:tcPr>
          <w:p>
            <w:pPr>
              <w:spacing w:after="0"/>
              <w:rPr>
                <w:sz w:val="13"/>
                <w:szCs w:val="13"/>
                <w:color w:val="auto"/>
              </w:rPr>
            </w:pPr>
          </w:p>
        </w:tc>
        <w:tc>
          <w:tcPr>
            <w:tcW w:w="3020" w:type="dxa"/>
            <w:vAlign w:val="bottom"/>
            <w:gridSpan w:val="2"/>
          </w:tcPr>
          <w:p>
            <w:pPr>
              <w:ind w:left="29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1.42</w:t>
            </w:r>
          </w:p>
        </w:tc>
        <w:tc>
          <w:tcPr>
            <w:tcW w:w="580" w:type="dxa"/>
            <w:vAlign w:val="bottom"/>
          </w:tcPr>
          <w:p>
            <w:pPr>
              <w:spacing w:after="0"/>
              <w:rPr>
                <w:sz w:val="13"/>
                <w:szCs w:val="13"/>
                <w:color w:val="auto"/>
              </w:rPr>
            </w:pPr>
          </w:p>
        </w:tc>
        <w:tc>
          <w:tcPr>
            <w:tcW w:w="660" w:type="dxa"/>
            <w:vAlign w:val="bottom"/>
            <w:gridSpan w:val="2"/>
          </w:tcPr>
          <w:p>
            <w:pPr>
              <w:ind w:left="5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2.48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 forma diluted earnings per share</w:t>
            </w:r>
          </w:p>
        </w:tc>
        <w:tc>
          <w:tcPr>
            <w:tcW w:w="3020" w:type="dxa"/>
            <w:vAlign w:val="bottom"/>
            <w:gridSpan w:val="2"/>
            <w:shd w:val="clear" w:color="auto" w:fill="CCEEFF"/>
          </w:tcPr>
          <w:p>
            <w:pPr>
              <w:ind w:left="29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w:t>
            </w:r>
          </w:p>
        </w:tc>
        <w:tc>
          <w:tcPr>
            <w:tcW w:w="5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right="60" w:hanging="545"/>
        <w:spacing w:after="0" w:line="244" w:lineRule="auto"/>
        <w:tabs>
          <w:tab w:leader="none" w:pos="162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August 29,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w:t>
      </w:r>
    </w:p>
    <w:p>
      <w:pPr>
        <w:spacing w:after="0" w:line="1" w:lineRule="exact"/>
        <w:rPr>
          <w:rFonts w:ascii="Arial" w:cs="Arial" w:eastAsia="Arial" w:hAnsi="Arial"/>
          <w:sz w:val="13"/>
          <w:szCs w:val="13"/>
          <w:color w:val="auto"/>
        </w:rPr>
      </w:pPr>
    </w:p>
    <w:p>
      <w:pPr>
        <w:ind w:left="1620"/>
        <w:spacing w:after="0"/>
        <w:rPr>
          <w:rFonts w:ascii="Arial" w:cs="Arial" w:eastAsia="Arial" w:hAnsi="Arial"/>
          <w:sz w:val="13"/>
          <w:szCs w:val="13"/>
          <w:color w:val="auto"/>
        </w:rPr>
      </w:pPr>
      <w:r>
        <w:rPr>
          <w:rFonts w:ascii="Arial" w:cs="Arial" w:eastAsia="Arial" w:hAnsi="Arial"/>
          <w:sz w:val="14"/>
          <w:szCs w:val="14"/>
          <w:color w:val="auto"/>
        </w:rPr>
        <w:t>4 million, respectively.</w:t>
      </w:r>
    </w:p>
    <w:p>
      <w:pPr>
        <w:spacing w:after="0" w:line="101" w:lineRule="exact"/>
        <w:rPr>
          <w:rFonts w:ascii="Arial" w:cs="Arial" w:eastAsia="Arial" w:hAnsi="Arial"/>
          <w:sz w:val="13"/>
          <w:szCs w:val="13"/>
          <w:color w:val="auto"/>
        </w:rPr>
      </w:pPr>
    </w:p>
    <w:p>
      <w:pPr>
        <w:ind w:left="1060" w:right="40" w:hanging="431"/>
        <w:spacing w:after="0" w:line="289"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$54.72 of Comcast Class A common stock on August 29, 2014, the share repurchase would equate to 46 million shares. The resulting negative cash position from the TWC merger-related pro forma reflects a subtotal and not Comcast’s anticipated cash position subsequent to the closing of the TWC merger and the Charter divestiture transactions. It is assumed in this pro forma financial information that both the TWC merger and the Charter divestiture transactions will close on the same day. There will be sufficient liquidity, including through cash on hand and Comcast’s revolving credit facility, for the purpose of Comcast’s anticipated share repurchases and general working capital needs.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Balance Sheet Giving Effect to the TWC Merger and the Charter Divestiture Transactions As of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for TWC</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TWC Cable</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Merger</w:t>
            </w:r>
          </w:p>
        </w:tc>
        <w:tc>
          <w:tcPr>
            <w:tcW w:w="940" w:type="dxa"/>
            <w:vAlign w:val="bottom"/>
            <w:gridSpan w:val="3"/>
            <w:vMerge w:val="restart"/>
          </w:tcPr>
          <w:p>
            <w:pPr>
              <w:jc w:val="center"/>
              <w:ind w:right="239"/>
              <w:spacing w:after="0"/>
              <w:rPr>
                <w:sz w:val="20"/>
                <w:szCs w:val="20"/>
                <w:color w:val="auto"/>
              </w:rPr>
            </w:pPr>
            <w:r>
              <w:rPr>
                <w:rFonts w:ascii="Arial" w:cs="Arial" w:eastAsia="Arial" w:hAnsi="Arial"/>
                <w:sz w:val="14"/>
                <w:szCs w:val="14"/>
                <w:b w:val="1"/>
                <w:bCs w:val="1"/>
                <w:color w:val="auto"/>
                <w:w w:val="91"/>
              </w:rPr>
              <w:t>Comcast</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Systems in</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Systems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Transactions-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2"/>
                <w:szCs w:val="12"/>
                <w:color w:val="auto"/>
              </w:rPr>
            </w:pPr>
          </w:p>
        </w:tc>
        <w:tc>
          <w:tcPr>
            <w:tcW w:w="8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Acquired in</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Systems in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and Sale</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Exchange</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Forma</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Transactions</w:t>
            </w:r>
          </w:p>
        </w:tc>
        <w:tc>
          <w:tcPr>
            <w:tcW w:w="80" w:type="dxa"/>
            <w:vAlign w:val="bottom"/>
          </w:tcPr>
          <w:p>
            <w:pPr>
              <w:spacing w:after="0"/>
              <w:rPr>
                <w:sz w:val="14"/>
                <w:szCs w:val="14"/>
                <w:color w:val="auto"/>
              </w:rPr>
            </w:pPr>
          </w:p>
        </w:tc>
        <w:tc>
          <w:tcPr>
            <w:tcW w:w="86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SpinCo</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gridSpan w:val="2"/>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29"/>
        </w:trPr>
        <w:tc>
          <w:tcPr>
            <w:tcW w:w="4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12,800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11,932</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7,062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6,698</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2,449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2,328</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12,173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(502)</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and television costs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3,137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44,864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(1,982)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660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43,530</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100,064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(5,561)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1,927</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87,484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56,919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2,996</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54,897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26,564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(2,180)</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851</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25,477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3,491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3,516</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252,420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6,816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6,610</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879</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1,827</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10,649</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4,609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(447)</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376</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71,327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(7,800)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68,627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50,965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(3,697)</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475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45,796</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11,930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11,868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 subsidiary</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1,052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94,046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1,755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95,618</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94,411</w:t>
            </w:r>
          </w:p>
        </w:tc>
        <w:tc>
          <w:tcPr>
            <w:tcW w:w="2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95,983</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252,420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Six Months Ended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45,304</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84"/>
              </w:rPr>
              <w:t>1,658</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41,961</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12,568</w:t>
            </w:r>
          </w:p>
        </w:tc>
        <w:tc>
          <w:tcPr>
            <w:tcW w:w="0" w:type="dxa"/>
            <w:vAlign w:val="bottom"/>
          </w:tcPr>
          <w:p>
            <w:pPr>
              <w:spacing w:after="0"/>
              <w:rPr>
                <w:sz w:val="1"/>
                <w:szCs w:val="1"/>
                <w:color w:val="auto"/>
              </w:rPr>
            </w:pPr>
          </w:p>
        </w:tc>
      </w:tr>
      <w:tr>
        <w:trPr>
          <w:trHeight w:val="21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13,232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12,509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3,236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55</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4,406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36,037</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1,449</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34,133</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7,828</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(1,775)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(1,697)</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233</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(1,518)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(1,440)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7,749</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6,388</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(2,888)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(2,359)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4,861</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4,029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4,760</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3,928</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1.42</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1.17</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1.40</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3,358</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3,358</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3,408</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3,408</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Year Ended December 31, 2013</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86,329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79"/>
              </w:rPr>
              <w:t>3,112</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79,544</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24,224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22,985</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25,953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24,438</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6,396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110</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8,642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2,808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69,243</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2,737</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245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65,269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17,086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14,275</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(3,671)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(3,514)</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579</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(3,530)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(3,373)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13,556</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(404)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10,902</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(4,832)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(3,796)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8,724</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7,106</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(320)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8,404</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6,786</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2.48</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2.00</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2.45</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1.97</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3,385</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3,385</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3,437</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3,437</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24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Giving Effect to the TWC Merger and Charter Divestiture Transactions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47 to 49, and should be read in conjunction with that information and the related notes.</w:t>
      </w:r>
    </w:p>
    <w:p>
      <w:pPr>
        <w:spacing w:after="0" w:line="178"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66"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6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Unaudited Pro Forma Condensed Combined Balance Sheet gives effect to the TWC merger and the Charter divestiture transactions as if they had occurred on June 30, 2014, and the Unaudited Pro Forma Condensed Combined Statements of Income for the six months ended June 30, 2014 and the year ended December 31, 2013 give effect to the TWC merger and the Charter divestiture transactions as if they had occurred on January 1, 2013, the beginning of the earliest period presented.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Charter Divestiture Transactions-Related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37" w:lineRule="exact"/>
        <w:rPr>
          <w:sz w:val="20"/>
          <w:szCs w:val="20"/>
          <w:color w:val="auto"/>
        </w:rPr>
      </w:pPr>
    </w:p>
    <w:p>
      <w:pPr>
        <w:ind w:left="200" w:right="260" w:firstLine="443"/>
        <w:spacing w:after="0" w:line="264" w:lineRule="auto"/>
        <w:rPr>
          <w:sz w:val="20"/>
          <w:szCs w:val="20"/>
          <w:color w:val="auto"/>
        </w:rPr>
      </w:pPr>
      <w:r>
        <w:rPr>
          <w:rFonts w:ascii="Arial" w:cs="Arial" w:eastAsia="Arial" w:hAnsi="Arial"/>
          <w:sz w:val="18"/>
          <w:szCs w:val="18"/>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81"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6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66"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connection with the SpinCo financing transactions, SpinCo is expected to make cash distributions to Comcast up to the amount of Comcast’s tax basis in SpinCo. The aggregate distributions are assumed to be $4.5 billion for purposes of this unaudited pro forma financial information. Comcast expects to use the proceeds to repay indebtedness, repurchase shares or fund dividends. The unaudited pro forma financial information does not assume any use of these proceeds.</w:t>
      </w:r>
    </w:p>
    <w:p>
      <w:pPr>
        <w:spacing w:after="0" w:line="187"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1"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 titled “Comcast Cable Systems in SpinCo” in the unaudited pro forma financial information above, such that, in the case of a spin-off of</w:t>
      </w:r>
    </w:p>
    <w:p>
      <w:pPr>
        <w:spacing w:after="0" w:line="1"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3 million subscribers, the financial position and the results of operations of the divested Comcast cable systems would likely be approximately 20% greater than the amounts included in that column.</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Charter Divestiture Transactions</w:t>
      </w:r>
    </w:p>
    <w:p>
      <w:pPr>
        <w:spacing w:after="0" w:line="121"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$8.0 billion and $7.7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w:t>
      </w:r>
    </w:p>
    <w:p>
      <w:pPr>
        <w:spacing w:after="0" w:line="183"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Following the closing of the TWC merger,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For purposes of this unaudited pro forma financial information, the SpinCo indebtedness is estimated to be $7.8 billion, consisting of $3.0 billion of SpinCo notes and $4.8 billion of other bank debt and/or terms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the SpinCo cash distributions are subject to change based on the ultimate completion of the SpinCo financing transactions and the finalization of the detailed analysis to quantify Comcast’s tax basis in SpinCo. A hypothetical 10% decrease in the amount of Comcast debt exchanged would result in an increase to interest expense of $16 million on an annual basis.</w:t>
      </w:r>
    </w:p>
    <w:p>
      <w:pPr>
        <w:spacing w:after="0" w:line="389" w:lineRule="exact"/>
        <w:rPr>
          <w:sz w:val="20"/>
          <w:szCs w:val="20"/>
          <w:color w:val="auto"/>
        </w:rPr>
      </w:pPr>
    </w:p>
    <w:p>
      <w:pPr>
        <w:ind w:left="200" w:right="340" w:firstLine="443"/>
        <w:spacing w:after="0" w:line="297" w:lineRule="auto"/>
        <w:rPr>
          <w:sz w:val="20"/>
          <w:szCs w:val="20"/>
          <w:color w:val="auto"/>
        </w:rPr>
      </w:pPr>
      <w:r>
        <w:rPr>
          <w:rFonts w:ascii="Arial" w:cs="Arial" w:eastAsia="Arial" w:hAnsi="Arial"/>
          <w:sz w:val="16"/>
          <w:szCs w:val="16"/>
          <w:color w:val="auto"/>
        </w:rPr>
        <w:t>Following the spin-off transaction, SpinCo will merge with New Charter, with SpinCo as the surviving public entity, resulting in Comcast shareholders, including former TWC stockholders, owning an estimated aggregate 67% of the outstanding shares of SpinCo common stock and New Charter or a subsidiary of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present the effects of the transactions described above:</w:t>
      </w:r>
    </w:p>
    <w:p>
      <w:pPr>
        <w:spacing w:after="0" w:line="136" w:lineRule="exact"/>
        <w:rPr>
          <w:sz w:val="20"/>
          <w:szCs w:val="20"/>
          <w:color w:val="auto"/>
        </w:rPr>
      </w:pPr>
    </w:p>
    <w:p>
      <w:pPr>
        <w:ind w:left="640" w:right="980"/>
        <w:spacing w:after="0" w:line="282" w:lineRule="auto"/>
        <w:rPr>
          <w:sz w:val="20"/>
          <w:szCs w:val="20"/>
          <w:color w:val="auto"/>
        </w:rPr>
      </w:pPr>
      <w:r>
        <w:rPr>
          <w:rFonts w:ascii="Arial" w:cs="Arial" w:eastAsia="Arial" w:hAnsi="Arial"/>
          <w:sz w:val="18"/>
          <w:szCs w:val="18"/>
          <w:b w:val="1"/>
          <w:bCs w:val="1"/>
          <w:color w:val="auto"/>
        </w:rPr>
        <w:t>Comcast Cable Systems in SpinCo</w:t>
      </w:r>
      <w:r>
        <w:rPr>
          <w:rFonts w:ascii="Arial" w:cs="Arial" w:eastAsia="Arial" w:hAnsi="Arial"/>
          <w:sz w:val="18"/>
          <w:szCs w:val="18"/>
          <w:color w:val="auto"/>
        </w:rPr>
        <w:t>—Presents the historical Comcast financial information of the cable systems divested in the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the SpinCo indebtedness incurred immediately prior to the spin-off transaction.</w:t>
      </w:r>
    </w:p>
    <w:p>
      <w:pPr>
        <w:spacing w:after="0" w:line="54" w:lineRule="exact"/>
        <w:rPr>
          <w:sz w:val="20"/>
          <w:szCs w:val="20"/>
          <w:color w:val="auto"/>
        </w:rPr>
      </w:pPr>
    </w:p>
    <w:p>
      <w:pPr>
        <w:ind w:left="640" w:right="400"/>
        <w:spacing w:after="0" w:line="266" w:lineRule="auto"/>
        <w:rPr>
          <w:sz w:val="20"/>
          <w:szCs w:val="20"/>
          <w:color w:val="auto"/>
        </w:rPr>
      </w:pPr>
      <w:r>
        <w:rPr>
          <w:rFonts w:ascii="Arial" w:cs="Arial" w:eastAsia="Arial" w:hAnsi="Arial"/>
          <w:sz w:val="18"/>
          <w:szCs w:val="18"/>
          <w:b w:val="1"/>
          <w:bCs w:val="1"/>
          <w:color w:val="auto"/>
        </w:rPr>
        <w:t>TWC Cable Systems in Exchange and Sale Transactions</w:t>
      </w:r>
      <w:r>
        <w:rPr>
          <w:rFonts w:ascii="Arial" w:cs="Arial" w:eastAsia="Arial" w:hAnsi="Arial"/>
          <w:sz w:val="18"/>
          <w:szCs w:val="18"/>
          <w:color w:val="auto"/>
        </w:rPr>
        <w:t>—Presents the historical TWC financial information of the cable systems divested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and sale of cable systems to Charter adjusted for their proportionate share of the acquisition accounting pro forma adjustments included in the unaudited pro forma financial information giving effect to the TWC merger.</w:t>
      </w:r>
    </w:p>
    <w:p>
      <w:pPr>
        <w:spacing w:after="0" w:line="68" w:lineRule="exact"/>
        <w:rPr>
          <w:sz w:val="20"/>
          <w:szCs w:val="20"/>
          <w:color w:val="auto"/>
        </w:rPr>
      </w:pPr>
    </w:p>
    <w:p>
      <w:pPr>
        <w:ind w:left="640" w:right="240"/>
        <w:spacing w:after="0" w:line="282" w:lineRule="auto"/>
        <w:rPr>
          <w:sz w:val="20"/>
          <w:szCs w:val="20"/>
          <w:color w:val="auto"/>
        </w:rPr>
      </w:pPr>
      <w:r>
        <w:rPr>
          <w:rFonts w:ascii="Arial" w:cs="Arial" w:eastAsia="Arial" w:hAnsi="Arial"/>
          <w:sz w:val="18"/>
          <w:szCs w:val="18"/>
          <w:b w:val="1"/>
          <w:bCs w:val="1"/>
          <w:color w:val="auto"/>
        </w:rPr>
        <w:t>Charter Cable Systems Acquired in Exchange Transaction</w:t>
      </w:r>
      <w:r>
        <w:rPr>
          <w:rFonts w:ascii="Arial" w:cs="Arial" w:eastAsia="Arial" w:hAnsi="Arial"/>
          <w:sz w:val="18"/>
          <w:szCs w:val="18"/>
          <w:color w:val="auto"/>
        </w:rPr>
        <w:t>—Presents the historical Charter financial information of the cable systems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exchange transaction.</w:t>
      </w:r>
    </w:p>
    <w:p>
      <w:pPr>
        <w:spacing w:after="0" w:line="166" w:lineRule="exact"/>
        <w:rPr>
          <w:sz w:val="20"/>
          <w:szCs w:val="20"/>
          <w:color w:val="auto"/>
        </w:rPr>
      </w:pPr>
    </w:p>
    <w:p>
      <w:pPr>
        <w:ind w:left="200" w:right="240" w:firstLine="443"/>
        <w:spacing w:after="0" w:line="287"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unaudited financial information does not include costs associated with shared functions (e.g., corporate headquarters and related administrative overhead allocations). Accordingly, the unaudited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annual amount of such costs to be allocated to the Comcast cable systems in SpinCo, the TWC cable systems in the exchange and sale transactions and the Charter cable systems acquired in the exchange transaction are $290 million, $420 million and $80 million, respectively. As such, the carveout financial statements will likely be materially different from the presentation in this unaudited pro forma financial information.</w:t>
      </w:r>
    </w:p>
    <w:p>
      <w:pPr>
        <w:spacing w:after="0" w:line="169" w:lineRule="exact"/>
        <w:rPr>
          <w:sz w:val="20"/>
          <w:szCs w:val="20"/>
          <w:color w:val="auto"/>
        </w:rPr>
      </w:pPr>
    </w:p>
    <w:p>
      <w:pPr>
        <w:ind w:left="200" w:right="300" w:firstLine="443"/>
        <w:spacing w:after="0" w:line="276"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$8.0 billion. This represents the estimated fair value of the TWC cable systems exchanged. The actual value of the exchange transaction will be based on the operations of the exchanged cable systems for 2014 and is subject to change.</w:t>
      </w:r>
    </w:p>
    <w:p>
      <w:pPr>
        <w:spacing w:after="0" w:line="173" w:lineRule="exact"/>
        <w:rPr>
          <w:sz w:val="20"/>
          <w:szCs w:val="20"/>
          <w:color w:val="auto"/>
        </w:rPr>
      </w:pPr>
    </w:p>
    <w:p>
      <w:pPr>
        <w:ind w:left="200" w:right="400" w:firstLine="443"/>
        <w:spacing w:after="0" w:line="34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June 30, 2014, along with a preliminary allocation of purchase price to the assets acquired and liabilities assumed in the exchange transaction.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TWC cable systems exchanged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8,000</w:t>
            </w:r>
          </w:p>
        </w:tc>
        <w:tc>
          <w:tcPr>
            <w:tcW w:w="7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40" w:type="dxa"/>
            <w:vAlign w:val="bottom"/>
          </w:tcPr>
          <w:p>
            <w:pPr>
              <w:jc w:val="right"/>
              <w:ind w:right="369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5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3h,3j</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3b</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Franchise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3,222</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3d</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(2,680)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3f</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(1,013)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3"/>
        <w:spacing w:after="0" w:line="276"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Charter Divestiture Transactions-Related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Charter divestiture transactions:</w:t>
      </w:r>
    </w:p>
    <w:p>
      <w:pPr>
        <w:spacing w:after="0" w:line="131" w:lineRule="exact"/>
        <w:rPr>
          <w:sz w:val="20"/>
          <w:szCs w:val="20"/>
          <w:color w:val="auto"/>
        </w:rPr>
      </w:pPr>
    </w:p>
    <w:p>
      <w:pPr>
        <w:ind w:left="1060" w:right="320" w:hanging="431"/>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reflect the restoration of the intercompany transactions between the SpinCo and TWC divested cable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21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The adjustments include the following intercompany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TWC Cable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Charter Cable</w:t>
            </w:r>
          </w:p>
        </w:tc>
        <w:tc>
          <w:tcPr>
            <w:tcW w:w="34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Charter Divestiture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Comcast Cable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Systems in</w:t>
            </w:r>
          </w:p>
        </w:tc>
        <w:tc>
          <w:tcPr>
            <w:tcW w:w="74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Systems Acquired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As of June 30, 2014 (in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80" w:type="dxa"/>
            <w:vAlign w:val="bottom"/>
            <w:gridSpan w:val="3"/>
          </w:tcPr>
          <w:p>
            <w:pPr>
              <w:jc w:val="center"/>
              <w:ind w:left="63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40" w:type="dxa"/>
            <w:vAlign w:val="bottom"/>
          </w:tcPr>
          <w:p>
            <w:pPr>
              <w:spacing w:after="0"/>
              <w:rPr>
                <w:sz w:val="12"/>
                <w:szCs w:val="12"/>
                <w:color w:val="auto"/>
              </w:rPr>
            </w:pPr>
          </w:p>
        </w:tc>
        <w:tc>
          <w:tcPr>
            <w:tcW w:w="15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Systems in SpinCo</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Transactions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Transaction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payable and accrued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expenses related to trade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creditors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right"/>
              <w:ind w:right="336"/>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2014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9"/>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15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40" w:type="dxa"/>
            <w:vAlign w:val="bottom"/>
            <w:gridSpan w:val="5"/>
          </w:tcPr>
          <w:p>
            <w:pPr>
              <w:jc w:val="center"/>
              <w:ind w:left="55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5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60" w:right="240" w:hanging="431"/>
        <w:spacing w:after="0" w:line="273"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fair value adjustment is based on previous valuations 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six months ended June 30, 2014 and year ended December 31, 2013 of $55 million and $110 million, respectively, based on an estimated average useful life of 6 years.</w:t>
      </w:r>
    </w:p>
    <w:p>
      <w:pPr>
        <w:spacing w:after="0" w:line="83" w:lineRule="exact"/>
        <w:rPr>
          <w:rFonts w:ascii="Arial" w:cs="Arial" w:eastAsia="Arial" w:hAnsi="Arial"/>
          <w:sz w:val="17"/>
          <w:szCs w:val="17"/>
          <w:color w:val="auto"/>
        </w:rPr>
      </w:pPr>
    </w:p>
    <w:p>
      <w:pPr>
        <w:ind w:left="1060" w:right="160" w:hanging="431"/>
        <w:spacing w:after="0" w:line="297" w:lineRule="auto"/>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5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9" w:lineRule="exact"/>
        <w:rPr>
          <w:sz w:val="20"/>
          <w:szCs w:val="20"/>
          <w:color w:val="auto"/>
        </w:rPr>
      </w:pPr>
    </w:p>
    <w:p>
      <w:pPr>
        <w:ind w:left="1080" w:right="80"/>
        <w:spacing w:after="0" w:line="279" w:lineRule="auto"/>
        <w:rPr>
          <w:sz w:val="20"/>
          <w:szCs w:val="20"/>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information about the identifiable intangible assets: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ind w:left="5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22"/>
              <w:spacing w:after="0" w:line="149" w:lineRule="exact"/>
              <w:rPr>
                <w:sz w:val="20"/>
                <w:szCs w:val="20"/>
                <w:color w:val="auto"/>
              </w:rPr>
            </w:pPr>
            <w:r>
              <w:rPr>
                <w:rFonts w:ascii="Arial" w:cs="Arial" w:eastAsia="Arial" w:hAnsi="Arial"/>
                <w:sz w:val="14"/>
                <w:szCs w:val="14"/>
                <w:b w:val="1"/>
                <w:bCs w:val="1"/>
                <w:color w:val="auto"/>
                <w:w w:val="94"/>
              </w:rPr>
              <w:t>June 30, 2014</w:t>
            </w:r>
          </w:p>
        </w:tc>
        <w:tc>
          <w:tcPr>
            <w:tcW w:w="16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w:t>
            </w: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2"/>
              </w:rPr>
              <w:t>Fair Value</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7"/>
              </w:rPr>
              <w:t>Useful Life</w:t>
            </w: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2"/>
          </w:tcPr>
          <w:p>
            <w:pPr>
              <w:ind w:left="600"/>
              <w:spacing w:after="0" w:line="142" w:lineRule="exact"/>
              <w:rPr>
                <w:sz w:val="20"/>
                <w:szCs w:val="20"/>
                <w:color w:val="auto"/>
              </w:rPr>
            </w:pPr>
            <w:r>
              <w:rPr>
                <w:rFonts w:ascii="Arial" w:cs="Arial" w:eastAsia="Arial" w:hAnsi="Arial"/>
                <w:sz w:val="14"/>
                <w:szCs w:val="14"/>
                <w:b w:val="1"/>
                <w:bCs w:val="1"/>
                <w:color w:val="auto"/>
              </w:rPr>
              <w:t>Incremental 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3,222</w:t>
            </w: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1,295</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1,185</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851</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8 years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62"/>
              <w:spacing w:after="0"/>
              <w:rPr>
                <w:sz w:val="20"/>
                <w:szCs w:val="20"/>
                <w:color w:val="auto"/>
              </w:rPr>
            </w:pPr>
            <w:r>
              <w:rPr>
                <w:rFonts w:ascii="Arial" w:cs="Arial" w:eastAsia="Arial" w:hAnsi="Arial"/>
                <w:sz w:val="18"/>
                <w:szCs w:val="18"/>
                <w:color w:val="auto"/>
              </w:rPr>
              <w:t>34</w:t>
            </w:r>
          </w:p>
        </w:tc>
        <w:tc>
          <w:tcPr>
            <w:tcW w:w="13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60" w:right="60" w:hanging="431"/>
        <w:spacing w:after="0" w:line="259"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Adjustments to reflect the additional goodwill resulting from the cable systems acquired from Charter in the exchange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92" w:lineRule="exact"/>
        <w:rPr>
          <w:rFonts w:ascii="Arial" w:cs="Arial" w:eastAsia="Arial" w:hAnsi="Arial"/>
          <w:sz w:val="18"/>
          <w:szCs w:val="18"/>
          <w:color w:val="auto"/>
        </w:rPr>
      </w:pPr>
    </w:p>
    <w:p>
      <w:pPr>
        <w:ind w:left="1060" w:right="20" w:hanging="431"/>
        <w:spacing w:after="0" w:line="285"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 to reduce the amount in the “Comcast Cable Systems in SpinCo” column of $7.8 billion to the total reduction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debt outstanding of $2.7 billion resulting from the debt-for-debt exchange. SpinCo will incur new indebtedness prior to the completion of the Charter divestiture transactions consisting of bank debt and/or term loans used to fund cash distributions to Comcast and SpinCo notes newly issued to Comcast, which will enable Comcast to complete the debt-for-debt exchange following the TWC merger. Certain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Following the spin-off transaction, the SpinCo indebtedness will no longer be consolidated with Comcast. See “The Charter divestiture transactions— Contribution and Spin-Off” for further information. The SpinCo financing transactions assume a hypothetical $300 million premium to par value on the debt-for-debt exchange, which is expected to result in a loss and is reflected as a pro forma adjustment to shareholders’ equity. This is partially offset by an adjustment to shareholders’ equity for the related tax benefit on this loss of $117 million which is recorded in accrued expenses and other current liabilities. Cash and cash equivalents is adjusted to eliminate $300 million related to the portion of the other bank debt and/or term loans to be used for general corporate purposes at SpinCo, which will no longer be consolidated with Comcast following the spin-off transaction, and to record the aggregate distributions of $4.5 billion by SpinCo to Comcast. There is also a corresponding adjustment to interest expense for the six months ended June 30, 2014 related to the elimination of interest expense on the SpinCo indebtedness of $195 million partially offset by a reduction of interest expense on the tendered notes of $78 million. The corresponding adjustment to interest expense for the year ended December 31, 2013 related to the elimination of interest expense on the SpinCo indebtedness is $390 million partially offset by a reduction of interest expense on the tendered notes of $157 million.</w:t>
      </w:r>
    </w:p>
    <w:p>
      <w:pPr>
        <w:spacing w:after="0" w:line="78" w:lineRule="exact"/>
        <w:rPr>
          <w:rFonts w:ascii="Arial" w:cs="Arial" w:eastAsia="Arial" w:hAnsi="Arial"/>
          <w:sz w:val="16"/>
          <w:szCs w:val="16"/>
          <w:color w:val="auto"/>
        </w:rPr>
      </w:pPr>
    </w:p>
    <w:p>
      <w:pPr>
        <w:ind w:left="1060" w:right="180" w:hanging="431"/>
        <w:spacing w:after="0" w:line="291"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Adjustments to record the deferred tax impact of acquisition accounting adjustments for the cable systems acquired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in the 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11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411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00" w:hanging="431"/>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Adjustment to reflect the changes in pro forma Comcast total shareholders’ equity as a result of the Charter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62" w:lineRule="exact"/>
        <w:rPr>
          <w:sz w:val="20"/>
          <w:szCs w:val="20"/>
          <w:color w:val="auto"/>
        </w:rPr>
      </w:pPr>
    </w:p>
    <w:p>
      <w:pPr>
        <w:ind w:left="1080" w:right="280"/>
        <w:spacing w:after="0" w:line="264" w:lineRule="auto"/>
        <w:rPr>
          <w:sz w:val="20"/>
          <w:szCs w:val="20"/>
          <w:color w:val="auto"/>
        </w:rPr>
      </w:pPr>
      <w:r>
        <w:rPr>
          <w:rFonts w:ascii="Arial" w:cs="Arial" w:eastAsia="Arial" w:hAnsi="Arial"/>
          <w:sz w:val="18"/>
          <w:szCs w:val="18"/>
          <w:color w:val="auto"/>
        </w:rPr>
        <w:t>The amounts in the column titled “Comcast Cable Systems in SpinCo” represents the impact of the spin-off transaction, including the historical net assets of the cable systems included in SpinCo, as well as the impact on the net assets of SpinCo from the SpinCo financing transactions.</w:t>
      </w:r>
    </w:p>
    <w:p>
      <w:pPr>
        <w:spacing w:after="0" w:line="73" w:lineRule="exact"/>
        <w:rPr>
          <w:sz w:val="20"/>
          <w:szCs w:val="20"/>
          <w:color w:val="auto"/>
        </w:rPr>
      </w:pPr>
    </w:p>
    <w:p>
      <w:pPr>
        <w:ind w:left="1080" w:right="20"/>
        <w:spacing w:after="0" w:line="276" w:lineRule="auto"/>
        <w:rPr>
          <w:sz w:val="20"/>
          <w:szCs w:val="20"/>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$11.4 billion relating to the impact of the cash proceeds from the exchange and sale transactions and the fair value adjustments related to the Charter cable systems acquired in the exchange.</w:t>
      </w:r>
    </w:p>
    <w:p>
      <w:pPr>
        <w:spacing w:after="0" w:line="64" w:lineRule="exact"/>
        <w:rPr>
          <w:sz w:val="20"/>
          <w:szCs w:val="20"/>
          <w:color w:val="auto"/>
        </w:rPr>
      </w:pPr>
    </w:p>
    <w:p>
      <w:pPr>
        <w:ind w:left="1080" w:right="680"/>
        <w:spacing w:after="0" w:line="277" w:lineRule="auto"/>
        <w:rPr>
          <w:sz w:val="20"/>
          <w:szCs w:val="20"/>
          <w:color w:val="auto"/>
        </w:rPr>
      </w:pPr>
      <w:r>
        <w:rPr>
          <w:rFonts w:ascii="Arial" w:cs="Arial" w:eastAsia="Arial" w:hAnsi="Arial"/>
          <w:sz w:val="18"/>
          <w:szCs w:val="18"/>
          <w:color w:val="auto"/>
        </w:rPr>
        <w:t>The SpinCo financing transactions are expected to result in an estimated loss of $183 million, net of tax, relating to the hypothetical premium to par value on the debt-for-debt exchange as discussed further in Note 3e.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the impact of the divestiture transactions on pro forma Comcast total shareholders’ equity:</w:t>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 Forma Comcast Total Shareholders’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excluding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$94,046</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Distribution of SpinCo to Comcast shareholders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r>
      <w:tr>
        <w:trPr>
          <w:trHeight w:val="216"/>
        </w:trPr>
        <w:tc>
          <w:tcPr>
            <w:tcW w:w="10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 and sale transactions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Loss from debt-for-debt exchange premium, net of tax</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7"/>
        </w:trPr>
        <w:tc>
          <w:tcPr>
            <w:tcW w:w="10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including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95,618</w:t>
            </w:r>
          </w:p>
        </w:tc>
      </w:tr>
      <w:tr>
        <w:trPr>
          <w:trHeight w:val="20"/>
        </w:trPr>
        <w:tc>
          <w:tcPr>
            <w:tcW w:w="10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60" w:right="220" w:hanging="431"/>
        <w:spacing w:after="0" w:line="264"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Fair value of cash, receivables and other assets and liabilities</w:t>
      </w:r>
      <w:r>
        <w:rPr>
          <w:rFonts w:ascii="Arial" w:cs="Arial" w:eastAsia="Arial" w:hAnsi="Arial"/>
          <w:sz w:val="18"/>
          <w:szCs w:val="18"/>
          <w:color w:val="auto"/>
        </w:rPr>
        <w:t>. Fair value related to these accounts is assumed to equal Charter’s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for the cable systems acquired in the exchange transaction due to either the liquid nature or short duration of the asset or liability, or based upon overall immateriality to the purchase price allocation.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560" w:type="dxa"/>
            <w:vAlign w:val="bottom"/>
          </w:tcPr>
          <w:p>
            <w:pPr>
              <w:spacing w:after="0"/>
              <w:rPr>
                <w:sz w:val="14"/>
                <w:szCs w:val="14"/>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June 30, 2014</w:t>
            </w:r>
          </w:p>
        </w:tc>
        <w:tc>
          <w:tcPr>
            <w:tcW w:w="1780" w:type="dxa"/>
            <w:vAlign w:val="bottom"/>
            <w:gridSpan w:val="4"/>
          </w:tcPr>
          <w:p>
            <w:pPr>
              <w:ind w:left="52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2,598</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15"/>
                <w:szCs w:val="15"/>
                <w:color w:val="auto"/>
              </w:rPr>
              <w:t>(a)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Comcast incremental share repurchase—Note 3p to unaudited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 forma information giving effect to the TWC merger</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Dilutive effect of securities: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Comcast equity awards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15"/>
                <w:szCs w:val="15"/>
                <w:color w:val="auto"/>
              </w:rPr>
              <w:t>(a)</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00" w:right="40" w:hanging="425"/>
        <w:spacing w:after="0" w:line="234" w:lineRule="auto"/>
        <w:tabs>
          <w:tab w:leader="none" w:pos="15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Represents the estimated number of shares of Comcast Class A common stock to be issued to TWC shareholders based on the number of shares of TWC common stock outstanding as of August 29,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 4 million, respectively.</w:t>
      </w:r>
    </w:p>
    <w:p>
      <w:pPr>
        <w:spacing w:after="0" w:line="213" w:lineRule="exact"/>
        <w:rPr>
          <w:rFonts w:ascii="Arial" w:cs="Arial" w:eastAsia="Arial" w:hAnsi="Arial"/>
          <w:sz w:val="14"/>
          <w:szCs w:val="14"/>
          <w:color w:val="auto"/>
        </w:rPr>
      </w:pPr>
    </w:p>
    <w:p>
      <w:pPr>
        <w:ind w:left="1060" w:right="60" w:hanging="431"/>
        <w:spacing w:after="0" w:line="279"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$7.7</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cash received from the exchange transaction of $300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$1.9 billion.</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In addition to the other information contained or incorporated by reference into this joint proxy statement/prospectus, including the matters addressed in “Cautionary Statement Regarding Forward-Looking Statements” beginning on page 79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8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$151.42 and as low as $133.08 between that date and August 29, 2014. The closing price per share of Comcast Class A common stock as of February 12, 2014, the last trading date before the public announcement of the merger agreement, was $55.24, and the closing price per share has fluctuated as high as $55.41 and as low as $47.96 between that date and August 29,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8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market price of Comcast Class A common stock after the merger may be affected by factors different from those affecting shares of TWC common stock currently.</w:t>
      </w:r>
    </w:p>
    <w:p>
      <w:pPr>
        <w:spacing w:after="0" w:line="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244 of this joint proxy statement/prospectus.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After completion of the merger, Comcast may fail to realize the anticipated benefits and cost savings of the merger, which could adversely affect the value of Comcast Class A common stock.</w:t>
      </w:r>
    </w:p>
    <w:p>
      <w:pPr>
        <w:spacing w:after="0" w:line="5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52"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Comcast’s ability to successfully combine the businesses of Comcast and TWC;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the combined business will perform as expected.</w:t>
      </w:r>
    </w:p>
    <w:p>
      <w:pPr>
        <w:spacing w:after="0" w:line="225"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99"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combining certain of the companies’ operations and corporate functions;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integrating and unifying the product offerings and services available to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and vendors and avoiding delays in entering into new agreements with prospective customers, distributors, providers and vendors;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coordinating programming, distribution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may have difficulty attracting, motivating and retaining executives and other employees in light of the merger.</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188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Comcast and TWC to complete the merger are subject to satisfaction or waiver of a number of conditions, including, among others:</w:t>
      </w:r>
    </w:p>
    <w:p>
      <w:pPr>
        <w:spacing w:after="0" w:line="46" w:lineRule="exact"/>
        <w:rPr>
          <w:sz w:val="20"/>
          <w:szCs w:val="20"/>
          <w:color w:val="auto"/>
        </w:rPr>
      </w:pPr>
    </w:p>
    <w:p>
      <w:pPr>
        <w:ind w:firstLine="8"/>
        <w:spacing w:after="0" w:line="284" w:lineRule="auto"/>
        <w:tabs>
          <w:tab w:leader="none" w:pos="21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169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178 of this joint proxy statement/prospectus for a definition of burdensome condition). For a more complete summary of the conditions that must be satisfied or waived prior to completion of the merger, see “The Merger Agreement— Conditions to Completion of the Merger” beginning on page 166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 Efforts to Obtain Regulatory Approvals” beginning on page 156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166 and 178, respectively, of this joint proxy statement/prospectus.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203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and TWC’s business relationships may be subject to disruption due to uncertainty associated with the merger.</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9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Certain of TWC’s executive officers and directors have interests in the merger that may be different from your interests as a stockholder of TWC or as a shareholder of Comcast.</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188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5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174 of this joint proxy statement/prospectus.</w:t>
      </w:r>
    </w:p>
    <w:p>
      <w:pPr>
        <w:spacing w:after="0" w:line="17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3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7"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Comcast and TWC may experience negative reactions from their respective customers, regulators and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Comcast and TWC will be required to pay certain costs relating to the merger, whether or not the merger is completed;</w:t>
      </w:r>
    </w:p>
    <w:p>
      <w:pPr>
        <w:spacing w:after="0" w:line="130"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170 of this joint proxy statement/prospectus for a description of the restrictive covenants applicable to TWC and Comcast); and</w:t>
      </w:r>
    </w:p>
    <w:p>
      <w:pPr>
        <w:spacing w:after="0" w:line="63" w:lineRule="exact"/>
        <w:rPr>
          <w:rFonts w:ascii="Arial" w:cs="Arial" w:eastAsia="Arial" w:hAnsi="Arial"/>
          <w:sz w:val="16"/>
          <w:szCs w:val="16"/>
          <w:color w:val="auto"/>
        </w:rPr>
      </w:pPr>
    </w:p>
    <w:p>
      <w:pPr>
        <w:jc w:val="both"/>
        <w:ind w:left="900" w:right="6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the merger is not completed, the risks described above may materialize and they may adversely affect Comcast’s and TWC’s businesses, financial condition, financial results and stock prices.</w:t>
      </w:r>
    </w:p>
    <w:p>
      <w:pPr>
        <w:spacing w:after="0" w:line="170"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Comcast Class A common stock to be received by TWC stockholders upon completion of the merger will have different rights from shares of TWC common stock.</w:t>
      </w:r>
    </w:p>
    <w:p>
      <w:pPr>
        <w:spacing w:after="0" w:line="5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225 of this joint proxy statement/prospectus for a discussion of the different rights associated with Comcast Class A common stock.</w:t>
      </w:r>
    </w:p>
    <w:p>
      <w:pPr>
        <w:spacing w:after="0" w:line="2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After the merger, TWC stockholders will have a significantly lower ownership and voting interest in Comcast than they currently have in TWC and will exercise less influence over management.</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7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Lawsuits have been filed and other lawsuits may be filed against TWC and Comcast challenging the merger. An adverse ruling in any such lawsuit may prevent the merger from being completed.</w:t>
      </w:r>
    </w:p>
    <w:p>
      <w:pPr>
        <w:spacing w:after="0" w:line="5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7"/>
          <w:szCs w:val="17"/>
          <w:i w:val="1"/>
          <w:iCs w:val="1"/>
          <w:color w:val="auto"/>
        </w:rPr>
        <w:t>Barrett</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Inc., et al.</w:t>
      </w:r>
      <w:r>
        <w:rPr>
          <w:rFonts w:ascii="Arial" w:cs="Arial" w:eastAsia="Arial" w:hAnsi="Arial"/>
          <w:sz w:val="17"/>
          <w:szCs w:val="17"/>
          <w:color w:val="auto"/>
        </w:rPr>
        <w:t xml:space="preserve">, Index No. 650507/2014 (N.Y. Sup. Ct.). Three of these actions are pending in the Court of Chancery of the State of Delaware under the following captions: </w:t>
      </w:r>
      <w:r>
        <w:rPr>
          <w:rFonts w:ascii="Arial" w:cs="Arial" w:eastAsia="Arial" w:hAnsi="Arial"/>
          <w:sz w:val="17"/>
          <w:szCs w:val="17"/>
          <w:i w:val="1"/>
          <w:iCs w:val="1"/>
          <w:color w:val="auto"/>
        </w:rPr>
        <w:t>Louisiana Municipal Police Employees’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System </w:t>
      </w:r>
      <w:r>
        <w:rPr>
          <w:rFonts w:ascii="Arial" w:cs="Arial" w:eastAsia="Arial" w:hAnsi="Arial"/>
          <w:sz w:val="17"/>
          <w:szCs w:val="17"/>
          <w:color w:val="auto"/>
        </w:rPr>
        <w:t>v.</w:t>
      </w:r>
      <w:r>
        <w:rPr>
          <w:rFonts w:ascii="Arial" w:cs="Arial" w:eastAsia="Arial" w:hAnsi="Arial"/>
          <w:sz w:val="17"/>
          <w:szCs w:val="17"/>
          <w:i w:val="1"/>
          <w:iCs w:val="1"/>
          <w:color w:val="auto"/>
        </w:rPr>
        <w:t xml:space="preserve"> Black</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9410-VCN (Del. Ch.);</w:t>
      </w:r>
      <w:r>
        <w:rPr>
          <w:rFonts w:ascii="Arial" w:cs="Arial" w:eastAsia="Arial" w:hAnsi="Arial"/>
          <w:sz w:val="17"/>
          <w:szCs w:val="17"/>
          <w:i w:val="1"/>
          <w:iCs w:val="1"/>
          <w:color w:val="auto"/>
        </w:rPr>
        <w:t xml:space="preserve"> Tangarone v. Time Warner 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 </w:t>
      </w:r>
      <w:r>
        <w:rPr>
          <w:rFonts w:ascii="Arial" w:cs="Arial" w:eastAsia="Arial" w:hAnsi="Arial"/>
          <w:sz w:val="17"/>
          <w:szCs w:val="17"/>
          <w:color w:val="auto"/>
        </w:rPr>
        <w:t>No. 9477-VCN. These complaints name as defendants TWC, the members of the TWC board of directors, Comcast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July 22, 2014, the parties to the litigation entered into an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See “TWC Proposal I: Adoption of the Merger Agreement and Comcast Proposal I: Approval of the Stock Issuance—Litigation Relating to the Merger” beginning on page 161 of this joint proxy statement/prospectus for more information about the lawsuits related to the merger that have been filed prior to the date of this joint proxy statement/prospectus.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285"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will incur significant transaction and merger-related costs in connection with the merger.</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113, 128 and 137 of this joint proxy statement/prospectus, respectively) and other advisors and representatives, certain employment-related costs relating to employees of TWC (which are described under “Interests of Certain Persons in the Merger” beginning on page 188 of this joint proxy statement/prospectus), filing fees due in connection with filings required under the HSR Act and filing fees (which equaled approximately $5 million), litigation costs and printing and mailing costs for this joint proxy statement/prospectus. Some of these costs have already been incurred or may be incurred regardless of whether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 Unaudited Pro Forma Condensed Combined Statement of Income Giving Effect to the TWC Merger For the Six Months Ended June 30, 2014” beginning on pages 49 and 48,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 Unaudited Pro Forma Condensed Combined Statement of Income For the Year Ended December 31, 2013 and For the Six Months Ended June 30, 2014” beginning on page 58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completion of the merger, Comcast expects to issue approximately 806 million shares of Comcast Class A common stock to TWC stockholders and reserve for issuance approximately 54 million additional shares of Comcast Class A common stock in connection with the conversion, exercise or settlement of outstanding TWC options and restricted stock units and future equity compensation awards. The issuance of these new shares of Comcast Class A common stock could have the effect of depressing the market price of shares of Comcast Class A common stock.</w:t>
      </w:r>
    </w:p>
    <w:p>
      <w:pPr>
        <w:spacing w:after="0" w:line="15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44 of this joint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Comcast and TWC.</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244 of this joint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69 of this joint proxy statement/prospectus and in other reports that Comcast and TWC file with the SEC.</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Both Comcast’s and TWC’s businesses, and any anticipated benefits of the merger to Comcast shareholders and TWC stockholders, may be affected by, among other things:</w:t>
      </w:r>
    </w:p>
    <w:p>
      <w:pPr>
        <w:spacing w:after="0" w:line="76"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timing to complete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failure to receive necessary shareholder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condition to completion of the merger may not be satisfied;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regulatory or other approval that may be required for the merger is delayed, is not obtained or is obtained subject to conditions that are not anticipated or that may be burdensome;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condition to completion of the divestiture transactions may not be satisfied and Comcast is required to pursue an alternate disposition transaction, which may be on less favorable terms;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Comcast’s ability to promptly and effectively integrate TWC’s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53" w:lineRule="exact"/>
        <w:rPr>
          <w:rFonts w:ascii="Arial" w:cs="Arial" w:eastAsia="Arial" w:hAnsi="Arial"/>
          <w:sz w:val="16"/>
          <w:szCs w:val="16"/>
          <w:color w:val="auto"/>
        </w:rPr>
      </w:pPr>
    </w:p>
    <w:p>
      <w:pPr>
        <w:ind w:left="900" w:right="5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diversion of management and workforce time on merger-related issues, including activities of labor unions and the integration of TWC employees into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changes in Comcast’s or TWC’s businesses, future cash requirements, capital requirements, results of operations, revenues, financial condition and/or cash flows;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changes in acquisition-related transaction costs, the amount of fees paid to financial advisors and the potential payments to TWC’s named executive officers in connection with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operating costs and business disruption that may be greater than expected;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ability to retain and hire key personnel and maintain relationships with providers or other business partners pending completion of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effects of competition.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74" w:lineRule="exact"/>
        <w:rPr>
          <w:sz w:val="20"/>
          <w:szCs w:val="20"/>
          <w:color w:val="auto"/>
        </w:rPr>
      </w:pPr>
    </w:p>
    <w:p>
      <w:pPr>
        <w:ind w:left="900" w:right="80" w:hanging="446"/>
        <w:spacing w:after="0" w:line="277"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w:t>
      </w:r>
      <w:r>
        <w:rPr>
          <w:rFonts w:ascii="Arial" w:cs="Arial" w:eastAsia="Arial" w:hAnsi="Arial"/>
          <w:sz w:val="17"/>
          <w:szCs w:val="17"/>
          <w:b w:val="1"/>
          <w:bCs w:val="1"/>
          <w:color w:val="auto"/>
        </w:rPr>
        <w:t xml:space="preserve"> </w:t>
      </w:r>
      <w:r>
        <w:rPr>
          <w:rFonts w:ascii="Arial" w:cs="Arial" w:eastAsia="Arial" w:hAnsi="Arial"/>
          <w:sz w:val="17"/>
          <w:szCs w:val="17"/>
          <w:color w:val="auto"/>
        </w:rPr>
        <w:t>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900" w:right="66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900" w:right="24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Comcast’s broadcast television production operations.</w:t>
      </w:r>
    </w:p>
    <w:p>
      <w:pPr>
        <w:spacing w:after="0" w:line="67" w:lineRule="exact"/>
        <w:rPr>
          <w:rFonts w:ascii="Arial" w:cs="Arial" w:eastAsia="Arial" w:hAnsi="Arial"/>
          <w:sz w:val="18"/>
          <w:szCs w:val="18"/>
          <w:color w:val="auto"/>
        </w:rPr>
      </w:pPr>
    </w:p>
    <w:p>
      <w:pPr>
        <w:ind w:left="900" w:right="38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Time Warner Cable Inc. was incorporated as a Delaware corporation on March 21, 2003, and TWC and its predecessors have been in the cable business for over 40 years in various legal forms.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 OF COMCAST</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October 8, 2014, at The Kimmel Center for the Performing Arts, located at 300 S. Broad Street, Philadelphia, Pennsylvania 19102, at 9:30 a.m., local time, and any adjournments or postponements of the Comcast special meeting.</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Only shareholders or their proxy holders may attend the Comcast special meeting. If you hold shares in your name at the record date (the close of business on August 18, 2014), please be prepared to provide proper identification, such as a driver’s license, to gain admission to the Comcast special meeting.</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you are a beneficial owner of Comcast common shares held in “street name” by a broker, bank, nominee or other holder of record at the record date (the close of business on August 18,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Comcast special meeting, Comcast shareholders will be asked to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special meeting.</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Comcast Board of Directors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time of the Comcast special meeting. See “TWC Proposal I: Adoption of the Merger Agreement and Comcast Proposal I: Approval of the Stock Issuance —Comcast’s Reasons for the Merger; Recommendation of the Comcast Board of Directors” beginning on page 110 of this joint proxy statement/prospectus for a more detailed discussion of the recommendation of the Comcast board of directors that Comcast shareholders approve the stock issuance.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Record Date; Outstanding Shares; Shareholders Entitled to Vote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Comcast board of directors has fixed the close of business on August 18,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August 18, 2014, there were 2,151,130,406 shares of Comcast Class A common shares outstanding and entitled to vote at the Comcast special meeting, held by approximately 552,750 holders of record. As of the close of business on August 18,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0.1317 votes per share and each holder of Comcast Class B common stock is entitled to 15 votes per share. Holders of Comcast Class A Special common stock are not entitled to vote at the meeting.</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 impede the consummation of the merger. As of the record date, these shares represent an aggregate of approximately 0.03% of the outstanding shares of Comcast Class A common stock and 100% of the outstanding shares of Comcast Class B common stock, which together represent approximately 33.4%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combined voting power of Comcast Class A common stock and Comcast Class B common stock for purposes of the single class vote. The voting agreement may be terminated under certain circumstances.</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186 of this joint proxy statement/prospectus.</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w:t>
      </w:r>
      <w:r>
        <w:rPr>
          <w:rFonts w:ascii="Arial" w:cs="Arial" w:eastAsia="Arial" w:hAnsi="Arial"/>
          <w:sz w:val="16"/>
          <w:szCs w:val="16"/>
          <w:color w:val="auto"/>
        </w:rPr>
        <w:t xml:space="preserve"> </w:t>
      </w:r>
      <w:r>
        <w:rPr>
          <w:rFonts w:ascii="Arial" w:cs="Arial" w:eastAsia="Arial" w:hAnsi="Arial"/>
          <w:sz w:val="16"/>
          <w:szCs w:val="16"/>
          <w:b w:val="1"/>
          <w:bCs w:val="1"/>
          <w:color w:val="auto"/>
        </w:rPr>
        <w:t>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Comcast Directors and Executive Officers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At the record date for the Comcast special meeting (the close of business on August 18, 2014), (i) Comcast’s directors and executive officers and their affiliates beneficially owned and had the right to vote 3,183,285 shares of Comcast Class A common stock at the Comcast special meeting, which represents approximately 0.15% of the shares of Comcast Class A common stock entitled to vote at the Comcast special meeting and (ii) Brian L. Roberts and his affiliates beneficially owned and had the right to vote 9,444,375 shares of Comcast Class B common stock, which represents 100% of the shares of Comcast Class B common stock entitled to vote at the Comcast special meeting.</w:t>
      </w:r>
    </w:p>
    <w:p>
      <w:pPr>
        <w:spacing w:after="0" w:line="184"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0.03% of the outstanding shares of Comcast Class A common stock and 100% of the outstanding shares of Comcast Class B common stock, which together represent approximately 33.4% of the combined voting power of Comcast Class A common stock and Comcast Class B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October 7, 2014.</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may vote via the Internet or by telephone only if Internet or telephone voting is made available by your broker,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bank, nominee or other holder of record. Please follow the voting instructions provided by your broker, bank, nominee or other holder of record with these materials.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October 7, 2014.</w:t>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Comcast special meeting.</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18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 give voting instructions to the broker, bank, nominee or other holder of record, then those shares will not be present in person or represented by proxy at the special meeting. As a result, it is expected that there will not be any broker non-votes in connection with either of the proposals described in this joint proxy statement/prospectus.</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67"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Comcast special meeting. If you are a shareholder of record at the record date (the close of business on August 18, 2014), you can revoke your proxy or change your vote by:</w:t>
      </w:r>
    </w:p>
    <w:p>
      <w:pPr>
        <w:spacing w:after="0" w:line="76" w:lineRule="exact"/>
        <w:rPr>
          <w:sz w:val="20"/>
          <w:szCs w:val="20"/>
          <w:color w:val="auto"/>
        </w:rPr>
      </w:pPr>
    </w:p>
    <w:p>
      <w:pPr>
        <w:ind w:left="900" w:hanging="446"/>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Comcast special meeting; or</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Comcast special meeting, please contact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 OF TWC</w:t>
      </w:r>
    </w:p>
    <w:p>
      <w:pPr>
        <w:spacing w:after="0" w:line="225"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Together with this joint proxy statement/prospectus, TWC is also sending you a notice of the TWC special meeting and a form of proxy that is solicited by the TWC board of directors for use at the TWC special meeting to be held on October 9, 2014, at The Bennack Theater at the Paley Center for Media, located at 25 West 52nd Street, New York, New York 10019, at 10:00 a.m., local time, and any adjournments or postponements of the TWC special meeting.</w:t>
      </w:r>
    </w:p>
    <w:p>
      <w:pPr>
        <w:spacing w:after="0" w:line="14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w:t>
      </w:r>
    </w:p>
    <w:p>
      <w:pPr>
        <w:ind w:right="40" w:firstLine="8"/>
        <w:spacing w:after="0" w:line="277" w:lineRule="auto"/>
        <w:tabs>
          <w:tab w:leader="none" w:pos="43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by a broker, bank, nominee or other holder of record at the record date (the close of business on August 18,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TWC special meeting, TWC stockholders will be asked to consider and vote on the following proposals:</w:t>
      </w:r>
    </w:p>
    <w:p>
      <w:pPr>
        <w:spacing w:after="0" w:line="131" w:lineRule="exact"/>
        <w:rPr>
          <w:sz w:val="20"/>
          <w:szCs w:val="20"/>
          <w:color w:val="auto"/>
        </w:rPr>
      </w:pPr>
    </w:p>
    <w:p>
      <w:pPr>
        <w:ind w:left="900" w:right="64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made by TWC to its named executive officers in connection with the merger.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TWC’s by-laws, the business to be conducted at TWC’s special meeting will be limited to the purposes stated in the notice to TWC stockholders provided with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TWC stockholders are not entitled to vote on the divestiture transactions, and no vote with respect thereto is being solicited by TWC.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TWC Board of Directors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See “TWC Proposal I: Adoption of the Merger Agreement and Comcast Proposal I: Approval of the Stock Issuance—TWC’s Reasons for the Merger; Recommendation of the Merger by the TWC Board of Directors” beginning on page 105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See “TWC Proposal II: Advisory Vote on Golden Parachute Compensation” beginning on page 201 of this joint proxy statement/prospectus for a more detailed discussion of the recommendation of the TWC board of directors that TWC stockholders vote for the advisory (non-binding) vote to approve the “golden parachute” compensation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 Record Date; Outstanding Shares; Stockholders Entitled to Vote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TWC board of directors has fixed the close of business on August 18,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presence at the TWC special meeting, in person or by proxy, of the holders of a majority of the votes entitled to be cast for each proposal at the record date (the close of business on August 18,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Adoption of the merger agreement requires the affirmative vote of holders of a majority of the outstanding shares of TWC common stock entitled to vote. </w:t>
      </w:r>
      <w:r>
        <w:rPr>
          <w:rFonts w:ascii="Arial" w:cs="Arial" w:eastAsia="Arial" w:hAnsi="Arial"/>
          <w:sz w:val="18"/>
          <w:szCs w:val="18"/>
          <w:b w:val="1"/>
          <w:bCs w:val="1"/>
          <w:color w:val="auto"/>
        </w:rPr>
        <w:t>TWC cannot complete the merger unless its stockholders adopt the merger agreement.</w:t>
      </w:r>
      <w:r>
        <w:rPr>
          <w:rFonts w:ascii="Arial" w:cs="Arial" w:eastAsia="Arial" w:hAnsi="Arial"/>
          <w:sz w:val="18"/>
          <w:szCs w:val="18"/>
          <w:color w:val="auto"/>
        </w:rPr>
        <w:t xml:space="preserve"> Because adoption requires the affirmative vote of holders of a majority of the outstanding shares of TWC common stock entitled to vote, </w:t>
      </w:r>
      <w:r>
        <w:rPr>
          <w:rFonts w:ascii="Arial" w:cs="Arial" w:eastAsia="Arial" w:hAnsi="Arial"/>
          <w:sz w:val="18"/>
          <w:szCs w:val="18"/>
          <w:b w:val="1"/>
          <w:bCs w:val="1"/>
          <w:color w:val="auto"/>
        </w:rPr>
        <w:t>a TWC stockholder’s abstention from voting, the failure of a TWC</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9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Approval, on an advisory (non-binding) basis, of the “golden parachute” compensation payments that will or may be paid by TWC to its named executive officers in connection with the merger requires the affirmative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vote of a majority of the votes cast at the TWC special meeting by holders of shares of TWC common stock.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TWC Directors and Executive Officers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At the record date for the TWC special meeting (the close of business on August 18, 2014), TWC’s directors and executive officers and their affiliates beneficially owned and had the right to vote 139,191 shares of TWC common stock at the TWC special meeting, which represents less than 0.1% of the shares of TWC common stock entitled to vote at the TWC special meeting.</w:t>
      </w:r>
    </w:p>
    <w:p>
      <w:pPr>
        <w:spacing w:after="0" w:line="17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It is expected that TWC’s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although none of them has entered into any agreement requiring them to do so.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October 8, 2014.</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October 8, 2014.</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TWC special meeting (although attendance at the TWC special meeting will not by itself revoke a proxy).</w:t>
      </w:r>
    </w:p>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46"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7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6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TWC special meeting. If you are a stockholder of record at the record date (the close of business on August 18, 2014), you can revoke your proxy or change your vote by:</w:t>
      </w:r>
    </w:p>
    <w:p>
      <w:pPr>
        <w:spacing w:after="0" w:line="76" w:lineRule="exact"/>
        <w:rPr>
          <w:sz w:val="20"/>
          <w:szCs w:val="20"/>
          <w:color w:val="auto"/>
        </w:rPr>
      </w:pPr>
    </w:p>
    <w:p>
      <w:pPr>
        <w:ind w:left="900" w:right="6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TWC special meeting; or</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TWC special meeting, please contact: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460"/>
        <w:spacing w:after="0" w:line="282" w:lineRule="auto"/>
        <w:rPr>
          <w:sz w:val="20"/>
          <w:szCs w:val="20"/>
          <w:color w:val="auto"/>
        </w:rPr>
      </w:pPr>
      <w:r>
        <w:rPr>
          <w:rFonts w:ascii="Arial" w:cs="Arial" w:eastAsia="Arial" w:hAnsi="Arial"/>
          <w:sz w:val="18"/>
          <w:szCs w:val="18"/>
          <w:b w:val="1"/>
          <w:bCs w:val="1"/>
          <w:color w:val="auto"/>
        </w:rPr>
        <w:t>TWC PROPOSAL I: ADOPTION OF THE MERGER AGREEMENT AND COMCAST PROPOSAL I: APPROVAL OF THE STOCK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9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8"/>
          <w:szCs w:val="18"/>
          <w:b w:val="1"/>
          <w:bCs w:val="1"/>
          <w:color w:val="auto"/>
        </w:rPr>
        <w:t>The merger will not be completed unless TWC stockholders adopt the merger agreement and Comcast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approve the stock issuance. </w:t>
      </w:r>
      <w:r>
        <w:rPr>
          <w:rFonts w:ascii="Arial" w:cs="Arial" w:eastAsia="Arial" w:hAnsi="Arial"/>
          <w:sz w:val="18"/>
          <w:szCs w:val="18"/>
          <w:color w:val="auto"/>
        </w:rPr>
        <w:t>A copy of the merger agreement is attached as Annex A to this joint proxy statement/prospectus. You are urged to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in its entirety because it is the legal document that governs the merger. For additional information about the merger, see “The Merger Agreement—Structure of the Merger” and “The Merger Agreement—Merger Consideration” beginning on pages 163 and 164, respectively, of this joint proxy statement/prospectus.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completion of the merger, each share of TWC common stock will be converted into the right to receive 2.875 shares of Comcast Class A common stock. Based on the number of shares of TWC common stock outstanding as of August 29, 2014, Comcast expects to issue approximately 806 million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August 29, 2014, and the number of shares of Comcast common stock (including Comcast Class A common stock, Comcast Class A Special common stock and Comcast Class B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w:t>
      </w:r>
    </w:p>
    <w:p>
      <w:pPr>
        <w:spacing w:after="0" w:line="178" w:lineRule="exact"/>
        <w:rPr>
          <w:sz w:val="20"/>
          <w:szCs w:val="20"/>
          <w:color w:val="auto"/>
        </w:rPr>
      </w:pPr>
    </w:p>
    <w:p>
      <w:pPr>
        <w:ind w:right="1080" w:firstLine="456"/>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 environment facing the industries in which they operate and each company’s competitive position. In addition, from time to time, members of TWC’s and Comcast’s respective senior management teams meet with the senior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8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Also, beginning in mid-2013, senior executives of Comcast, Liberty and Charter had a number of discussions concerning a range of topics relating to their respective businesses.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Allen &amp; Company and Morgan Stanley, which were retained in May 2013 to provide TWC with general financial advice and analysis and to assist TWC in considering and responding to Charter’s overtures.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Following Mr. Britt’s letter to Mr. Rutledge on July 11, 2013, there were no further communications between TWC and either Charter or Liberty regarding Charter’s potential acquisition of TWC until late October 2013.</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July 25, 2013, the TWC board of directors held a regularly scheduled meeting, at which, among other matters, the TWC board of directors discussed potential transaction opportunities and considered potential courses of action that Charter might pursue, including the possibility that Charter might launch a proxy fight for control of the TWC board of directors or make an unsolicited public offer for TWC.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 Among other matters, the parties discussed the possibility of Comcast making an investment in debt securities or common or preferred equity of TWC in connection with the transaction. The parties determined at the time, however, that such an investment would be inadvisable due to accounting, regulatory and other issues.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October 23, 2013, the Comcast board of directors held a regularly scheduled meeting at which the Comcast board of directors received an update regarding developments involving TWC. The Comcast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concluded that it would be appropriate for Comcast management to continue exploring potential strategic alternatives involving TWC.</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8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November 25, 2013, legal representatives of each of Comcast and TWC met to discuss certain legal issues that might arise in connection with a potential merger of Comcast and TWC.</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mid-December, Mr. Rutledge contacted Mr. Marcus by telephone to inquire as to whether TWC was interested in discussing further a potential transaction with Charter. Mr. Marcus suggested that a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Mr. Minson and Christopher Winfrey, Chief Financial Officer of Charter, might be useful to better understand Charter’s financing plan, synergy assumptions and tax benefit assumptions.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7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Morgan Stanley and Citi (Citi was retained in June 2013 to provide TWC with general financial advice and analysis and to assist TWC in considering and responding to Charter’s overtures), regarding the financial terms of a transaction with Charter that TWC would consider pursuing. TWC decided to retain all three financial advisors because it believed that each had different experience and could provide the TWC board of directors with different perspectives. Although the TWC board of directors was not seeking to sell TWC, in light of the inadequate proposals from Charter, the TWC board of directors believed that responding to Charter with specific terms was appropriate to determine whether Charter was willing to offer a valuation and terms that the TWC board of directors believed would be consistent with maximizing stockholder value.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 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6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Rutledge indicated that he was disappointed to hear that TWC and Charter were so far apart on price and that he saw no value in continuing conversations about a potential transaction at that time.</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late 2013 and early 2014, representatives of Comcast and Charter began to engage in more substantive discussions regarding the possibility of Comcast participating in a potential bid by Charter to acquire TWC.</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On January 7, 2014, Messrs. Marcus and Rutledge both attended the 2014 Consumer Electronics Show, at which time Mr. Rutledge informed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Marcus that, based on the inability of Charter and TWC to reach an agreement on price, Mr. Rutledge intended to publicly announce Charter’s offer to acquire TWC.</w:t>
      </w:r>
    </w:p>
    <w:p>
      <w:pPr>
        <w:spacing w:after="0" w:line="18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including a Comcast investment in, or acquisition of assets from, TWC, could be attractive to TWC stockholders, but did not reach any conclusion.</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January 11, 2014, Mr. Angelakis and Mr. Marcus spoke by telephone and continued to discuss developments involving TWC, including Comcast’s potential participation in a bid by Charter to acquire TWC.</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January 15, 2014, TWC publicly filed a presentation detailing its rejection of the January 13 Charter Proposal. The presentation stated, among other things, that Charter’s proposal failed to reflect the significant value of TWC’s high quality assets, unique scale, synergy potential, growth opportunities and strong financial position. Additionally, the presentation noted that the one-year forward estimated EBITDA multiple of 7.2x implied by Charter’s offer was materially below precedent transaction multiples, especially compared to certain large scale transactions in the industry. Specifically, the presentation compared the one-year forward estimated EBITDA multiple implied by Charter’s offer to the one-year forward estimated EBITDA multiples of the following recent transactions entered into: (i) between Cablevision and Bresnan Broadband announced on June 14, 2010, which had a one-year forward estimated EBITDA multiple of 8.2x; (ii) between TWC and Insight Communications announced on August 15, 2011, which had a one-year forward estimated EBITDA multiple of 8.4x; (iii) between Oak Hill Capital Partners and WaveDivision Holdings announced on June 1, 2012, which had a one-year forward estimated EBITDA multiple of 8.0x; (iv) between Cogeco Cable and Atlantic Broadband announced on July 18, 2012, which had a one-year forward estimated EBITDA multiple of 8.3x; (v) between BC Partners and Suddenlink announced on July 18, 2012, which had a one-year forward estimated EBITDA multiple of 8.3x; (vi) between Charter and Bresnan Broadband announced on February 7, 2013, which had a one-year forward estimated EBITDA multiple of 8.0x; and (vii) between Charter and Liberty Media announced on March 19, 2013, which had a one-year forward estimated EBITDA multiple of 8.6x. The presentation also compared Charter’s offer to two large scale but less recent transactions, the first, entered into among Adelphia Communications Corporation, Comcast and Time Warner NY Cable LLC announced on April 21, 2005, which had a one-year forward estimated EBITDA multiple of 13.5x and the second, which the presentation noted was the only true comparable deal from a scale perspective, entered into between AT&amp;T Broadband and Comcast announced on December 19, 2001, which had a one-year forward estimated EBITDA multiple of 20.8x.</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in early January 2014, the TWC independent directors determined to retain Skadden and Centerview as additional legal and financial advisors, respectively, based on their view that it would be helpful to receive the separate advice of their own advisors and that it was good practice to do so. TWC’s independent directors, at that time, were all of the TWC directors other than Messrs. Britt and Marcus. Centerview was retained to provide the TWC independent directors with general financial advice and analysis and to assist the TWC independent directors in connection with their consideration of Charter’s overtures and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potential responses thereto. When Comcast and TWC engaged in discussions in early February 2014 as noted below, the independent directors requested that Centerview evaluate, and assist the independent directors with their review of, the merger on an accelerated basis, and based on their satisfaction with Centerview’s performance, determined to provide Centerview with additional compensation for such services. At the January 29, 2014 meeting, representatives of Paul, Weiss and Skadden engaged in a discussion of fiduciary duties and other legal matters. Also at the January 29, 2014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February 5, 2014, N.J. Nicholas, Jr., the lead TWC independent director, received a call from John Malone, Chairman of Liberty, and a Charter director. Mr. Malone expressed interest in pursuing an alternative, more collaborative path toward combining TWC and Charter, potentially through an all-stock transaction (although the terms of such transaction were not discussed).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Later in the day on February 5, 2014, the TWC board of directors met telephonically to receive an update from Mr. Marcus regarding his conversations with Mr. Roberts. Representatives of Paul, Weiss, Skadden, Allen &amp; Company, Centerview, Citi and Morgan Stanley attended the meeting. Mr. Marcus reviewed the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155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186 of this joint proxy statement/prospectus).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10, 2014, Messrs. Marcus and Angelakis met to discuss the potential merger consideration. Mr. Angelakis initially proposed an exchange ratio of 2.67 shares of Comcast Class A common stock per TWC share, and Mr. Marcus initially proposed an exchange ratio of 3.0 shares of Comcast Class A common stock per TWC share. After negotiation, Messrs. Marcus and Angelakis agreed, subject to approval by the companies’ respective boards of directors, on an exchange ratio of 2.875 shares of Comcast Class A common stock per TWC share.</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Although initially resisted by TWC, during the course of negotiations and upon insistence by Comcast, the parties ultimately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188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154 of this joint proxy statement/prospectus).</w:t>
      </w:r>
    </w:p>
    <w:p>
      <w:pPr>
        <w:spacing w:after="0" w:line="173"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2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then met separately with representatives of Skadden and Centerview to discuss the proposed transaction.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February 12, 2014, Davis Polk delivered a further revised draft of the merger agreement, and representatives of Davis Polk and Paul, Weiss continued to discuss outstanding issues.</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consideration and consultation with its advisors, including consideration of the factors described under the section “—Comcast’s Reasons for the Merger; Recommendation of the Comcast Board of Directors” beginning on page 110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8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including, among others, the requirement that the TWC board of directors submit the merger agreement and the merger to the TWC stockholders for consideration notwithstanding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existence of a superior alternative acquisition proposal and a change of recommendation by the TWC board of directors; that in the event the merger agreement were terminated in any circumstance, TWC would not be required to pay a termination fee; and that TWC would be permitted to implement its three-year operating plan and establish retention arrangements for employees.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including that, although the draft merger agreement would prohibit TWC from soliciting acquisition proposals from third parties, such restriction would not preclude or otherwise limit any third party from making an acquisition proposal, and if the TWC board of directors determined that such acquisition proposal could reasonably be expected to lead to a superior proposal, TWC would be permitted to enter into discussions with such third party and change its recommendation in response to such superior proposal.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17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105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Following the Comcast and TWC board meetings, representatives of Comcast, TWC, Davis Polk and Paul, Weiss participated in calls to finalize any outstanding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w:t>
      </w:r>
    </w:p>
    <w:p>
      <w:pPr>
        <w:spacing w:after="0" w:line="3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Early in the morning on February 13, 2014, Comcast and TWC issued a joint press release announcing the transaction.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7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TWC’s Reasons for the Merger; Recommendation of the Merger by the TWC Board of Directors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77"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results of TWC management’s due diligence investigation of Comcast and the reputation, business practices and experience of Comcast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strategic commercial advantages of a combination with Comcast over TWC continuing as a stand-alone company;</w:t>
      </w:r>
    </w:p>
    <w:p>
      <w:pPr>
        <w:spacing w:after="0" w:line="130" w:lineRule="exact"/>
        <w:rPr>
          <w:rFonts w:ascii="Arial" w:cs="Arial" w:eastAsia="Arial" w:hAnsi="Arial"/>
          <w:sz w:val="18"/>
          <w:szCs w:val="18"/>
          <w:color w:val="auto"/>
        </w:rPr>
      </w:pPr>
    </w:p>
    <w:p>
      <w:pPr>
        <w:ind w:left="900" w:right="420" w:hanging="325"/>
        <w:spacing w:after="0" w:line="31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potential strategic alternatives available to TWC, including the possibility of remaining a stand-alone entity and executing on TWC’s operating plan, a potential strategic acquisition or a potential sale to Charter, and the assessment of the TWC board of directors that no other alternatives reasonably available to TWC were likely to create greater value for TWC stockholders than the merger;</w:t>
      </w:r>
    </w:p>
    <w:p>
      <w:pPr>
        <w:spacing w:after="0" w:line="52"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potential risks for TWC as a stand-alone company in a consolidating industry;</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93"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93 of this joint proxy statement/prospectus;</w:t>
      </w:r>
    </w:p>
    <w:p>
      <w:pPr>
        <w:spacing w:after="0" w:line="59" w:lineRule="exact"/>
        <w:rPr>
          <w:rFonts w:ascii="Arial" w:cs="Arial" w:eastAsia="Arial" w:hAnsi="Arial"/>
          <w:sz w:val="16"/>
          <w:szCs w:val="16"/>
          <w:color w:val="auto"/>
        </w:rPr>
      </w:pPr>
    </w:p>
    <w:p>
      <w:pPr>
        <w:ind w:left="900" w:right="40" w:hanging="325"/>
        <w:spacing w:after="0" w:line="276"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77" w:lineRule="exact"/>
        <w:rPr>
          <w:rFonts w:ascii="Arial" w:cs="Arial" w:eastAsia="Arial" w:hAnsi="Arial"/>
          <w:sz w:val="17"/>
          <w:szCs w:val="17"/>
          <w:color w:val="auto"/>
        </w:rPr>
      </w:pPr>
    </w:p>
    <w:p>
      <w:pPr>
        <w:ind w:left="900" w:right="180" w:hanging="325"/>
        <w:spacing w:after="0" w:line="279"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opportunity for TWC stockholders to benefit from any increase in the trading price of shares of Comcast Class A common stock prior to completion of the merger based upon the fixed exchange ratio;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the merger is expected to be completed as a tax-free reorganization for the purposes of U.S. federal income tax;</w:t>
      </w:r>
    </w:p>
    <w:p>
      <w:pPr>
        <w:spacing w:after="0" w:line="130" w:lineRule="exact"/>
        <w:rPr>
          <w:rFonts w:ascii="Arial" w:cs="Arial" w:eastAsia="Arial" w:hAnsi="Arial"/>
          <w:sz w:val="18"/>
          <w:szCs w:val="18"/>
          <w:color w:val="auto"/>
        </w:rPr>
      </w:pPr>
    </w:p>
    <w:p>
      <w:pPr>
        <w:ind w:left="900" w:right="220" w:hanging="325"/>
        <w:spacing w:after="0" w:line="272"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joint financial presentation of TWC’s financial advisors, Allen &amp; Company, Citi and Morgan Stanley, the separate financial presentation of Centerview,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113 and 128, respectively, of this joint proxy statement/prospectus;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29" w:lineRule="exact"/>
        <w:rPr>
          <w:rFonts w:ascii="Arial" w:cs="Arial" w:eastAsia="Arial" w:hAnsi="Arial"/>
          <w:sz w:val="16"/>
          <w:szCs w:val="16"/>
          <w:color w:val="auto"/>
        </w:rPr>
      </w:pPr>
    </w:p>
    <w:p>
      <w:pPr>
        <w:jc w:val="both"/>
        <w:ind w:left="900" w:right="8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following commitments made by Comcast in the merger agreement with respect to obtaining the regulatory approvals required to complete the merger: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being prepared to divest up to approximately three million subscribers of the combined company;</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to the following undertakings (with such modifications as are no more adverse in the aggregate than such agreed undertakings):</w:t>
      </w:r>
    </w:p>
    <w:p>
      <w:pPr>
        <w:spacing w:after="0" w:line="75" w:lineRule="exact"/>
        <w:rPr>
          <w:rFonts w:ascii="Arial" w:cs="Arial" w:eastAsia="Arial" w:hAnsi="Arial"/>
          <w:sz w:val="18"/>
          <w:szCs w:val="18"/>
          <w:color w:val="auto"/>
        </w:rPr>
      </w:pPr>
    </w:p>
    <w:p>
      <w:pPr>
        <w:ind w:left="1920" w:right="280" w:hanging="318"/>
        <w:spacing w:after="0" w:line="302" w:lineRule="auto"/>
        <w:tabs>
          <w:tab w:leader="none" w:pos="192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59" w:lineRule="exact"/>
        <w:rPr>
          <w:rFonts w:ascii="Arial" w:cs="Arial" w:eastAsia="Arial" w:hAnsi="Arial"/>
          <w:sz w:val="16"/>
          <w:szCs w:val="16"/>
          <w:color w:val="auto"/>
        </w:rPr>
      </w:pPr>
    </w:p>
    <w:p>
      <w:pPr>
        <w:ind w:left="1920" w:hanging="318"/>
        <w:spacing w:after="0"/>
        <w:tabs>
          <w:tab w:leader="none" w:pos="192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53" w:lineRule="exact"/>
        <w:rPr>
          <w:rFonts w:ascii="Arial" w:cs="Arial" w:eastAsia="Arial" w:hAnsi="Arial"/>
          <w:sz w:val="16"/>
          <w:szCs w:val="16"/>
          <w:color w:val="auto"/>
        </w:rPr>
      </w:pPr>
    </w:p>
    <w:p>
      <w:pPr>
        <w:ind w:left="1920" w:right="500" w:hanging="318"/>
        <w:spacing w:after="0" w:line="277" w:lineRule="auto"/>
        <w:tabs>
          <w:tab w:leader="none" w:pos="19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75" w:lineRule="exact"/>
        <w:rPr>
          <w:rFonts w:ascii="Arial" w:cs="Arial" w:eastAsia="Arial" w:hAnsi="Arial"/>
          <w:sz w:val="18"/>
          <w:szCs w:val="18"/>
          <w:color w:val="auto"/>
        </w:rPr>
      </w:pPr>
    </w:p>
    <w:p>
      <w:pPr>
        <w:ind w:left="1480" w:right="60" w:hanging="446"/>
        <w:spacing w:after="0" w:line="259"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Comcast’s agreement (subject to certain agreed exceptions) not to:</w:t>
      </w:r>
    </w:p>
    <w:p>
      <w:pPr>
        <w:spacing w:after="0" w:line="130" w:lineRule="exact"/>
        <w:rPr>
          <w:rFonts w:ascii="Arial" w:cs="Arial" w:eastAsia="Arial" w:hAnsi="Arial"/>
          <w:sz w:val="18"/>
          <w:szCs w:val="18"/>
          <w:color w:val="auto"/>
        </w:rPr>
      </w:pPr>
    </w:p>
    <w:p>
      <w:pPr>
        <w:ind w:left="1920" w:right="20" w:hanging="318"/>
        <w:spacing w:after="0" w:line="308" w:lineRule="auto"/>
        <w:tabs>
          <w:tab w:leader="none" w:pos="192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42" w:lineRule="exact"/>
        <w:rPr>
          <w:rFonts w:ascii="Arial" w:cs="Arial" w:eastAsia="Arial" w:hAnsi="Arial"/>
          <w:sz w:val="17"/>
          <w:szCs w:val="17"/>
          <w:color w:val="auto"/>
        </w:rPr>
      </w:pPr>
    </w:p>
    <w:p>
      <w:pPr>
        <w:ind w:left="1920" w:right="880" w:hanging="318"/>
        <w:spacing w:after="0" w:line="277" w:lineRule="auto"/>
        <w:tabs>
          <w:tab w:leader="none" w:pos="19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make any direct or indirect acquisition, or series of related acquisitions, which have a value, or involve the payment of consideration, in excess of $1 billion;</w:t>
      </w:r>
    </w:p>
    <w:p>
      <w:pPr>
        <w:spacing w:after="0" w:line="75" w:lineRule="exact"/>
        <w:rPr>
          <w:rFonts w:ascii="Arial" w:cs="Arial" w:eastAsia="Arial" w:hAnsi="Arial"/>
          <w:sz w:val="18"/>
          <w:szCs w:val="18"/>
          <w:color w:val="auto"/>
        </w:rPr>
      </w:pPr>
    </w:p>
    <w:p>
      <w:pPr>
        <w:ind w:left="1480" w:right="500" w:hanging="446"/>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that TWC would have rights to help develop the strategy and to participate in meetings relating to obtaining regulatory approvals required to complete the merger;</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86" w:lineRule="exact"/>
        <w:rPr>
          <w:rFonts w:ascii="Arial" w:cs="Arial" w:eastAsia="Arial" w:hAnsi="Arial"/>
          <w:sz w:val="18"/>
          <w:szCs w:val="18"/>
          <w:color w:val="auto"/>
        </w:rPr>
      </w:pPr>
    </w:p>
    <w:p>
      <w:pPr>
        <w:jc w:val="both"/>
        <w:ind w:left="1480" w:right="160" w:hanging="446"/>
        <w:spacing w:after="0" w:line="286" w:lineRule="auto"/>
        <w:tabs>
          <w:tab w:leader="none" w:pos="14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77" w:lineRule="auto"/>
        <w:rPr>
          <w:sz w:val="20"/>
          <w:szCs w:val="20"/>
          <w:color w:val="auto"/>
        </w:rPr>
      </w:pPr>
      <w:r>
        <w:rPr>
          <w:rFonts w:ascii="Arial" w:cs="Arial" w:eastAsia="Arial" w:hAnsi="Arial"/>
          <w:sz w:val="18"/>
          <w:szCs w:val="18"/>
          <w:color w:val="auto"/>
        </w:rPr>
        <w:t>(ii) certain intervening events not known or reasonably foreseeable to the TWC board of directors or executive officers at or prior to the time the merger agreement was entered into;</w:t>
      </w:r>
    </w:p>
    <w:p>
      <w:pPr>
        <w:spacing w:after="0" w:line="75" w:lineRule="exact"/>
        <w:rPr>
          <w:sz w:val="20"/>
          <w:szCs w:val="20"/>
          <w:color w:val="auto"/>
        </w:rPr>
      </w:pPr>
    </w:p>
    <w:p>
      <w:pPr>
        <w:ind w:left="1480" w:right="360" w:hanging="446"/>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that no termination fee is payable by TWC under the terms of the merger agreement;</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and related transaction documents, including, among other things:</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86" w:lineRule="exact"/>
        <w:rPr>
          <w:rFonts w:ascii="Arial" w:cs="Arial" w:eastAsia="Arial" w:hAnsi="Arial"/>
          <w:sz w:val="18"/>
          <w:szCs w:val="18"/>
          <w:color w:val="auto"/>
        </w:rPr>
      </w:pPr>
    </w:p>
    <w:p>
      <w:pPr>
        <w:ind w:left="1480" w:right="160" w:hanging="446"/>
        <w:spacing w:after="0" w:line="25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voting agreement from Comcast Class A shareholders and Comcast Class B shareholders representing as of the record date approximately 33.4%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line="30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5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5"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the merger and the substantial time and effort of management required to complete the merger, which may disrupt TWC’s business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risk that synergies may not be realized or may not be captured to the extent and within the time expected;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risks and challenges inherent in the combination of two businesses of the size, scope and complexity of Comcast and TWC;</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uncertainty regarding whether or not the merger will be completed;</w:t>
      </w:r>
    </w:p>
    <w:p>
      <w:pPr>
        <w:spacing w:after="0" w:line="131" w:lineRule="exact"/>
        <w:rPr>
          <w:sz w:val="20"/>
          <w:szCs w:val="20"/>
          <w:color w:val="auto"/>
        </w:rPr>
      </w:pPr>
    </w:p>
    <w:p>
      <w:pPr>
        <w:ind w:left="900" w:right="80" w:hanging="325"/>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provisions of the merger agreement which could have the effect of discouraging third party offers for TWC,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restriction on TWC’s ability to solicit third party proposals for alternative transactions involving TWC;</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inability for TWC to terminate the merger agreement in order to accept a “superior” proposal from a third party prior to TWC stockholders voting against adoption of the merger agreement; and</w:t>
      </w:r>
    </w:p>
    <w:p>
      <w:pPr>
        <w:spacing w:after="0" w:line="75" w:lineRule="exact"/>
        <w:rPr>
          <w:rFonts w:ascii="Arial" w:cs="Arial" w:eastAsia="Arial" w:hAnsi="Arial"/>
          <w:sz w:val="18"/>
          <w:szCs w:val="18"/>
          <w:color w:val="auto"/>
        </w:rPr>
      </w:pPr>
    </w:p>
    <w:p>
      <w:pPr>
        <w:ind w:left="1480" w:hanging="446"/>
        <w:spacing w:after="0" w:line="308" w:lineRule="auto"/>
        <w:tabs>
          <w:tab w:leader="none" w:pos="14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circumstances in which Comcast may terminate the merger agreement, including if the TWC board of directors changes its recommendation in favor of the merger;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5"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fact that, although TWC stockholders will, immediately following completion of the merger, collectively own approximately 24% of the outstanding shares of Comcast common stock (representing approximately 27% of the outstanding shares of Comcast Class A common stock), they will only control approximately 18%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219 of this joint proxy statement/prospectus; and</w:t>
      </w:r>
    </w:p>
    <w:p>
      <w:pPr>
        <w:spacing w:after="0" w:line="98"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69 of this joint proxy statement/prospectus.</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188 of this joint proxy statement/prospectus.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79 of this joint proxy statement/prospectus.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TWC BOARD OF DIRECTORS UNANIMOUSLY RECOMMENDS THAT TWC STOCKHOLDERS VOTE “FOR” THE ADOPTION OF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Reasons for the Merger; Recommendation of the Comcast Board of Directors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line="285"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Form a Leading Technology and Innovation Company</w:t>
      </w:r>
      <w:r>
        <w:rPr>
          <w:rFonts w:ascii="Arial" w:cs="Arial" w:eastAsia="Arial" w:hAnsi="Arial"/>
          <w:sz w:val="16"/>
          <w:szCs w:val="16"/>
          <w:color w:val="auto"/>
        </w:rPr>
        <w:t>. Comcast believes that the merger will lead to the creation of a leading technology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almost 50% of Comcast’s service areas as of June 30,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 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292" w:lineRule="exact"/>
        <w:rPr>
          <w:rFonts w:ascii="Arial" w:cs="Arial" w:eastAsia="Arial" w:hAnsi="Arial"/>
          <w:sz w:val="16"/>
          <w:szCs w:val="16"/>
          <w:color w:val="auto"/>
        </w:rPr>
      </w:pPr>
    </w:p>
    <w:p>
      <w:pPr>
        <w:ind w:left="900" w:right="120" w:hanging="325"/>
        <w:spacing w:after="0" w:line="297"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Customer Benefits</w:t>
      </w:r>
      <w:r>
        <w:rPr>
          <w:rFonts w:ascii="Arial" w:cs="Arial" w:eastAsia="Arial" w:hAnsi="Arial"/>
          <w:sz w:val="16"/>
          <w:szCs w:val="16"/>
          <w:color w:val="auto"/>
        </w:rPr>
        <w:t>. Comcast believes that it is a technology leader in broadband, and the acquisition of TWC will allow more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its 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3" w:lineRule="exact"/>
        <w:rPr>
          <w:sz w:val="20"/>
          <w:szCs w:val="20"/>
          <w:color w:val="auto"/>
        </w:rPr>
      </w:pPr>
    </w:p>
    <w:p>
      <w:pPr>
        <w:ind w:left="900" w:right="60" w:hanging="325"/>
        <w:spacing w:after="0" w:line="286"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Increase Operating Efficiency</w:t>
      </w:r>
      <w:r>
        <w:rPr>
          <w:rFonts w:ascii="Arial" w:cs="Arial" w:eastAsia="Arial" w:hAnsi="Arial"/>
          <w:sz w:val="16"/>
          <w:szCs w:val="16"/>
          <w:color w:val="auto"/>
        </w:rPr>
        <w:t>. The transaction is expected to generate significant cost savings and other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Comcast’s 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79 and 70, respectively, of this joint proxy statement/prospectus.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results of management’s due diligence investigation of TWC and the reputation, business practices and experience of TWC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review by the Comcast board of directors with its legal and financial advisors of the structure of the merger and the financial and other terms of the merger agreement;</w:t>
      </w:r>
    </w:p>
    <w:p>
      <w:pPr>
        <w:spacing w:after="0" w:line="75" w:lineRule="exact"/>
        <w:rPr>
          <w:rFonts w:ascii="Arial" w:cs="Arial" w:eastAsia="Arial" w:hAnsi="Arial"/>
          <w:sz w:val="18"/>
          <w:szCs w:val="18"/>
          <w:color w:val="auto"/>
        </w:rPr>
      </w:pPr>
    </w:p>
    <w:p>
      <w:pPr>
        <w:ind w:left="900" w:right="420" w:hanging="325"/>
        <w:spacing w:after="0" w:line="286"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86"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w:t>
      </w:r>
    </w:p>
    <w:p>
      <w:pPr>
        <w:ind w:left="900"/>
        <w:spacing w:after="0"/>
        <w:rPr>
          <w:rFonts w:ascii="Arial" w:cs="Arial" w:eastAsia="Arial" w:hAnsi="Arial"/>
          <w:sz w:val="16"/>
          <w:szCs w:val="16"/>
          <w:color w:val="auto"/>
        </w:rPr>
      </w:pPr>
      <w:r>
        <w:rPr>
          <w:rFonts w:ascii="Arial" w:cs="Arial" w:eastAsia="Arial" w:hAnsi="Arial"/>
          <w:sz w:val="18"/>
          <w:szCs w:val="18"/>
          <w:color w:val="auto"/>
        </w:rPr>
        <w:t>(i) Comcast is prepared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88" w:lineRule="exact"/>
        <w:rPr>
          <w:sz w:val="20"/>
          <w:szCs w:val="20"/>
          <w:color w:val="auto"/>
        </w:rPr>
      </w:pPr>
    </w:p>
    <w:p>
      <w:pPr>
        <w:jc w:val="both"/>
        <w:ind w:left="900" w:right="160" w:hanging="325"/>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6"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 Opinion of Comcast’s Financial Advisor,” beginning on page 137 of this joint proxy statement/prospectus.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dilution associated with the issuance of Comcast Class A common stock in connection with the merger;</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53" w:lineRule="exact"/>
        <w:rPr>
          <w:rFonts w:ascii="Arial" w:cs="Arial" w:eastAsia="Arial" w:hAnsi="Arial"/>
          <w:sz w:val="16"/>
          <w:szCs w:val="16"/>
          <w:color w:val="auto"/>
        </w:rPr>
      </w:pPr>
    </w:p>
    <w:p>
      <w:pPr>
        <w:ind w:left="900" w:right="180" w:hanging="325"/>
        <w:spacing w:after="0" w:line="31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merger may not be completed and the fact that Comcast will incur substantial costs in connection with the merger even if the merger is not ultimately completed;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29" w:lineRule="exact"/>
        <w:rPr>
          <w:rFonts w:ascii="Arial" w:cs="Arial" w:eastAsia="Arial" w:hAnsi="Arial"/>
          <w:sz w:val="16"/>
          <w:szCs w:val="16"/>
          <w:color w:val="auto"/>
        </w:rPr>
      </w:pPr>
    </w:p>
    <w:p>
      <w:pPr>
        <w:ind w:left="900" w:hanging="325"/>
        <w:spacing w:after="0" w:line="308"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that certain key employees of Comcast or TWC might not choose to remain with the combined company;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69 of this joint proxy statement/prospectus.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188 of this joint proxy statement/prospectus.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79 of this joint proxy statement/prospectus.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STOCK ISSUANCE.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TWC’s Financial Advisors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w:t>
      </w:r>
      <w:r>
        <w:rPr>
          <w:rFonts w:ascii="Arial" w:cs="Arial" w:eastAsia="Arial" w:hAnsi="Arial"/>
          <w:sz w:val="16"/>
          <w:szCs w:val="16"/>
          <w:color w:val="auto"/>
        </w:rPr>
        <w:t xml:space="preserve"> </w:t>
      </w:r>
      <w:r>
        <w:rPr>
          <w:rFonts w:ascii="Arial" w:cs="Arial" w:eastAsia="Arial" w:hAnsi="Arial"/>
          <w:sz w:val="16"/>
          <w:szCs w:val="16"/>
          <w:b w:val="1"/>
          <w:bCs w:val="1"/>
          <w:color w:val="auto"/>
        </w:rPr>
        <w:t>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Allen &amp; Company, among other things:</w:t>
      </w:r>
    </w:p>
    <w:p>
      <w:pPr>
        <w:spacing w:after="0" w:line="131"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53" w:lineRule="exact"/>
        <w:rPr>
          <w:rFonts w:ascii="Arial" w:cs="Arial" w:eastAsia="Arial" w:hAnsi="Arial"/>
          <w:sz w:val="16"/>
          <w:szCs w:val="16"/>
          <w:color w:val="auto"/>
        </w:rPr>
      </w:pPr>
    </w:p>
    <w:p>
      <w:pPr>
        <w:ind w:left="900" w:right="60" w:hanging="325"/>
        <w:spacing w:after="0" w:line="30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1"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Allen &amp; Company deemed generally relevant in evaluating the merger;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In connection with Allen &amp; Company’s financial advisory services, TWC has agreed to pay Allen &amp; Company an aggregate cash fee of $25 million, of which $7.5 million was payable upon delivery of Allen &amp; Company’s opinion to the TWC board of directors in connection with the merger and $17.5 million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7"/>
          <w:szCs w:val="17"/>
          <w:b w:val="1"/>
          <w:bCs w:val="1"/>
          <w:color w:val="auto"/>
        </w:rPr>
        <w:t>Citi’s opinion was provided for the information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the TWC 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Citi, among other things:</w:t>
      </w:r>
    </w:p>
    <w:p>
      <w:pPr>
        <w:spacing w:after="0" w:line="131"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w:t>
      </w:r>
    </w:p>
    <w:p>
      <w:pPr>
        <w:spacing w:after="0" w:line="130" w:lineRule="exact"/>
        <w:rPr>
          <w:rFonts w:ascii="Arial" w:cs="Arial" w:eastAsia="Arial" w:hAnsi="Arial"/>
          <w:sz w:val="18"/>
          <w:szCs w:val="18"/>
          <w:color w:val="auto"/>
        </w:rPr>
      </w:pPr>
    </w:p>
    <w:p>
      <w:pPr>
        <w:ind w:left="900" w:right="560" w:hanging="325"/>
        <w:spacing w:after="0" w:line="30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51" w:lineRule="exact"/>
        <w:rPr>
          <w:rFonts w:ascii="Arial" w:cs="Arial" w:eastAsia="Arial" w:hAnsi="Arial"/>
          <w:sz w:val="17"/>
          <w:szCs w:val="17"/>
          <w:color w:val="auto"/>
        </w:rPr>
      </w:pPr>
    </w:p>
    <w:p>
      <w:pPr>
        <w:ind w:left="900" w:right="220" w:hanging="325"/>
        <w:spacing w:after="0" w:line="255"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70"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transactions which Citi considered relevant in evaluating the merger;</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Citi considered relevant in evaluating those of TWC and Comcast;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evaluated certain potential pro forma financial effects of the merger on Comcast;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 deemed appropriate in arriving at its opinion.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 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disclosed to Citi, as of the date of its opinion. The issuance of Citi’s opinion was authorized by Citi’s fairness opinion committee.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Citi’s services as TWC’s financial advisor, TWC has agreed to pay Citi an aggregate fee of $36 million, of which $7.5 million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ind w:right="240"/>
        <w:spacing w:after="0" w:line="277" w:lineRule="auto"/>
        <w:rPr>
          <w:sz w:val="20"/>
          <w:szCs w:val="20"/>
          <w:color w:val="auto"/>
        </w:rPr>
      </w:pPr>
      <w:r>
        <w:rPr>
          <w:rFonts w:ascii="Arial" w:cs="Arial" w:eastAsia="Arial" w:hAnsi="Arial"/>
          <w:sz w:val="17"/>
          <w:szCs w:val="17"/>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131"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TWC;</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certain financial projections relating to TWC, including certain projections referred to as the TWC Management Case, provided to or discussed with Morgan Stanley by the management of TWC;</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and discussed with Comcast certain publicly available financial projections relating to Comcast, referred to in the summary of Morgan Stanley’s opinion as the Comcast public projections;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(including potential cost savings) anticipated from the merger prepared by the managements of TWC and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Comcast’s levered free cash flow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TWC common stock and Comcast Class A common stock;</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TWC has agreed to pay Morgan Stanley for its financial advisory services in connection with the merger an aggregate fee of $36 million, of which $7.5 million was payable upon delivery of its opinion and $28.5 million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viewed as determinative of the views of the TWC board of directors or management with respect to the merger or the consideration payable in the merger.</w:t>
      </w:r>
    </w:p>
    <w:p>
      <w:pPr>
        <w:spacing w:after="0" w:line="24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6"/>
          <w:szCs w:val="16"/>
          <w:b w:val="1"/>
          <w:bCs w:val="1"/>
          <w:color w:val="auto"/>
        </w:rPr>
        <w:t>The summary set forth below does not purport to be a complete description of the financial analyses performed or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by, and underlying 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6"/>
          <w:szCs w:val="16"/>
          <w:color w:val="auto"/>
        </w:rPr>
        <w:t>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financial analyses described below, (i) earnings before interest, 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 and Comcast’s public filings.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three selected publicly traded companies in the cable industry, referred to as the TWC selected companies, noted below. The overall low to high next 12 months estimated EBITDA multiples observed for the TWC selected companies as of February 11, 2014 (the last trading day prior to the date on which the TWC board of directors approved the proposed merger) were 7.9x to 8.9x and the overall low to high next 12 months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estimated EBITDA multiples observed for the TWC selected companies as of June 13, 2013 (the last trading day prior to published reports speculating a potential acquisition proposal by Charter for TWC) were 6.0x to 8.2x, as reflected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NTM Estimated EBITDA</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NTM Estimated EBITDA</w:t>
            </w: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2"/>
              </w:rPr>
              <w:t>Multiples (as of 2/11/2014)</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Multiples (as of 6/13/2013)</w:t>
            </w:r>
          </w:p>
        </w:tc>
      </w:tr>
      <w:tr>
        <w:trPr>
          <w:trHeight w:val="210"/>
        </w:trPr>
        <w:tc>
          <w:tcPr>
            <w:tcW w:w="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Charter Communications, Inc.</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8.9x</w:t>
            </w:r>
          </w:p>
        </w:tc>
        <w:tc>
          <w:tcPr>
            <w:tcW w:w="15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  Comcast Corporation (cable business)</w:t>
            </w:r>
          </w:p>
        </w:tc>
        <w:tc>
          <w:tcPr>
            <w:tcW w:w="3120" w:type="dxa"/>
            <w:vAlign w:val="bottom"/>
            <w:gridSpan w:val="2"/>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6.0x</w:t>
            </w:r>
          </w:p>
        </w:tc>
      </w:tr>
      <w:tr>
        <w:trPr>
          <w:trHeight w:val="216"/>
        </w:trPr>
        <w:tc>
          <w:tcPr>
            <w:tcW w:w="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Cablevision Systems Corporation</w:t>
            </w:r>
          </w:p>
        </w:tc>
        <w:tc>
          <w:tcPr>
            <w:tcW w:w="31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7.5x</w:t>
            </w:r>
          </w:p>
        </w:tc>
      </w:tr>
    </w:tbl>
    <w:p>
      <w:pPr>
        <w:spacing w:after="0" w:line="2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Next 12 months estimated EBITDA multiples as of February 11, 2014 and next 12 months estimated EBITDA multiples as of June 13, 2013 observed for TWC were 7.2x and 6.2x, respectively. Observed next 12 months estimated EBITDA multiples as of February 11, 2014 and next 12 months estimated EBITDA multiples as of June 13, 2013 for Comcast’s cable business were derived from observed calendar year 2014 estimated EBITDA multiples for Comcast’s non-cable businesses as described below. The TWC financial advisors then applied a selected range of estimated EBITDA multiples of 6.25x to</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8.00x to TWC’s next 12 months estimated EBITDA as of February 11, 2014. This analysis indicated an approximate implied per share equity value reference range for TWC common stock of $108 to $159.</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The overall low to high next 12 months estimated EBITDA multiples observed for the Comcast selected cable companies as of February 11, 2014 were 7.2x to 8.9x and the overall low to high next 12 months estimated EBITDA multiples observed for the Comcast selected cable companies as of June 13, 2013 were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6.2x to 8.2x. As described above, the observed implied next 12 months estimated EBITDA multiples as of February 11, 2014 and next 12 months estimated EBITDA multiples as of June 13, 2013 for Comcast’s cable business were 7.9x and 6.0x, respectively.</w:t>
      </w:r>
    </w:p>
    <w:p>
      <w:pPr>
        <w:spacing w:after="0" w:line="18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evaluating Comcast’s non-cable businesses, specifically NBCUniversal and Comcast Spectacor, L.P., the TWC financial advisors reviewed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11.3x (with a median of 11.0x), as reflected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Multiples (as of 2/11/2014)</w:t>
            </w:r>
          </w:p>
        </w:tc>
      </w:tr>
      <w:tr>
        <w:trPr>
          <w:trHeight w:val="210"/>
        </w:trPr>
        <w:tc>
          <w:tcPr>
            <w:tcW w:w="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CBS Corporation</w:t>
            </w:r>
          </w:p>
        </w:tc>
        <w:tc>
          <w:tcPr>
            <w:tcW w:w="15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ind w:left="440"/>
              <w:spacing w:after="0"/>
              <w:rPr>
                <w:sz w:val="20"/>
                <w:szCs w:val="20"/>
                <w:color w:val="auto"/>
              </w:rPr>
            </w:pPr>
            <w:r>
              <w:rPr>
                <w:rFonts w:ascii="Arial" w:cs="Arial" w:eastAsia="Arial" w:hAnsi="Arial"/>
                <w:sz w:val="18"/>
                <w:szCs w:val="18"/>
                <w:color w:val="auto"/>
              </w:rPr>
              <w:t>•  The Walt Disney Company</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11.2x</w:t>
            </w:r>
          </w:p>
        </w:tc>
      </w:tr>
      <w:tr>
        <w:trPr>
          <w:trHeight w:val="216"/>
        </w:trPr>
        <w:tc>
          <w:tcPr>
            <w:tcW w:w="4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Twenty-First Century Fox,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11.0x</w:t>
            </w:r>
          </w:p>
        </w:tc>
      </w:tr>
      <w:tr>
        <w:trPr>
          <w:trHeight w:val="216"/>
        </w:trPr>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3820" w:type="dxa"/>
            <w:vAlign w:val="bottom"/>
          </w:tcPr>
          <w:p>
            <w:pPr>
              <w:ind w:left="60"/>
              <w:spacing w:after="0"/>
              <w:rPr>
                <w:sz w:val="20"/>
                <w:szCs w:val="20"/>
                <w:color w:val="auto"/>
              </w:rPr>
            </w:pPr>
            <w:r>
              <w:rPr>
                <w:rFonts w:ascii="Arial" w:cs="Arial" w:eastAsia="Arial" w:hAnsi="Arial"/>
                <w:sz w:val="18"/>
                <w:szCs w:val="18"/>
                <w:color w:val="auto"/>
              </w:rPr>
              <w:t>Time Warner Inc.</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10.2x</w:t>
            </w:r>
          </w:p>
        </w:tc>
      </w:tr>
      <w:tr>
        <w:trPr>
          <w:trHeight w:val="216"/>
        </w:trPr>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Viacom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10.6x</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TWC financial advisors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next 12 months estimated EBITDA of Comcast’s cable business as of February 11, 2014 (approximately $17.9 billion utilizing the publicly available Wall Street analyst estimates) and a selected range of estimated EBITDA multiples of 9.00x to</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11.00x to the calendar year 2014 estimated EBITDA (which was the same as the next 12 months estimated EBITDA as of February 11, 2014) of Comcast’s non-cable businesses as of February 11, 2014 (approximately $4.5 billion utilizing the publicly available Wall Street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analyst estimates). This analysis indicated an approximate implied per share equity value reference range for Comcast Class A common stock of $42 to $57.</w:t>
      </w:r>
    </w:p>
    <w:p>
      <w:pPr>
        <w:spacing w:after="0" w:line="24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2.575x – 2.802x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the TWC financial advisors’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2020 was normalized to approximately $12.8 billion (utilizing the publicly available Wall Street analyst estimates) to reflect a steady state investment cycle for capital expenditures and depreciation and amortization. The cash flows and terminal values were then discounted to present value (as of December 31, 2013) using discount rates ranging from 6.25% to 7.25% in the case of TWC and 7.00% to 8.00%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net operating losses, step-up in asset tax bases and other tax attributes of approximately $3.3 billion (based on TWC management forecasts). This analysis resulted in approximate implied per share equity value reference ranges for TWC common stock of $136 to $193 and for Comcast Class A common stock of $50 to $67.</w:t>
      </w:r>
    </w:p>
    <w:p>
      <w:pPr>
        <w:spacing w:after="0" w:line="16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2.717x – 2.895x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125</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54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Implied Exchange Ratio Reference Ranges Based on:</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Merger Exchange Ratio</w:t>
            </w:r>
          </w:p>
        </w:tc>
        <w:tc>
          <w:tcPr>
            <w:tcW w:w="0" w:type="dxa"/>
            <w:vAlign w:val="bottom"/>
          </w:tcPr>
          <w:p>
            <w:pPr>
              <w:spacing w:after="0"/>
              <w:rPr>
                <w:sz w:val="1"/>
                <w:szCs w:val="1"/>
                <w:color w:val="auto"/>
              </w:rPr>
            </w:pPr>
          </w:p>
        </w:tc>
      </w:tr>
      <w:tr>
        <w:trPr>
          <w:trHeight w:val="156"/>
        </w:trPr>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800" w:type="dxa"/>
            <w:vAlign w:val="bottom"/>
          </w:tcPr>
          <w:p>
            <w:pPr>
              <w:spacing w:after="0"/>
              <w:rPr>
                <w:sz w:val="13"/>
                <w:szCs w:val="13"/>
                <w:color w:val="auto"/>
              </w:rPr>
            </w:pPr>
          </w:p>
        </w:tc>
        <w:tc>
          <w:tcPr>
            <w:tcW w:w="1860" w:type="dxa"/>
            <w:vAlign w:val="bottom"/>
            <w:gridSpan w:val="2"/>
          </w:tcPr>
          <w:p>
            <w:pPr>
              <w:jc w:val="center"/>
              <w:ind w:right="740"/>
              <w:spacing w:after="0" w:line="155" w:lineRule="exact"/>
              <w:rPr>
                <w:sz w:val="20"/>
                <w:szCs w:val="20"/>
                <w:color w:val="auto"/>
              </w:rPr>
            </w:pPr>
            <w:r>
              <w:rPr>
                <w:rFonts w:ascii="Arial" w:cs="Arial" w:eastAsia="Arial" w:hAnsi="Arial"/>
                <w:sz w:val="14"/>
                <w:szCs w:val="14"/>
                <w:b w:val="1"/>
                <w:bCs w:val="1"/>
                <w:color w:val="auto"/>
              </w:rPr>
              <w:t>EBITDA</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EBITDA less CapEx</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2.649x – 2.710x</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2.894x – 3.084x</w:t>
            </w:r>
          </w:p>
        </w:tc>
        <w:tc>
          <w:tcPr>
            <w:tcW w:w="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2.105x – 2.415x</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Allen &amp; Company, Citi and Morgan Stanley performed a selected precedent transactions analysis of TWC in which the TWC financial advisors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the TWC financial advisors in their professional judgment deemed generally relevant for comparative purposes, referred to as the selected transactions. 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as applicable. Financial data for the selected transactions were based on publicly available information and financial data of TWC was based on TWC management forecasts. The overall low to high one-year forward estimated EBITDA multiples observed for the target companies were 7.7x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8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00" w:type="dxa"/>
            <w:vAlign w:val="bottom"/>
          </w:tcPr>
          <w:p>
            <w:pPr>
              <w:spacing w:after="0"/>
              <w:rPr>
                <w:sz w:val="10"/>
                <w:szCs w:val="10"/>
                <w:color w:val="auto"/>
              </w:rPr>
            </w:pPr>
          </w:p>
        </w:tc>
        <w:tc>
          <w:tcPr>
            <w:tcW w:w="32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0"/>
                <w:szCs w:val="10"/>
                <w:color w:val="auto"/>
              </w:rPr>
            </w:pPr>
          </w:p>
        </w:tc>
        <w:tc>
          <w:tcPr>
            <w:tcW w:w="48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Not Tax-</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Charter Communications,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BC Partners Ltd.</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Suddenlink Communications</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Cogeco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Atlantic Broadband</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Oak Hill Capital Partners</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WaveDivision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Time Warner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Insight Communications Company, Inc.</w:t>
            </w:r>
          </w:p>
        </w:tc>
        <w:tc>
          <w:tcPr>
            <w:tcW w:w="780" w:type="dxa"/>
            <w:vAlign w:val="bottom"/>
            <w:gridSpan w:val="2"/>
          </w:tcPr>
          <w:p>
            <w:pPr>
              <w:spacing w:after="0"/>
              <w:rPr>
                <w:sz w:val="20"/>
                <w:szCs w:val="20"/>
                <w:color w:val="auto"/>
              </w:rPr>
            </w:pPr>
            <w:r>
              <w:rPr>
                <w:rFonts w:ascii="Arial" w:cs="Arial" w:eastAsia="Arial" w:hAnsi="Arial"/>
                <w:sz w:val="18"/>
                <w:szCs w:val="18"/>
                <w:color w:val="auto"/>
              </w:rPr>
              <w:t>7.7x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Cablevision Systems Corporation</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TWC financial advisors then applied the observed ranges of one-year forward estimated EBITDA multiples derived from the selected transactions to corresponding data of TWC. This analysis resulted in the following approximate implied equity value reference ranges for TWC common stock both adjusted for tax attributes (with an estimated net present value, based on TWC management forecasts, of approximately $2.3 billion) and not adjusted for such tax attributes, as compared to the implied per share equity value for TWC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36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32327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 for Tax Attributes</w:t>
            </w:r>
          </w:p>
        </w:tc>
        <w:tc>
          <w:tcPr>
            <w:tcW w:w="14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Not Adjusted for Tax Attributes</w:t>
            </w:r>
          </w:p>
        </w:tc>
      </w:tr>
      <w:tr>
        <w:trPr>
          <w:trHeight w:val="224"/>
        </w:trPr>
        <w:tc>
          <w:tcPr>
            <w:tcW w:w="1740" w:type="dxa"/>
            <w:vAlign w:val="bottom"/>
          </w:tcPr>
          <w:p>
            <w:pPr>
              <w:jc w:val="center"/>
              <w:spacing w:after="0"/>
              <w:rPr>
                <w:sz w:val="20"/>
                <w:szCs w:val="20"/>
                <w:color w:val="auto"/>
              </w:rPr>
            </w:pPr>
            <w:r>
              <w:rPr>
                <w:rFonts w:ascii="Arial" w:cs="Arial" w:eastAsia="Arial" w:hAnsi="Arial"/>
                <w:sz w:val="18"/>
                <w:szCs w:val="18"/>
                <w:color w:val="auto"/>
                <w:w w:val="89"/>
              </w:rPr>
              <w:t>$150 – $168</w:t>
            </w:r>
          </w:p>
        </w:tc>
        <w:tc>
          <w:tcPr>
            <w:tcW w:w="14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6294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$158</w:t>
      </w:r>
    </w:p>
    <w:p>
      <w:pPr>
        <w:spacing w:after="0" w:line="224" w:lineRule="exact"/>
        <w:rPr>
          <w:sz w:val="20"/>
          <w:szCs w:val="20"/>
          <w:color w:val="auto"/>
        </w:rPr>
      </w:pPr>
    </w:p>
    <w:p>
      <w:pPr>
        <w:sectPr>
          <w:pgSz w:w="11900" w:h="16838" w:orient="portrait"/>
          <w:cols w:equalWidth="0" w:num="2">
            <w:col w:w="6960" w:space="720"/>
            <w:col w:w="3740"/>
          </w:cols>
          <w:pgMar w:left="240" w:top="459" w:right="239" w:bottom="1440" w:gutter="0" w:footer="0" w:header="0"/>
          <w:type w:val="continuous"/>
        </w:sect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analyses with respect to their respective opinions but were referenced for informational purposes, including, among other things, the following:</w:t>
      </w:r>
    </w:p>
    <w:p>
      <w:pPr>
        <w:spacing w:after="0" w:line="29" w:lineRule="exact"/>
        <w:rPr>
          <w:sz w:val="20"/>
          <w:szCs w:val="20"/>
          <w:color w:val="auto"/>
        </w:rPr>
      </w:pPr>
    </w:p>
    <w:p>
      <w:pPr>
        <w:ind w:left="900" w:right="22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6"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w:t>
      </w:r>
    </w:p>
    <w:p>
      <w:pPr>
        <w:spacing w:after="0" w:line="83" w:lineRule="exact"/>
        <w:rPr>
          <w:rFonts w:ascii="Arial" w:cs="Arial" w:eastAsia="Arial" w:hAnsi="Arial"/>
          <w:sz w:val="17"/>
          <w:szCs w:val="17"/>
          <w:color w:val="auto"/>
        </w:rPr>
      </w:pPr>
    </w:p>
    <w:p>
      <w:pPr>
        <w:ind w:left="900" w:hanging="446"/>
        <w:spacing w:after="0" w:line="272"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(2.0)% to Comcast’s calendar year 2015, and accretive by approximately 3.5% to Comcast’s calendar year 2016, estimated levered free cash flow per share. Actual results achieved by the combined company may vary from forecasted results and variations may be material; and</w:t>
      </w:r>
    </w:p>
    <w:p>
      <w:pPr>
        <w:spacing w:after="0" w:line="83"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(pro forma for acquisitions consummated in 2013, as applicable) relative to TWC and Comcast (cable only) on a pro forma combined basis,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ind w:left="1460" w:right="400" w:hanging="547"/>
        <w:spacing w:after="0" w:line="277" w:lineRule="auto"/>
        <w:tabs>
          <w:tab w:leader="none" w:pos="14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compounded annual revenue growth rates, compounded annual EBITDA growth rates and compounded annual EBITDA less capital expenditures growth rates for calendar years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64" w:lineRule="auto"/>
        <w:rPr>
          <w:sz w:val="20"/>
          <w:szCs w:val="20"/>
          <w:color w:val="auto"/>
        </w:rPr>
      </w:pPr>
      <w:r>
        <w:rPr>
          <w:rFonts w:ascii="Arial" w:cs="Arial" w:eastAsia="Arial" w:hAnsi="Arial"/>
          <w:sz w:val="18"/>
          <w:szCs w:val="18"/>
          <w:color w:val="auto"/>
        </w:rPr>
        <w:t>(actual) through 2016 (estimated) of approximately 1.8% to 6.6%, (0.5)% to 8.8% and 2.5% to 25.4%, respectively, for TWC, Comcast and the selected companies and approximately 5.5%, 5.9% (7.1% with synergies) and 5.8% (7.7% with synergies), respectively, for TWC and Comcast on a pro forma combined basis;</w:t>
      </w:r>
    </w:p>
    <w:p>
      <w:pPr>
        <w:spacing w:after="0" w:line="87" w:lineRule="exact"/>
        <w:rPr>
          <w:sz w:val="20"/>
          <w:szCs w:val="20"/>
          <w:color w:val="auto"/>
        </w:rPr>
      </w:pPr>
    </w:p>
    <w:p>
      <w:pPr>
        <w:ind w:left="1460" w:right="100" w:hanging="547"/>
        <w:spacing w:after="0" w:line="259"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EBITDA margins for calendar year 2013 (actual) relative to calendar year 2016 (estimated) of approximately 25.6% to 40.7% (calendar year 2013) and 23.9% to 41.1% (calendar year 2016) for TWC, Comcast and the selected companies relative to approximately 39.1% (calendar year 2013) and 39.5% without synergies and 41.0% with synergies (calendar year 2016) for TWC and Comcast on a pro forma combined basis;</w:t>
      </w:r>
    </w:p>
    <w:p>
      <w:pPr>
        <w:spacing w:after="0" w:line="92" w:lineRule="exact"/>
        <w:rPr>
          <w:rFonts w:ascii="Arial" w:cs="Arial" w:eastAsia="Arial" w:hAnsi="Arial"/>
          <w:sz w:val="18"/>
          <w:szCs w:val="18"/>
          <w:color w:val="auto"/>
        </w:rPr>
      </w:pPr>
    </w:p>
    <w:p>
      <w:pPr>
        <w:ind w:left="1460" w:right="140" w:hanging="547"/>
        <w:spacing w:after="0" w:line="259"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capital expenditures as a percentage of revenue for calendar year 2013 (actual) relative to calendar year 2016 (estimated) of approximately 13.1% to 21.5% (calendar year 2013) and 13.4% to 15.5% (calendar year 2016) for TWC, Comcast and the selected companies relative to approximately 13.7% (calendar year 2013) and 13.9% (calendar year 2016) for TWC and Comcast on a pro forma combined basis; and</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EBITDA less capital expenditure margins for calendar year 2013 (actual) relative to calendar year 2016 (estimated) of approximately</w:t>
      </w:r>
    </w:p>
    <w:p>
      <w:pPr>
        <w:spacing w:after="0" w:line="34" w:lineRule="exact"/>
        <w:rPr>
          <w:rFonts w:ascii="Arial" w:cs="Arial" w:eastAsia="Arial" w:hAnsi="Arial"/>
          <w:sz w:val="17"/>
          <w:szCs w:val="17"/>
          <w:color w:val="auto"/>
        </w:rPr>
      </w:pPr>
    </w:p>
    <w:p>
      <w:pPr>
        <w:ind w:left="1460" w:right="20"/>
        <w:spacing w:after="0" w:line="255" w:lineRule="auto"/>
        <w:rPr>
          <w:rFonts w:ascii="Arial" w:cs="Arial" w:eastAsia="Arial" w:hAnsi="Arial"/>
          <w:sz w:val="17"/>
          <w:szCs w:val="17"/>
          <w:color w:val="auto"/>
        </w:rPr>
      </w:pPr>
      <w:r>
        <w:rPr>
          <w:rFonts w:ascii="Arial" w:cs="Arial" w:eastAsia="Arial" w:hAnsi="Arial"/>
          <w:sz w:val="18"/>
          <w:szCs w:val="18"/>
          <w:color w:val="auto"/>
        </w:rPr>
        <w:t>10.2% to 27.6% (calendar year 2013) and 10.5% to 27.7% (calendar year 2016) for TWC, Comcast and the selected companies relative to approximately 25.5% (calendar year 2013) and 25.7% without synergies and 27.1% with synergies (calendar year 2016) for TWC and Comcast on a pro forma combined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Financial Advisor to the TWC Independent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7"/>
          <w:szCs w:val="17"/>
          <w:b w:val="1"/>
          <w:bCs w:val="1"/>
          <w:color w:val="auto"/>
        </w:rPr>
        <w:t>Centerview’s opinion was provided for</w:t>
      </w:r>
      <w:r>
        <w:rPr>
          <w:rFonts w:ascii="Arial" w:cs="Arial" w:eastAsia="Arial" w:hAnsi="Arial"/>
          <w:sz w:val="17"/>
          <w:szCs w:val="17"/>
          <w:color w:val="auto"/>
        </w:rPr>
        <w:t xml:space="preserve"> </w:t>
      </w:r>
      <w:r>
        <w:rPr>
          <w:rFonts w:ascii="Arial" w:cs="Arial" w:eastAsia="Arial" w:hAnsi="Arial"/>
          <w:sz w:val="17"/>
          <w:szCs w:val="17"/>
          <w:b w:val="1"/>
          <w:bCs w:val="1"/>
          <w:color w:val="auto"/>
        </w:rPr>
        <w:t>the 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Centerview, among other things:</w:t>
      </w:r>
    </w:p>
    <w:p>
      <w:pPr>
        <w:spacing w:after="0" w:line="131" w:lineRule="exact"/>
        <w:rPr>
          <w:sz w:val="20"/>
          <w:szCs w:val="20"/>
          <w:color w:val="auto"/>
        </w:rPr>
      </w:pPr>
    </w:p>
    <w:p>
      <w:pPr>
        <w:ind w:left="5580" w:right="2660" w:hanging="5126"/>
        <w:spacing w:after="0" w:line="44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 referred to as the draft merger agreement; 128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interim reports to stockholders and Quarterly Reports on Form 10-Q of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publicly available research analyst reports for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other communications from TWC and Comcast to their respective stockholders;</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5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Comcast;</w:t>
      </w:r>
    </w:p>
    <w:p>
      <w:pPr>
        <w:spacing w:after="0" w:line="130" w:lineRule="exact"/>
        <w:rPr>
          <w:rFonts w:ascii="Arial" w:cs="Arial" w:eastAsia="Arial" w:hAnsi="Arial"/>
          <w:sz w:val="18"/>
          <w:szCs w:val="18"/>
          <w:color w:val="auto"/>
        </w:rPr>
      </w:pPr>
    </w:p>
    <w:p>
      <w:pPr>
        <w:ind w:left="900" w:right="360" w:hanging="446"/>
        <w:spacing w:after="0" w:line="286"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70"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compared certain of the proposed financial terms of the merger with the financial terms, to the extent publicly available, of certain other transactions that Centerview deemed relevant;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92"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TWC independent directors selected Centerview as their financial advisor in connection with the merger based on Centerview’s reputation and experience. Centerview is a nationally recognized investment banking firm that has substantial experience in transactions similar to the merger.</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of which $5 million was payable in connection with Centerview’s engagement, $3 million was payable upon the rendering of Centerview’s opinion and $3 million is payable contingent upon consummation of the merger. The TWC independent directors also have agreed to consider, in their sole discretion, the payment to Centerview of an additional fee of up to $2 million based on Centerview’s performance of its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Centerview Financial Analysis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Although as part of its services to the TWC independent directors, Centerview was requested to coordinate with the TWC financial advisors with respect to various matters, Centerview arrived at its determinations with respect to its analyses and its opinion independently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6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evaluation of the merger and should not be viewed as determinative of the views of the TWC board of directors or management with respect to the merger or the consideration payable in the merger.</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6"/>
          <w:szCs w:val="16"/>
          <w:b w:val="1"/>
          <w:bCs w:val="1"/>
          <w:color w:val="auto"/>
        </w:rPr>
        <w:t>The summary set forth below does not purport to be a complete description of the financial analyses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performed or factors 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 below, (i) earnings before interest, taxes,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 and Comcast’s public filings.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calendar year 2014 estimated EBITDA of TWC and three selected publicly traded companies in the cable industry, referred to as the TWC selected companies, noted below. The overall low to high calendar year 2014 estimated EBITDA multiples observed for the TWC selected companies as of February 11, 2014 (the last trading day prior to the date on which the TWC board of directors approved the proposed merger) were 7.9x to 8.8x, as reflected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Charter Communications, Inc.</w:t>
            </w:r>
          </w:p>
        </w:tc>
        <w:tc>
          <w:tcPr>
            <w:tcW w:w="30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   Comcast Corporation (cable business)</w:t>
            </w:r>
          </w:p>
        </w:tc>
        <w:tc>
          <w:tcPr>
            <w:tcW w:w="302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Cablevision Systems Corporation</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7.9x</w:t>
            </w:r>
          </w:p>
        </w:tc>
      </w:tr>
      <w:tr>
        <w:trPr>
          <w:trHeight w:val="365"/>
        </w:trPr>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20" w:type="dxa"/>
            <w:vAlign w:val="bottom"/>
          </w:tcPr>
          <w:p>
            <w:pPr>
              <w:jc w:val="right"/>
              <w:ind w:right="2279"/>
              <w:spacing w:after="0"/>
              <w:rPr>
                <w:sz w:val="20"/>
                <w:szCs w:val="20"/>
                <w:color w:val="auto"/>
              </w:rPr>
            </w:pPr>
            <w:r>
              <w:rPr>
                <w:rFonts w:ascii="Arial" w:cs="Arial" w:eastAsia="Arial" w:hAnsi="Arial"/>
                <w:sz w:val="18"/>
                <w:szCs w:val="18"/>
                <w:color w:val="auto"/>
              </w:rPr>
              <w:t>132</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calendar year 2014 estimated EBITDA multiple observed for TWC as of February 11, 2014 was 7.1x. Centerview also reviewed TWC’s next 12 months estimated EBITDA multiples over the one-year period ended February 11, 2014, and observed a next 12 months estimated EBITDA multiple for TWC on June 14, 2013 (the date of published reports speculating a potential acquisition proposal by Charter for TWC) of 6.2x. The observed calendar year 2014 estimated EBITDA multiple of 7.9x for Comcast’s cable business was derived from the observed calendar year 2014 estimated EBITDA multiple for Comcast’s non-cable businesses as described below.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evaluating Comcast’s cable business, Centerview reviewed calendar year 2014 estimated EBITDA multiples of TWC, Charter and Cablevision Systems Corporation, referred to as the Comcast selected cable companies. Centerview also reviewed the next 12 months estimated EBITDA multiple of Comcast’s cable business over the one-year period ended February 11, 2014. The overall low to high calendar year 2014 estimated EBITDA multiples observed for the Comcast selected cable companies as of February 11, 2014 were 7.1x to 8.8x. The observed implied calendar year 2014 and next 12 months estimated EBITDA multiple for Comcast’s cable business as of February 11, 2014 was 7.9x.</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evaluating Comcast’s non-cable businesses, specifically NBCUniversal and Comcast Spectacor, L.P., Centerview reviewed calendar year 2014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12.3x, as reflected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80" w:type="dxa"/>
            <w:vAlign w:val="bottom"/>
            <w:gridSpan w:val="3"/>
          </w:tcPr>
          <w:p>
            <w:pPr>
              <w:ind w:left="148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CBS Corporation</w:t>
            </w:r>
          </w:p>
        </w:tc>
        <w:tc>
          <w:tcPr>
            <w:tcW w:w="14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6"/>
              </w:rPr>
              <w:t>11.3x</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   The Walt Disney Company</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11.8x</w:t>
            </w: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Twenty-First Century Fox,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12.3x*</w:t>
            </w:r>
          </w:p>
        </w:tc>
      </w:tr>
      <w:tr>
        <w:trPr>
          <w:trHeight w:val="216"/>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Time Warner Inc.</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10.2x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Viacom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11.7x*</w:t>
            </w:r>
          </w:p>
        </w:tc>
      </w:tr>
    </w:tbl>
    <w:p>
      <w:pPr>
        <w:spacing w:after="0" w:line="229" w:lineRule="exact"/>
        <w:rPr>
          <w:sz w:val="20"/>
          <w:szCs w:val="20"/>
          <w:color w:val="auto"/>
        </w:rPr>
      </w:pPr>
    </w:p>
    <w:p>
      <w:pPr>
        <w:ind w:left="220" w:right="240" w:hanging="212"/>
        <w:spacing w:after="0" w:line="308" w:lineRule="auto"/>
        <w:tabs>
          <w:tab w:leader="none" w:pos="2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observed calendar year 2014 estimated EBITDA multiples for Twenty-First Century Fox, Inc. and Viacom Inc. were transcribed in an appendix to Centerview’s written presentation to the TWC independent directors as 12.3x and 11.7x rather than 11.0x and 10.6x, respectively.</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Centerview noted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(approximately $17.8 billion utilizing the publicly available Wall Street analyst estimates) and a selected range of estimated EBITDA multiples of 9.0x to 11.0x to the calendar year 2014 estimated EBITDA of Comcast’s non-cable businesses (approximately $4.6 billion utilizing the publicly available Wall Street analyst estimates). This analysis indicated an approximate implied per share equity value reference range for Comcast Class A common stock of $42 to $58.</w:t>
      </w:r>
    </w:p>
    <w:p>
      <w:pPr>
        <w:spacing w:after="0" w:line="166"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2.62x – 2.78x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133</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w:t>
      </w:r>
      <w:r>
        <w:rPr>
          <w:rFonts w:ascii="Arial" w:cs="Arial" w:eastAsia="Arial" w:hAnsi="Arial"/>
          <w:sz w:val="18"/>
          <w:szCs w:val="18"/>
          <w:color w:val="auto"/>
        </w:rPr>
        <w: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1.75% in the case of Comcast based on Centerview’s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2018 was normalized to approximately $11.8 billion (utilizing the publicly available Wall Street analyst estimates) to reflect a steady state investment cycle for capital expenditures and depreciation and amortization. The cash flows and terminal values were then discounted to present value (as of February 11, 2014) using discount rates ranging from 6.5% to 7.5% in the case of TWC and 7.0% to 8.0%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tax attributes consisting of net operating losses and step-up in asset tax bases of approximately $2.5 billion (based on TWC management forecasts). This analysis resulted in approximate implied per share equity value reference ranges for TWC common stock of $133 to $186 and for Comcast Class A common stock of $48 to $65.</w:t>
      </w:r>
    </w:p>
    <w:p>
      <w:pPr>
        <w:spacing w:after="0" w:line="173"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2.77x – 2.88x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the following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 overall relative contributions of TWC and Comcast to the combined company’s calendar years 2014 through 2016 estimated revenue, EBITDA and EBITDA less capital expenditures:</w:t>
      </w:r>
    </w:p>
    <w:p>
      <w:pPr>
        <w:spacing w:after="0" w:line="76" w:lineRule="exact"/>
        <w:rPr>
          <w:sz w:val="20"/>
          <w:szCs w:val="20"/>
          <w:color w:val="auto"/>
        </w:rPr>
      </w:pPr>
    </w:p>
    <w:p>
      <w:pPr>
        <w:ind w:left="900" w:right="16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 revenue basis, approximately 22% and 78% for TWC and Comcast, respectively, in calendar years 2014 and 2015, and approximately 23% and 77% for TWC and Comcast, respectively, in calendar year 2016;</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an EBITDA basis, approximately 24% and 76% for TWC and Comcast, respectively, in calendar year 2015, and approximately 25% and 75% for TWC and Comcast, respectively, in calendar years 2014 and 2016;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an EBITDA less capital expenditures basis, approximately 18% and 82% for TWC and Comcast, respectively, in calendar year 2015 and approximately 20% and 80% for TWC and Comcast, respectively, in calendar years 2014 and 2016.</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9"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Implied Exchange Ratio</w:t>
      </w:r>
    </w:p>
    <w:p>
      <w:pPr>
        <w:spacing w:after="0" w:line="4"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1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7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2"/>
          </w:tcPr>
          <w:p>
            <w:pPr>
              <w:jc w:val="center"/>
              <w:ind w:right="960"/>
              <w:spacing w:after="0" w:line="155" w:lineRule="exact"/>
              <w:rPr>
                <w:sz w:val="20"/>
                <w:szCs w:val="20"/>
                <w:color w:val="auto"/>
              </w:rPr>
            </w:pPr>
            <w:r>
              <w:rPr>
                <w:rFonts w:ascii="Arial" w:cs="Arial" w:eastAsia="Arial" w:hAnsi="Arial"/>
                <w:sz w:val="14"/>
                <w:szCs w:val="14"/>
                <w:b w:val="1"/>
                <w:bCs w:val="1"/>
                <w:color w:val="auto"/>
              </w:rPr>
              <w:t>EBITDA</w:t>
            </w: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EBITDA less CapEx</w:t>
            </w:r>
          </w:p>
        </w:tc>
        <w:tc>
          <w:tcPr>
            <w:tcW w:w="260" w:type="dxa"/>
            <w:vAlign w:val="bottom"/>
            <w:tcBorders>
              <w:top w:val="single" w:sz="8" w:color="auto"/>
            </w:tcBorders>
          </w:tcPr>
          <w:p>
            <w:pPr>
              <w:spacing w:after="0"/>
              <w:rPr>
                <w:sz w:val="13"/>
                <w:szCs w:val="13"/>
                <w:color w:val="auto"/>
              </w:rPr>
            </w:pPr>
          </w:p>
        </w:tc>
        <w:tc>
          <w:tcPr>
            <w:tcW w:w="3960" w:type="dxa"/>
            <w:vAlign w:val="bottom"/>
            <w:gridSpan w:val="3"/>
          </w:tcPr>
          <w:p>
            <w:pPr>
              <w:jc w:val="center"/>
              <w:ind w:left="428"/>
              <w:spacing w:after="0" w:line="155" w:lineRule="exact"/>
              <w:rPr>
                <w:sz w:val="20"/>
                <w:szCs w:val="20"/>
                <w:color w:val="auto"/>
              </w:rPr>
            </w:pPr>
            <w:r>
              <w:rPr>
                <w:rFonts w:ascii="Arial" w:cs="Arial" w:eastAsia="Arial" w:hAnsi="Arial"/>
                <w:sz w:val="14"/>
                <w:szCs w:val="14"/>
                <w:b w:val="1"/>
                <w:bCs w:val="1"/>
                <w:color w:val="auto"/>
                <w:w w:val="93"/>
              </w:rPr>
              <w:t>Merger Exchange Ratio</w:t>
            </w:r>
          </w:p>
        </w:tc>
      </w:tr>
      <w:tr>
        <w:trPr>
          <w:trHeight w:val="210"/>
        </w:trPr>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2.690x – 2.752x</w:t>
            </w: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2.937x – 3.129x</w:t>
            </w:r>
          </w:p>
        </w:tc>
        <w:tc>
          <w:tcPr>
            <w:tcW w:w="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2.099x – 2.404x</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9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860" w:firstLine="456"/>
        <w:spacing w:after="0" w:line="264" w:lineRule="auto"/>
        <w:rPr>
          <w:sz w:val="20"/>
          <w:szCs w:val="20"/>
          <w:color w:val="auto"/>
        </w:rPr>
      </w:pPr>
      <w:r>
        <w:rPr>
          <w:rFonts w:ascii="Arial" w:cs="Arial" w:eastAsia="Arial" w:hAnsi="Arial"/>
          <w:sz w:val="18"/>
          <w:szCs w:val="18"/>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Centerview performed a selected precedent transactions analysis of TWC in which Centerview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Centerview in its professional judgment deemed generally relevant for comparative purposes, referred to as the selected transactions. 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as applicable. Financial data for the selected transactions were based on publicly available information and financial data of TWC was based on TWC management forecasts. The overall low to high one-year forward estimated EBITDA multiples observed for the target companies were 7.6x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214"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4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45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Not Tax-</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62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440" w:type="dxa"/>
            <w:vAlign w:val="bottom"/>
            <w:gridSpan w:val="2"/>
          </w:tcPr>
          <w:p>
            <w:pPr>
              <w:spacing w:after="0"/>
              <w:rPr>
                <w:sz w:val="20"/>
                <w:szCs w:val="20"/>
                <w:color w:val="auto"/>
              </w:rPr>
            </w:pPr>
            <w:r>
              <w:rPr>
                <w:rFonts w:ascii="Arial" w:cs="Arial" w:eastAsia="Arial" w:hAnsi="Arial"/>
                <w:sz w:val="18"/>
                <w:szCs w:val="18"/>
                <w:color w:val="auto"/>
              </w:rPr>
              <w:t>Charter Communications, Inc.</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BC Partners Ltd.</w:t>
            </w:r>
          </w:p>
        </w:tc>
        <w:tc>
          <w:tcPr>
            <w:tcW w:w="4540" w:type="dxa"/>
            <w:vAlign w:val="bottom"/>
          </w:tcPr>
          <w:p>
            <w:pPr>
              <w:spacing w:after="0"/>
              <w:rPr>
                <w:sz w:val="20"/>
                <w:szCs w:val="20"/>
                <w:color w:val="auto"/>
              </w:rPr>
            </w:pPr>
            <w:r>
              <w:rPr>
                <w:rFonts w:ascii="Arial" w:cs="Arial" w:eastAsia="Arial" w:hAnsi="Arial"/>
                <w:sz w:val="18"/>
                <w:szCs w:val="18"/>
                <w:color w:val="auto"/>
              </w:rPr>
              <w:t>Suddenlink Communications</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Cogeco Cable, Inc.</w:t>
            </w:r>
          </w:p>
        </w:tc>
        <w:tc>
          <w:tcPr>
            <w:tcW w:w="4540" w:type="dxa"/>
            <w:vAlign w:val="bottom"/>
          </w:tcPr>
          <w:p>
            <w:pPr>
              <w:spacing w:after="0"/>
              <w:rPr>
                <w:sz w:val="20"/>
                <w:szCs w:val="20"/>
                <w:color w:val="auto"/>
              </w:rPr>
            </w:pPr>
            <w:r>
              <w:rPr>
                <w:rFonts w:ascii="Arial" w:cs="Arial" w:eastAsia="Arial" w:hAnsi="Arial"/>
                <w:sz w:val="18"/>
                <w:szCs w:val="18"/>
                <w:color w:val="auto"/>
              </w:rPr>
              <w:t>Atlantic Broadband</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Oak Hill Capital Partners</w:t>
            </w:r>
          </w:p>
        </w:tc>
        <w:tc>
          <w:tcPr>
            <w:tcW w:w="4540" w:type="dxa"/>
            <w:vAlign w:val="bottom"/>
          </w:tcPr>
          <w:p>
            <w:pPr>
              <w:spacing w:after="0"/>
              <w:rPr>
                <w:sz w:val="20"/>
                <w:szCs w:val="20"/>
                <w:color w:val="auto"/>
              </w:rPr>
            </w:pPr>
            <w:r>
              <w:rPr>
                <w:rFonts w:ascii="Arial" w:cs="Arial" w:eastAsia="Arial" w:hAnsi="Arial"/>
                <w:sz w:val="18"/>
                <w:szCs w:val="18"/>
                <w:color w:val="auto"/>
              </w:rPr>
              <w:t>WaveDivision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440" w:type="dxa"/>
            <w:vAlign w:val="bottom"/>
            <w:gridSpan w:val="2"/>
          </w:tcPr>
          <w:p>
            <w:pPr>
              <w:spacing w:after="0"/>
              <w:rPr>
                <w:sz w:val="20"/>
                <w:szCs w:val="20"/>
                <w:color w:val="auto"/>
              </w:rPr>
            </w:pPr>
            <w:r>
              <w:rPr>
                <w:rFonts w:ascii="Arial" w:cs="Arial" w:eastAsia="Arial" w:hAnsi="Arial"/>
                <w:sz w:val="18"/>
                <w:szCs w:val="18"/>
                <w:color w:val="auto"/>
              </w:rPr>
              <w:t>Time Warner Cable Inc.</w:t>
            </w:r>
          </w:p>
        </w:tc>
        <w:tc>
          <w:tcPr>
            <w:tcW w:w="4540" w:type="dxa"/>
            <w:vAlign w:val="bottom"/>
          </w:tcPr>
          <w:p>
            <w:pPr>
              <w:spacing w:after="0"/>
              <w:rPr>
                <w:sz w:val="20"/>
                <w:szCs w:val="20"/>
                <w:color w:val="auto"/>
              </w:rPr>
            </w:pPr>
            <w:r>
              <w:rPr>
                <w:rFonts w:ascii="Arial" w:cs="Arial" w:eastAsia="Arial" w:hAnsi="Arial"/>
                <w:sz w:val="18"/>
                <w:szCs w:val="18"/>
                <w:color w:val="auto"/>
              </w:rPr>
              <w:t>Insight Communications Company, Inc.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7.6x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440" w:type="dxa"/>
            <w:vAlign w:val="bottom"/>
            <w:gridSpan w:val="2"/>
          </w:tcPr>
          <w:p>
            <w:pPr>
              <w:spacing w:after="0"/>
              <w:rPr>
                <w:sz w:val="20"/>
                <w:szCs w:val="20"/>
                <w:color w:val="auto"/>
              </w:rPr>
            </w:pPr>
            <w:r>
              <w:rPr>
                <w:rFonts w:ascii="Arial" w:cs="Arial" w:eastAsia="Arial" w:hAnsi="Arial"/>
                <w:sz w:val="18"/>
                <w:szCs w:val="18"/>
                <w:color w:val="auto"/>
              </w:rPr>
              <w:t>Cablevision Systems Corporation</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Centerview then applied the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740" w:type="dxa"/>
            <w:vAlign w:val="bottom"/>
            <w:tcBorders>
              <w:top w:val="single" w:sz="8" w:color="auto"/>
            </w:tcBorders>
          </w:tcPr>
          <w:p>
            <w:pPr>
              <w:jc w:val="center"/>
              <w:ind w:right="251"/>
              <w:spacing w:after="0" w:line="119" w:lineRule="exact"/>
              <w:rPr>
                <w:sz w:val="20"/>
                <w:szCs w:val="20"/>
                <w:color w:val="auto"/>
              </w:rPr>
            </w:pPr>
            <w:r>
              <w:rPr>
                <w:rFonts w:ascii="Arial" w:cs="Arial" w:eastAsia="Arial" w:hAnsi="Arial"/>
                <w:sz w:val="13"/>
                <w:szCs w:val="13"/>
                <w:b w:val="1"/>
                <w:bCs w:val="1"/>
                <w:color w:val="auto"/>
              </w:rPr>
              <w:t>Adjusted for</w:t>
            </w:r>
          </w:p>
        </w:tc>
        <w:tc>
          <w:tcPr>
            <w:tcW w:w="30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rPr>
              <w:t>Not Adjusted for</w:t>
            </w:r>
          </w:p>
        </w:tc>
      </w:tr>
      <w:tr>
        <w:trPr>
          <w:trHeight w:val="186"/>
        </w:trPr>
        <w:tc>
          <w:tcPr>
            <w:tcW w:w="274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Tax Attributes</w:t>
            </w:r>
          </w:p>
        </w:tc>
        <w:tc>
          <w:tcPr>
            <w:tcW w:w="3060" w:type="dxa"/>
            <w:vAlign w:val="bottom"/>
          </w:tcPr>
          <w:p>
            <w:pPr>
              <w:jc w:val="center"/>
              <w:ind w:left="51"/>
              <w:spacing w:after="0"/>
              <w:rPr>
                <w:sz w:val="20"/>
                <w:szCs w:val="20"/>
                <w:color w:val="auto"/>
              </w:rPr>
            </w:pPr>
            <w:r>
              <w:rPr>
                <w:rFonts w:ascii="Arial" w:cs="Arial" w:eastAsia="Arial" w:hAnsi="Arial"/>
                <w:sz w:val="14"/>
                <w:szCs w:val="14"/>
                <w:b w:val="1"/>
                <w:bCs w:val="1"/>
                <w:color w:val="auto"/>
                <w:w w:val="95"/>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16376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660" w:space="720"/>
            <w:col w:w="4040"/>
          </w:cols>
          <w:pgMar w:left="240" w:top="459" w:right="239" w:bottom="1440" w:gutter="0" w:footer="0" w:header="0"/>
          <w:type w:val="continuous"/>
        </w:sectPr>
      </w:pPr>
    </w:p>
    <w:p>
      <w:pPr>
        <w:ind w:left="1220"/>
        <w:spacing w:after="0"/>
        <w:tabs>
          <w:tab w:leader="none" w:pos="4320" w:val="left"/>
          <w:tab w:leader="none" w:pos="8340" w:val="left"/>
        </w:tabs>
        <w:rPr>
          <w:sz w:val="20"/>
          <w:szCs w:val="20"/>
          <w:color w:val="auto"/>
        </w:rPr>
      </w:pPr>
      <w:r>
        <w:rPr>
          <w:rFonts w:ascii="Arial" w:cs="Arial" w:eastAsia="Arial" w:hAnsi="Arial"/>
          <w:sz w:val="18"/>
          <w:szCs w:val="18"/>
          <w:color w:val="auto"/>
        </w:rPr>
        <w:t>$150 – $170</w:t>
      </w:r>
      <w:r>
        <w:rPr>
          <w:sz w:val="20"/>
          <w:szCs w:val="20"/>
          <w:color w:val="auto"/>
        </w:rPr>
        <w:tab/>
      </w:r>
      <w:r>
        <w:rPr>
          <w:rFonts w:ascii="Arial" w:cs="Arial" w:eastAsia="Arial" w:hAnsi="Arial"/>
          <w:sz w:val="18"/>
          <w:szCs w:val="18"/>
          <w:color w:val="auto"/>
        </w:rPr>
        <w:t>$153 – $170</w:t>
      </w:r>
      <w:r>
        <w:rPr>
          <w:sz w:val="20"/>
          <w:szCs w:val="20"/>
          <w:color w:val="auto"/>
        </w:rPr>
        <w:tab/>
      </w:r>
      <w:r>
        <w:rPr>
          <w:rFonts w:ascii="Arial" w:cs="Arial" w:eastAsia="Arial" w:hAnsi="Arial"/>
          <w:sz w:val="16"/>
          <w:szCs w:val="16"/>
          <w:color w:val="auto"/>
        </w:rPr>
        <w:t>$158.13</w:t>
      </w:r>
    </w:p>
    <w:p>
      <w:pPr>
        <w:spacing w:after="0" w:line="22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Other Factors. </w:t>
      </w:r>
      <w:r>
        <w:rPr>
          <w:rFonts w:ascii="Arial" w:cs="Arial" w:eastAsia="Arial" w:hAnsi="Arial"/>
          <w:sz w:val="18"/>
          <w:szCs w:val="18"/>
          <w:color w:val="auto"/>
        </w:rPr>
        <w:t>Centerview observed certain additional factors that were not considered part of its financial analyses with respect to its opinion but were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referenced for informational purposes, including, among other things, the following:</w:t>
      </w:r>
    </w:p>
    <w:p>
      <w:pPr>
        <w:spacing w:after="0" w:line="76" w:lineRule="exact"/>
        <w:rPr>
          <w:sz w:val="20"/>
          <w:szCs w:val="20"/>
          <w:color w:val="auto"/>
        </w:rPr>
      </w:pPr>
    </w:p>
    <w:p>
      <w:pPr>
        <w:ind w:left="900" w:right="20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92"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(2.5)% to Comcast’s calendar year 2015, and accretive by approximately 2.6% to Comcast’s calendar year 2016, estimated levered free cash flow per share. Actual results achieved by the combined company may vary from forecasted results and variations may be material;</w:t>
      </w:r>
    </w:p>
    <w:p>
      <w:pPr>
        <w:spacing w:after="0" w:line="83"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approximately 17% implied by the merger exchange ratio to the closing price of TWC common stock of $139.40 per share on February 11, 2014; and</w:t>
      </w:r>
    </w:p>
    <w:p>
      <w:pPr>
        <w:spacing w:after="0" w:line="76" w:lineRule="exact"/>
        <w:rPr>
          <w:sz w:val="20"/>
          <w:szCs w:val="20"/>
          <w:color w:val="auto"/>
        </w:rPr>
      </w:pPr>
    </w:p>
    <w:p>
      <w:pPr>
        <w:ind w:left="900" w:right="40" w:hanging="446"/>
        <w:spacing w:after="0" w:line="259"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relative to TWC and Comcast (cable only) on a pro forma basis assuming a phase-in of synergies over two years,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jc w:val="both"/>
        <w:ind w:left="1460" w:right="240" w:hanging="547"/>
        <w:spacing w:after="0" w:line="286" w:lineRule="auto"/>
        <w:tabs>
          <w:tab w:leader="none" w:pos="14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compounded annual revenue growth rates and compounded annual EBITDA growth rates for calendar years 2014 (estimated) through 2016 (estimated) of approximately 2.2% to 6.6% and (0.9)% to 8.9%, respectively, for TWC, Comcast and the selected companies and approximately 5.6% and 7.8%, respectively, for TWC and Comcast on a pro forma combined basis;</w:t>
      </w:r>
    </w:p>
    <w:p>
      <w:pPr>
        <w:spacing w:after="0" w:line="70" w:lineRule="exact"/>
        <w:rPr>
          <w:rFonts w:ascii="Arial" w:cs="Arial" w:eastAsia="Arial" w:hAnsi="Arial"/>
          <w:sz w:val="17"/>
          <w:szCs w:val="17"/>
          <w:color w:val="auto"/>
        </w:rPr>
      </w:pPr>
    </w:p>
    <w:p>
      <w:pPr>
        <w:ind w:left="1460" w:right="60" w:hanging="547"/>
        <w:spacing w:after="0" w:line="264"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EBITDA margins for calendar year 2014 (estimated) relative to calendar year 2016 (estimated) of approximately 25% to 41% (calendar year 2014) and 24% to 41% (calendar year 2016) for TWC, Comcast and the selected companies and 39% (calendar year 2014) and 41% (calendar year 2016) for TWC and Comcast on a pro forma combined basis; and</w:t>
      </w:r>
    </w:p>
    <w:p>
      <w:pPr>
        <w:spacing w:after="0" w:line="86" w:lineRule="exact"/>
        <w:rPr>
          <w:rFonts w:ascii="Arial" w:cs="Arial" w:eastAsia="Arial" w:hAnsi="Arial"/>
          <w:sz w:val="18"/>
          <w:szCs w:val="18"/>
          <w:color w:val="auto"/>
        </w:rPr>
      </w:pPr>
    </w:p>
    <w:p>
      <w:pPr>
        <w:ind w:left="1460" w:right="80" w:hanging="547"/>
        <w:spacing w:after="0" w:line="312" w:lineRule="auto"/>
        <w:tabs>
          <w:tab w:leader="none" w:pos="14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EBITDA less capital expenditure margins for calendar year 2014 (estimated) relative to calendar year 2016 (estimated) of approximately 11% to 27% (calendar year 2014) and 10% to 28% (calendar year 2016) for TWC, Comcast and the selected companies relative to 25% (calendar year 2014) and 27% (calendar year 2016) for TWC and Comcast on a pro forma combined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Comcast’s Financial Advisor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w:t>
      </w:r>
    </w:p>
    <w:p>
      <w:pPr>
        <w:spacing w:after="0" w:line="130"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6" w:lineRule="exact"/>
        <w:rPr>
          <w:rFonts w:ascii="Arial" w:cs="Arial" w:eastAsia="Arial" w:hAnsi="Arial"/>
          <w:sz w:val="18"/>
          <w:szCs w:val="18"/>
          <w:color w:val="auto"/>
        </w:rPr>
      </w:pPr>
    </w:p>
    <w:p>
      <w:pPr>
        <w:ind w:left="900" w:right="120" w:hanging="446"/>
        <w:spacing w:after="0" w:line="29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110 of this joint proxy statement/prospectus;</w:t>
      </w:r>
    </w:p>
    <w:p>
      <w:pPr>
        <w:spacing w:after="0" w:line="71" w:lineRule="exact"/>
        <w:rPr>
          <w:rFonts w:ascii="Arial" w:cs="Arial" w:eastAsia="Arial" w:hAnsi="Arial"/>
          <w:sz w:val="16"/>
          <w:szCs w:val="16"/>
          <w:color w:val="auto"/>
        </w:rPr>
      </w:pPr>
    </w:p>
    <w:p>
      <w:pPr>
        <w:ind w:left="900" w:right="80" w:hanging="446"/>
        <w:spacing w:after="0" w:line="293"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70"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 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data set forth below without considering the full narrative description of the financial analyses, including the methodologies and assumptions underlying the analyses, could create a misleading or incomplete view of J.P. Morgan’s analyses.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Implied Premium Calculations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Implied</w:t>
            </w:r>
          </w:p>
        </w:tc>
      </w:tr>
      <w:tr>
        <w:trPr>
          <w:trHeight w:val="171"/>
        </w:trPr>
        <w:tc>
          <w:tcPr>
            <w:tcW w:w="53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20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2/10/14 price</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Premium to 3-month volume weighted average price</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6-month volume weighted average price</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Premium to 52 week closing high</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J.P. Morgan noted that the implied premium calculations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Analyst Price Targets (Undiscounted)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TWC</w:t>
            </w: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price target</w:t>
            </w:r>
          </w:p>
        </w:tc>
        <w:tc>
          <w:tcPr>
            <w:tcW w:w="1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$165.00</w:t>
            </w:r>
          </w:p>
        </w:tc>
        <w:tc>
          <w:tcPr>
            <w:tcW w:w="2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High price target</w:t>
            </w:r>
          </w:p>
        </w:tc>
        <w:tc>
          <w:tcPr>
            <w:tcW w:w="1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Low price target</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92"/>
              </w:rPr>
              <w:t>$125.00</w:t>
            </w:r>
          </w:p>
        </w:tc>
        <w:tc>
          <w:tcPr>
            <w:tcW w:w="3160" w:type="dxa"/>
            <w:vAlign w:val="bottom"/>
          </w:tcPr>
          <w:p>
            <w:pPr>
              <w:ind w:left="220"/>
              <w:spacing w:after="0"/>
              <w:rPr>
                <w:sz w:val="20"/>
                <w:szCs w:val="20"/>
                <w:color w:val="auto"/>
              </w:rPr>
            </w:pPr>
            <w:r>
              <w:rPr>
                <w:rFonts w:ascii="Arial" w:cs="Arial" w:eastAsia="Arial" w:hAnsi="Arial"/>
                <w:sz w:val="18"/>
                <w:szCs w:val="18"/>
                <w:color w:val="auto"/>
              </w:rPr>
              <w:t>Low price target</w:t>
            </w:r>
          </w:p>
        </w:tc>
        <w:tc>
          <w:tcPr>
            <w:tcW w:w="2260" w:type="dxa"/>
            <w:vAlign w:val="bottom"/>
            <w:gridSpan w:val="2"/>
          </w:tcPr>
          <w:p>
            <w:pPr>
              <w:ind w:left="1720"/>
              <w:spacing w:after="0"/>
              <w:rPr>
                <w:sz w:val="20"/>
                <w:szCs w:val="20"/>
                <w:color w:val="auto"/>
              </w:rPr>
            </w:pPr>
            <w:r>
              <w:rPr>
                <w:rFonts w:ascii="Arial" w:cs="Arial" w:eastAsia="Arial" w:hAnsi="Arial"/>
                <w:sz w:val="18"/>
                <w:szCs w:val="18"/>
                <w:color w:val="auto"/>
                <w:w w:val="86"/>
              </w:rPr>
              <w:t>$ 58.00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Implied exchange</w:t>
            </w:r>
          </w:p>
        </w:tc>
      </w:tr>
      <w:tr>
        <w:trPr>
          <w:trHeight w:val="171"/>
        </w:trPr>
        <w:tc>
          <w:tcPr>
            <w:tcW w:w="5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ratio</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Highest TWC price target to lowest Comcast price target</w:t>
            </w:r>
          </w:p>
        </w:tc>
        <w:tc>
          <w:tcPr>
            <w:tcW w:w="1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Lowest TWC price target to highest Comcast price target</w:t>
            </w:r>
          </w:p>
        </w:tc>
        <w:tc>
          <w:tcPr>
            <w:tcW w:w="16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1.923x</w:t>
            </w: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J.P. Morgan noted that the analyst price targets (undiscounted)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Exchange Ratio Analysis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J.P. Morgan reviewed the per share daily closing market price of Comcast Class A common stock and TWC common stock since the spin-off of TWC on March 12, 2009 and calculated the implied historical exchange ratios during this period. Specifically, for each trading day, J.P. Morgan divided the daily closing price per share of TWC common stock by that of Comcast Class A common stock. J.P. Morgan calculated (i) the exchange ratios based on the closing stock prices on February 10, 2014 and the unaffected date of June 13, 2013 and (ii) the average of the implied historical exchange ratios for the thirty-day, three-month, one-year, three-year,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since spin-off periods ending February 10, 2014. The analysis resulted in the following implied exchange ratios for the dates and periods indicated, as compared to the exchange ratio in the proposed merger of 2.875x:</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9"/>
              </w:rPr>
              <w:t>TWC implied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implied pro</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exchange ratio</w:t>
            </w:r>
          </w:p>
        </w:tc>
        <w:tc>
          <w:tcPr>
            <w:tcW w:w="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(2/10/2014)</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2.497x</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Unaffected date (6/13/2013)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2.419x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days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2.517x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2.591x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year</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2.468x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2.667x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Since spin-off (3/12/2009)</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2.671x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J.P. Morgan noted that a historical exchange ratio analysis was presented merely for reference purposes only, and was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Trading Analysis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also reviewed the 52-week intraday trading range of TWC stock price and Comcast Class A stock price for the period ending February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The reference ranges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TWC</w:t>
            </w:r>
          </w:p>
        </w:tc>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139.85</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52-week high</w:t>
            </w:r>
          </w:p>
        </w:tc>
        <w:tc>
          <w:tcPr>
            <w:tcW w:w="1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52-week low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84.57</w:t>
            </w:r>
          </w:p>
        </w:tc>
        <w:tc>
          <w:tcPr>
            <w:tcW w:w="3040" w:type="dxa"/>
            <w:vAlign w:val="bottom"/>
          </w:tcPr>
          <w:p>
            <w:pPr>
              <w:ind w:left="220"/>
              <w:spacing w:after="0"/>
              <w:rPr>
                <w:sz w:val="20"/>
                <w:szCs w:val="20"/>
                <w:color w:val="auto"/>
              </w:rPr>
            </w:pPr>
            <w:r>
              <w:rPr>
                <w:rFonts w:ascii="Arial" w:cs="Arial" w:eastAsia="Arial" w:hAnsi="Arial"/>
                <w:sz w:val="18"/>
                <w:szCs w:val="18"/>
                <w:color w:val="auto"/>
              </w:rPr>
              <w:t>52-week low</w:t>
            </w:r>
          </w:p>
        </w:tc>
        <w:tc>
          <w:tcPr>
            <w:tcW w:w="2380" w:type="dxa"/>
            <w:vAlign w:val="bottom"/>
            <w:gridSpan w:val="2"/>
          </w:tcPr>
          <w:p>
            <w:pPr>
              <w:ind w:left="1840"/>
              <w:spacing w:after="0"/>
              <w:rPr>
                <w:sz w:val="20"/>
                <w:szCs w:val="20"/>
                <w:color w:val="auto"/>
              </w:rPr>
            </w:pPr>
            <w:r>
              <w:rPr>
                <w:rFonts w:ascii="Arial" w:cs="Arial" w:eastAsia="Arial" w:hAnsi="Arial"/>
                <w:sz w:val="18"/>
                <w:szCs w:val="18"/>
                <w:color w:val="auto"/>
                <w:w w:val="86"/>
              </w:rPr>
              <w:t>$ 38.31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Implied exchange</w:t>
            </w:r>
          </w:p>
        </w:tc>
      </w:tr>
      <w:tr>
        <w:trPr>
          <w:trHeight w:val="171"/>
        </w:trPr>
        <w:tc>
          <w:tcPr>
            <w:tcW w:w="10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ratio</w:t>
            </w:r>
          </w:p>
        </w:tc>
      </w:tr>
      <w:tr>
        <w:trPr>
          <w:trHeight w:val="210"/>
        </w:trPr>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highest TWC stock price to 52-week lowest Comcast class A stock price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52-week lowest TWC stock price to 52-week highest Comcast class A stock price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1.539x</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Public Trading Multiples Analysis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Cable Companies:</w:t>
      </w:r>
    </w:p>
    <w:p>
      <w:pPr>
        <w:spacing w:after="0" w:line="131"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Cablevision Systems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Charter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Time Warner Cable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jc w:val="both"/>
        <w:ind w:left="900" w:right="66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selected companies, as indicated in the following table: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Trading multiples—Cable Companies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Firm value to EBITDA ratio</w:t>
            </w: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Equity value to levered free cash flow</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ratio</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2014 estimated</w:t>
            </w:r>
          </w:p>
        </w:tc>
        <w:tc>
          <w:tcPr>
            <w:tcW w:w="10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720" w:type="dxa"/>
            <w:vAlign w:val="bottom"/>
          </w:tcPr>
          <w:p>
            <w:pPr>
              <w:spacing w:after="0"/>
              <w:rPr>
                <w:sz w:val="12"/>
                <w:szCs w:val="12"/>
                <w:color w:val="auto"/>
              </w:rPr>
            </w:pPr>
          </w:p>
        </w:tc>
        <w:tc>
          <w:tcPr>
            <w:tcW w:w="13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2014 estimated</w:t>
            </w:r>
          </w:p>
        </w:tc>
        <w:tc>
          <w:tcPr>
            <w:tcW w:w="6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Cablevision Systems Corporation</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2"/>
              </w:rPr>
              <w:t>7.5x</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7.2x</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6"/>
              </w:rPr>
              <w:t>23.9x</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6"/>
              </w:rPr>
              <w:t>16.9x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Charter Communications,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8.8x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8.0x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24.2x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14.8x</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6.9x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18.1x</w:t>
            </w:r>
          </w:p>
        </w:tc>
        <w:tc>
          <w:tcPr>
            <w:tcW w:w="6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16.0x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Time Warner Cable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15.9x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7.3x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20.5x</w:t>
            </w: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Median</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7.4x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7.1x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21.0x</w:t>
            </w:r>
          </w:p>
        </w:tc>
        <w:tc>
          <w:tcPr>
            <w:tcW w:w="640" w:type="dxa"/>
            <w:vAlign w:val="bottom"/>
          </w:tcPr>
          <w:p>
            <w:pPr>
              <w:spacing w:after="0"/>
              <w:rPr>
                <w:sz w:val="20"/>
                <w:szCs w:val="20"/>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16.4x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460" w:right="2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was based on estimated 2014 and 2015 EBITDA. Additional information on estimated 2014 and 2015 EBITDA is provided in the section entitled “Unaudited Prospective Financial Information” beginning on page 149 of this joint proxy statement/prospectus. J.P. Morgan determined firm value for Comcast’s cable business by subtracting the estimated value of Comcast’s non-cable business of $56.2 billion, which J.P. Morgan derived from a consensus of selected equity research analysts, from the firm value for Comcast of $187.1 billion. In addition, for Comcast, equity value to levered free cash flow ratio used is for whole company, including cable and non-cable businesses.</w:t>
      </w:r>
    </w:p>
    <w:p>
      <w:pPr>
        <w:spacing w:after="0" w:line="111" w:lineRule="exact"/>
        <w:rPr>
          <w:sz w:val="20"/>
          <w:szCs w:val="20"/>
          <w:color w:val="auto"/>
        </w:rPr>
      </w:pPr>
    </w:p>
    <w:p>
      <w:pPr>
        <w:sectPr>
          <w:pgSz w:w="11900" w:h="16838" w:orient="portrait"/>
          <w:cols w:equalWidth="0" w:num="2">
            <w:col w:w="400" w:space="400"/>
            <w:col w:w="10560"/>
          </w:cols>
          <w:pgMar w:left="240" w:top="46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360"/>
          </w:cols>
          <w:pgMar w:left="240" w:top="460" w:right="29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Implied equity value per share—TWC</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Firm value to EBITDA ratio</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6"/>
          </w:tcPr>
          <w:p>
            <w:pPr>
              <w:ind w:left="200"/>
              <w:spacing w:after="0"/>
              <w:rPr>
                <w:sz w:val="20"/>
                <w:szCs w:val="20"/>
                <w:color w:val="auto"/>
              </w:rPr>
            </w:pPr>
            <w:r>
              <w:rPr>
                <w:rFonts w:ascii="Arial" w:cs="Arial" w:eastAsia="Arial" w:hAnsi="Arial"/>
                <w:sz w:val="14"/>
                <w:szCs w:val="14"/>
                <w:b w:val="1"/>
                <w:bCs w:val="1"/>
                <w:color w:val="auto"/>
              </w:rPr>
              <w:t>Equity value to levered free cash flow ratio</w:t>
            </w:r>
          </w:p>
        </w:tc>
      </w:tr>
      <w:tr>
        <w:trPr>
          <w:trHeight w:val="142"/>
        </w:trPr>
        <w:tc>
          <w:tcPr>
            <w:tcW w:w="3440" w:type="dxa"/>
            <w:vAlign w:val="bottom"/>
          </w:tcPr>
          <w:p>
            <w:pPr>
              <w:spacing w:after="0"/>
              <w:rPr>
                <w:sz w:val="12"/>
                <w:szCs w:val="12"/>
                <w:color w:val="auto"/>
              </w:rPr>
            </w:pPr>
          </w:p>
        </w:tc>
        <w:tc>
          <w:tcPr>
            <w:tcW w:w="14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2014 estimated</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1"/>
              </w:rPr>
              <w:t>2014 estimated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164.75</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Low</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130.75</w:t>
            </w:r>
          </w:p>
        </w:tc>
        <w:tc>
          <w:tcPr>
            <w:tcW w:w="9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135.00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158.50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Comcast Public Trading and Sum of the Parts Trading Multiples Analyses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Diversified Media Companies:</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CBS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Discovery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Scripps Networks Interactive,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Time Warner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Twenty-First Century Fox,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in its sum of the parts analysis,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 Results of the analysis for the Diversified Media Companies were presented for the selected companies, as indicated in the following table:</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Trading multiples—Diversified Media Companies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80" w:type="dxa"/>
            <w:vAlign w:val="bottom"/>
            <w:gridSpan w:val="4"/>
          </w:tcPr>
          <w:p>
            <w:pPr>
              <w:ind w:left="560"/>
              <w:spacing w:after="0"/>
              <w:rPr>
                <w:sz w:val="20"/>
                <w:szCs w:val="20"/>
                <w:color w:val="auto"/>
              </w:rPr>
            </w:pPr>
            <w:r>
              <w:rPr>
                <w:rFonts w:ascii="Arial" w:cs="Arial" w:eastAsia="Arial" w:hAnsi="Arial"/>
                <w:sz w:val="14"/>
                <w:szCs w:val="14"/>
                <w:b w:val="1"/>
                <w:bCs w:val="1"/>
                <w:color w:val="auto"/>
              </w:rPr>
              <w:t>Firm value to EBITDA ratio</w:t>
            </w:r>
          </w:p>
        </w:tc>
      </w:tr>
      <w:tr>
        <w:trPr>
          <w:trHeight w:val="142"/>
        </w:trPr>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2014 estimated</w:t>
            </w:r>
          </w:p>
        </w:tc>
        <w:tc>
          <w:tcPr>
            <w:tcW w:w="1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 Networks Inc.</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CBS Corporation</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Discovery Communications,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Scripps Networks Interactive,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 Walt Disney Company</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Time Warner Inc.</w:t>
            </w: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9.6x</w:t>
            </w:r>
          </w:p>
        </w:tc>
        <w:tc>
          <w:tcPr>
            <w:tcW w:w="10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Twenty-First Century Fox,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Viacom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Median</w:t>
            </w:r>
          </w:p>
        </w:tc>
        <w:tc>
          <w:tcPr>
            <w:tcW w:w="1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11.0x</w:t>
            </w:r>
          </w:p>
        </w:tc>
        <w:tc>
          <w:tcPr>
            <w:tcW w:w="10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10.4x</w:t>
            </w: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 Additional information on estimated 2014 and 2015 EBITDA is provided in the section entitled “Unaudited Prospective Financial Information” beginning on page 149 of this joint proxy statement/prospectus.</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Implied equity value per share—Comcast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ind w:left="240"/>
              <w:spacing w:after="0"/>
              <w:rPr>
                <w:sz w:val="20"/>
                <w:szCs w:val="20"/>
                <w:color w:val="auto"/>
              </w:rPr>
            </w:pPr>
            <w:r>
              <w:rPr>
                <w:rFonts w:ascii="Arial" w:cs="Arial" w:eastAsia="Arial" w:hAnsi="Arial"/>
                <w:sz w:val="14"/>
                <w:szCs w:val="14"/>
                <w:b w:val="1"/>
                <w:bCs w:val="1"/>
                <w:color w:val="auto"/>
              </w:rPr>
              <w:t>Firm value to EBITDA ratio</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Equity value to levered free cash flow ratio</w:t>
            </w:r>
          </w:p>
        </w:tc>
      </w:tr>
      <w:tr>
        <w:trPr>
          <w:trHeight w:val="142"/>
        </w:trPr>
        <w:tc>
          <w:tcPr>
            <w:tcW w:w="1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2014 estimated</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Low</w:t>
            </w:r>
          </w:p>
        </w:tc>
        <w:tc>
          <w:tcPr>
            <w:tcW w:w="18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49.25</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47.75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350"/>
        </w:trPr>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6"/>
              </w:rPr>
              <w:t>144</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each of firm value to EBITDA and equity value to levered free cash flow, J.P. Morgan then calculated (1) the ratio of the highest implied equity value per share for TWC to the lowest implied equity value per share 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Implied exchange ratio</w:t>
            </w:r>
          </w:p>
        </w:tc>
      </w:tr>
      <w:tr>
        <w:trPr>
          <w:trHeight w:val="142"/>
        </w:trPr>
        <w:tc>
          <w:tcPr>
            <w:tcW w:w="87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 estimated</w:t>
            </w:r>
          </w:p>
        </w:tc>
        <w:tc>
          <w:tcPr>
            <w:tcW w:w="100" w:type="dxa"/>
            <w:vAlign w:val="bottom"/>
          </w:tcPr>
          <w:p>
            <w:pPr>
              <w:spacing w:after="0"/>
              <w:rPr>
                <w:sz w:val="12"/>
                <w:szCs w:val="12"/>
                <w:color w:val="auto"/>
              </w:rPr>
            </w:pPr>
          </w:p>
        </w:tc>
      </w:tr>
      <w:tr>
        <w:trPr>
          <w:trHeight w:val="196"/>
        </w:trPr>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Firm value to EBITDA ratio:</w:t>
            </w: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3.843x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3.184x</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2.012x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2.195x</w:t>
            </w:r>
          </w:p>
        </w:tc>
      </w:tr>
      <w:tr>
        <w:trPr>
          <w:trHeight w:val="216"/>
        </w:trPr>
        <w:tc>
          <w:tcPr>
            <w:tcW w:w="8760" w:type="dxa"/>
            <w:vAlign w:val="bottom"/>
          </w:tcPr>
          <w:p>
            <w:pPr>
              <w:spacing w:after="0"/>
              <w:rPr>
                <w:sz w:val="20"/>
                <w:szCs w:val="20"/>
                <w:color w:val="auto"/>
              </w:rPr>
            </w:pPr>
            <w:r>
              <w:rPr>
                <w:rFonts w:ascii="Arial" w:cs="Arial" w:eastAsia="Arial" w:hAnsi="Arial"/>
                <w:sz w:val="18"/>
                <w:szCs w:val="18"/>
                <w:i w:val="1"/>
                <w:iCs w:val="1"/>
                <w:color w:val="auto"/>
              </w:rPr>
              <w:t>Equity value to levered free cash flow ratio:</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3.728x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2.857x</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2.949x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2.078x</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 Analysis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Unadjusted firm</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Firm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adjusted for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Announcement</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value to</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tax attributes, to</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Acquiror</w:t>
            </w:r>
          </w:p>
        </w:tc>
        <w:tc>
          <w:tcPr>
            <w:tcW w:w="480" w:type="dxa"/>
            <w:vAlign w:val="bottom"/>
          </w:tcPr>
          <w:p>
            <w:pPr>
              <w:spacing w:after="0"/>
              <w:rPr>
                <w:sz w:val="12"/>
                <w:szCs w:val="12"/>
                <w:color w:val="auto"/>
              </w:rPr>
            </w:pPr>
          </w:p>
        </w:tc>
        <w:tc>
          <w:tcPr>
            <w:tcW w:w="24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Target</w:t>
            </w: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next twelve months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next twelve months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EBITDA ratio</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EBITDA ratio</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Charter Communications, Inc.</w:t>
            </w:r>
          </w:p>
        </w:tc>
        <w:tc>
          <w:tcPr>
            <w:tcW w:w="15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Bresnan Broadband</w:t>
            </w:r>
          </w:p>
        </w:tc>
        <w:tc>
          <w:tcPr>
            <w:tcW w:w="4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February 2013</w:t>
            </w:r>
          </w:p>
        </w:tc>
        <w:tc>
          <w:tcPr>
            <w:tcW w:w="4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880"/>
              <w:spacing w:after="0" w:line="195" w:lineRule="exact"/>
              <w:rPr>
                <w:sz w:val="20"/>
                <w:szCs w:val="20"/>
                <w:color w:val="auto"/>
              </w:rPr>
            </w:pPr>
            <w:r>
              <w:rPr>
                <w:rFonts w:ascii="Arial" w:cs="Arial" w:eastAsia="Arial" w:hAnsi="Arial"/>
                <w:sz w:val="18"/>
                <w:szCs w:val="18"/>
                <w:color w:val="auto"/>
                <w:w w:val="82"/>
              </w:rPr>
              <w:t>8.0x</w:t>
            </w:r>
          </w:p>
        </w:tc>
        <w:tc>
          <w:tcPr>
            <w:tcW w:w="5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7.0x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BC Partners Limited</w:t>
            </w:r>
          </w:p>
        </w:tc>
        <w:tc>
          <w:tcPr>
            <w:tcW w:w="288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Suddenlink</w:t>
            </w:r>
          </w:p>
        </w:tc>
        <w:tc>
          <w:tcPr>
            <w:tcW w:w="16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3"/>
              </w:rPr>
              <w:t>July 2012</w:t>
            </w:r>
          </w:p>
        </w:tc>
        <w:tc>
          <w:tcPr>
            <w:tcW w:w="176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8.4x</w:t>
            </w: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Cogeco Cable Inc.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Atlantic Broadband</w:t>
            </w:r>
          </w:p>
        </w:tc>
        <w:tc>
          <w:tcPr>
            <w:tcW w:w="16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July 2012</w:t>
            </w: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Liberty Global,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OneLink Communications</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June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Oak Hill Capital Partners, L.P. and GI Partners</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WaveDivision Holdings,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2012</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WideOpenWest Finance, LLC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Knology,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April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7.6x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Time Warner Cable Inc.</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Insight Communications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August 2011</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Company, Inc.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Suddenlink Communications</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NPG Cable,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November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Rocco B. Commisso</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Mediacom</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November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7.1x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Corporation</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Knology,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Sunflower Broadband</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August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7.5x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Cablevision Systems Corporation</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Bresnan Broadband</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5.9x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Mean</w:t>
            </w: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79"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 for TWC and Sum of the Parts Discounted Cash Flow Analysis for Comcast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 ranging from 1.75% to 2.25% to the unlevered free cash flows of the business during 2023. The unlevered free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range of terminal values were then discounted to present values using a discount rate range of 7.0% to 8.0%, which range was chosen by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based upon an analysis of the weighted average cost of capital of the non-cable business of Comcast.</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J.P. Morgan then calculated (1) the ratio of the highest implied equity value per share for TWC to the lowest implied equity value per share for Comcast, and (2) 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Implied</w:t>
            </w:r>
          </w:p>
        </w:tc>
      </w:tr>
      <w:tr>
        <w:trPr>
          <w:trHeight w:val="171"/>
        </w:trPr>
        <w:tc>
          <w:tcPr>
            <w:tcW w:w="104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exchange ratio</w:t>
            </w:r>
          </w:p>
        </w:tc>
      </w:tr>
      <w:tr>
        <w:trPr>
          <w:trHeight w:val="196"/>
        </w:trPr>
        <w:tc>
          <w:tcPr>
            <w:tcW w:w="10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 synergies</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standalone implied equity value per share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3.203x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standalone implied equity value per share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1.623x</w:t>
            </w:r>
          </w:p>
        </w:tc>
      </w:tr>
      <w:tr>
        <w:trPr>
          <w:trHeight w:val="216"/>
        </w:trPr>
        <w:tc>
          <w:tcPr>
            <w:tcW w:w="10420" w:type="dxa"/>
            <w:vAlign w:val="bottom"/>
          </w:tcPr>
          <w:p>
            <w:pPr>
              <w:spacing w:after="0"/>
              <w:rPr>
                <w:sz w:val="20"/>
                <w:szCs w:val="20"/>
                <w:color w:val="auto"/>
              </w:rPr>
            </w:pPr>
            <w:r>
              <w:rPr>
                <w:rFonts w:ascii="Arial" w:cs="Arial" w:eastAsia="Arial" w:hAnsi="Arial"/>
                <w:sz w:val="18"/>
                <w:szCs w:val="18"/>
                <w:i w:val="1"/>
                <w:iCs w:val="1"/>
                <w:color w:val="auto"/>
              </w:rPr>
              <w:t>50% synergie</w:t>
            </w:r>
            <w:r>
              <w:rPr>
                <w:rFonts w:ascii="Arial" w:cs="Arial" w:eastAsia="Arial" w:hAnsi="Arial"/>
                <w:sz w:val="18"/>
                <w:szCs w:val="18"/>
                <w:color w:val="auto"/>
              </w:rPr>
              <w: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(including 50% synergies) to lowest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3.927x</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Lowest TWC implied equity value per share (including 50% synergies) to highest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2.080x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synergies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implied equity value per share (including 100% synergies)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4.647x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(including 100% synergies)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2.534x</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Illustrative Value Creation Analysis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i w:val="1"/>
          <w:iCs w:val="1"/>
          <w:color w:val="auto"/>
        </w:rPr>
        <w:t xml:space="preserve">Intrinsic Value. </w:t>
      </w:r>
      <w:r>
        <w:rPr>
          <w:rFonts w:ascii="Arial" w:cs="Arial" w:eastAsia="Arial" w:hAnsi="Arial"/>
          <w:sz w:val="16"/>
          <w:szCs w:val="16"/>
          <w:color w:val="auto"/>
        </w:rPr>
        <w:t>J.P. Morgan conducted an illustrative value creation analysis that compared the implied equity value per share of Comcast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derived 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 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w:t>
      </w:r>
    </w:p>
    <w:p>
      <w:pPr>
        <w:spacing w:after="0" w:line="5" w:lineRule="exact"/>
        <w:rPr>
          <w:sz w:val="20"/>
          <w:szCs w:val="20"/>
          <w:color w:val="auto"/>
        </w:rPr>
      </w:pPr>
    </w:p>
    <w:p>
      <w:pPr>
        <w:ind w:right="40" w:firstLine="8"/>
        <w:spacing w:after="0" w:line="254"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the estimated present value of the Comcast synergy estimates, net of implementation costs and remediation capital expenditures, discounted to present value using a discount rate of 7.0% and perpetuity growth rate of 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J.P. Morgan also conducted an illustrative value creation analysis that compared the closing market price of Comcast common stock as of</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10, 2014 to the pro forma combined company implied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(calculated as the sum of the equity values of Comcast and TWC divided by the sum of the levered free cash flows of Comcast and TWC)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J.P. Morgan has acted as financial advisor to Comcast with respect to the proposed merger and will receive a fee from Comcast for its services equal to a total of $27.5 million, $25 million of which will become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Prospective Financial Information</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Management Case</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 Opinions of TWC’s Financial Advisors” and “—Opinion of Financial Advisor to the TWC Independent Directors” beginning on pages 113 and 128,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w:t>
      </w:r>
    </w:p>
    <w:p>
      <w:pPr>
        <w:spacing w:after="0" w:line="4" w:lineRule="exact"/>
        <w:rPr>
          <w:sz w:val="20"/>
          <w:szCs w:val="20"/>
          <w:color w:val="auto"/>
        </w:rPr>
      </w:pPr>
    </w:p>
    <w:p>
      <w:pPr>
        <w:ind w:left="320" w:hanging="312"/>
        <w:spacing w:after="0"/>
        <w:tabs>
          <w:tab w:leader="none" w:pos="3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operating expenses before depreciation, amortization and merger-related and restructuring costs growth of 4.8% 2013-2016 CAGR resulting from</w:t>
      </w:r>
    </w:p>
    <w:p>
      <w:pPr>
        <w:spacing w:after="0" w:line="20"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continuation of cost reduction and operating efficiency strategies, (iv) a decrease in total operating expenses before depreciation, amortization and merger-related and restructuring costs as a percentage of revenue to 63.4% in 2016, and (v) an increase in capital expenditures as a percentage of revenue from 14.5% in 2013 to 16.0% in 2014, decreasing to 15.7% of revenue in 2015 and to 14.8% of revenue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2016. These assumptions are 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TWC Management Case:</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TWC Management Case</w:t>
      </w:r>
    </w:p>
    <w:p>
      <w:pPr>
        <w:jc w:val="center"/>
        <w:ind w:left="66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2014E</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2016E</w:t>
            </w:r>
          </w:p>
        </w:tc>
        <w:tc>
          <w:tcPr>
            <w:tcW w:w="10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Adjusted OIBDA(1)</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8,425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8,600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9,400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Levered Free Cash Flow(2)</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2,650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2,120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91"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hanging="452"/>
        <w:spacing w:after="0" w:line="273" w:lineRule="auto"/>
        <w:tabs>
          <w:tab w:leader="none" w:pos="4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 (C) partnership distributions to third parties and (D) principal payments on capital leases.</w:t>
      </w:r>
    </w:p>
    <w:p>
      <w:pPr>
        <w:spacing w:after="0" w:line="17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Comcast Street Case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due diligence investigation of Comcast undertaken by TWC and its advisors, TWC requested from Comcast non-public forecasts and projections as to Comcast’s potential future performance prepared or adopted by Comcast’s management. Comcast informed TWC that it does not, as a matter of course, publicly disclose forecasts or projections as to its potential future performance, and as a result was not willing to provide TWC with any such forecasts or projections. Instead, Comcast and TWC discussed certain publicly available forecasts of potential future performance concerning Comcast, including certain publicly available forecasts prepared by the independent equity research group of J.P. Morgan in a report dated January 29, 2014, which is referred to in this joint proxy statement/prospectus as the Specified Comcast Street Case. Comcast informed TWC that the Specified Comcast Street Case, which included projections for a seven-year period, instead of the three-year period set forth by other equity research groups, did not present a more favorable forecast of Comcast’s potential future performance than the publicly available forecasts to be used by Comcast’s financial advisor in connection with its valuation analysis and fairness opinion, referred to below as the Consensus Comcast Street Case. The TWC board of directors reviewed and considered the Specified Comcast Street Case, and TWC’s financial advisors used the Specified Comcast Street Case in their financial analyses of Comcast (see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“—Opinions of TWC’s Financial Advisors” and “—Opinion of Financial Advisor to the TWC Independent Directors” beginning on pages 113 and 128,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but rather was prepared, for purposes unrelated to the management of Comcast’s business or the merger, by the independent equity research group at J.P. Morgan, which was not representing or acting on behalf of Comcast, and which operates independently from, and is physically separated from, the financial advisory and financing businesses of J.P. Morgan. Comcast believes that the Specified Comcast Street Case is a conservative forecast of Comcast’s potential future performance.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Specified Comcast Street Case:</w:t>
      </w:r>
    </w:p>
    <w:p>
      <w:pPr>
        <w:spacing w:after="0" w:line="24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Specified Comcast Street Case</w:t>
      </w:r>
    </w:p>
    <w:p>
      <w:pPr>
        <w:jc w:val="center"/>
        <w:ind w:left="512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2014E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2016E</w:t>
            </w: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2017E</w:t>
            </w:r>
          </w:p>
        </w:tc>
        <w:tc>
          <w:tcPr>
            <w:tcW w:w="9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2018E</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2019E</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2020E</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$68,373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$74,566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$77,821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$ 80,842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$ 83,650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EBITDA(1)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22,388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23,892</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25,196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26,457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28,744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29,720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7,384</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7,399</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Consensus Comcast Street Case</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Consensus Comcast Street Case:</w:t>
      </w:r>
    </w:p>
    <w:p>
      <w:pPr>
        <w:spacing w:after="0" w:line="24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Consensus Comcast Street Case – Cable Business</w:t>
      </w:r>
    </w:p>
    <w:p>
      <w:pPr>
        <w:jc w:val="center"/>
        <w:ind w:left="546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43,735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46,430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EBITDA(1)</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17,875</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18,929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20,371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6,158</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6,900</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80" w:right="5320" w:hanging="5572"/>
        <w:spacing w:after="0" w:line="536" w:lineRule="auto"/>
        <w:tabs>
          <w:tab w:leader="none" w:pos="4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EBITDA means earnings before interest, taxes, depreciation and amortization. 151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46" w:lineRule="exact"/>
        <w:rPr>
          <w:rFonts w:ascii="Arial" w:cs="Arial" w:eastAsia="Arial" w:hAnsi="Arial"/>
          <w:sz w:val="16"/>
          <w:szCs w:val="16"/>
          <w:color w:val="auto"/>
        </w:rPr>
      </w:pPr>
    </w:p>
    <w:p>
      <w:pPr>
        <w:ind w:left="460" w:right="200" w:hanging="452"/>
        <w:spacing w:after="0" w:line="323"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157"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Consensus Comcast Street Case – Non-Cable Business</w:t>
      </w:r>
    </w:p>
    <w:p>
      <w:pPr>
        <w:jc w:val="center"/>
        <w:ind w:left="49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2014E</w:t>
            </w: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25,066</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EBITDA(1)</w:t>
            </w:r>
          </w:p>
        </w:tc>
        <w:tc>
          <w:tcPr>
            <w:tcW w:w="1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4,924</w:t>
            </w: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20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Consensus Comcast Street Case – Consolidated</w:t>
      </w:r>
    </w:p>
    <w:p>
      <w:pPr>
        <w:jc w:val="center"/>
        <w:ind w:left="55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11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2015E</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68,801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71,923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EBITDA(1)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22,799</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24,296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26,147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7,336</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9,030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10,037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TWC Management Case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Adjusted TWC Management Case.</w:t>
      </w:r>
    </w:p>
    <w:p>
      <w:pPr>
        <w:spacing w:after="0" w:line="24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Adjusted TWC Management Case</w:t>
      </w:r>
    </w:p>
    <w:p>
      <w:pPr>
        <w:jc w:val="center"/>
        <w:ind w:left="85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80" w:type="dxa"/>
            <w:vAlign w:val="bottom"/>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2014E</w:t>
            </w: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2015E</w:t>
            </w: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EBITDA(1)</w:t>
            </w:r>
          </w:p>
        </w:tc>
        <w:tc>
          <w:tcPr>
            <w:tcW w:w="600" w:type="dxa"/>
            <w:vAlign w:val="bottom"/>
          </w:tcPr>
          <w:p>
            <w:pPr>
              <w:jc w:val="right"/>
              <w:spacing w:after="0"/>
              <w:rPr>
                <w:sz w:val="20"/>
                <w:szCs w:val="20"/>
                <w:color w:val="auto"/>
              </w:rPr>
            </w:pPr>
            <w:r>
              <w:rPr>
                <w:rFonts w:ascii="Arial" w:cs="Arial" w:eastAsia="Arial" w:hAnsi="Arial"/>
                <w:sz w:val="18"/>
                <w:szCs w:val="18"/>
                <w:color w:val="auto"/>
              </w:rPr>
              <w:t>8,425</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2,483</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Adjusted TWC Management Case was as follows (in millions): 2017E: $3,214; 2018E: $3,455; 2019E: $3,609; 2020E: $3,744; 2021E: $3,858; 2022E: $3,949; and 2023E: $4,015.</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69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 reflected in any of the Cases will be realized or that actual results will not materially vary from the Cases.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2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79 of this joint proxy statement/prospectus for additional information regarding the risks inherent in forward-looking information such as the financial projections and “Where You Can Find More Information” beginning on page 244 of this joint proxy statement/prospectus.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8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information about the Cases set forth above does not give effect to the merger and also does not take into account the effect of any failure of the merger to be consummated.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between Comcast and TWC</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 Comcast and TWC also are and have been co-investors in certain other businesses, including, among others, Canoe Ventures, LLC, iN DEMAND LLC and SportsNet New York and co-participants in certain industry trade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groups. Additional information regarding joint ventures between Comcast and TWC is included in the documents incorporated by reference into this joint proxy statement/prospectus.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174 of this joint proxy statement/prospectus or its obligations to call and hold a meeting of its stockholders, in each case, if an acquisition proposal (as defined under “The Merger Agreement—No Solicitation by TWC” beginning on page 174 of this joint proxy statement/prospectus) has been publicly made prior to TWC’s special meeting. Each such termination event is more fully described in “The Merger Agreement—Termination of the Merger Agreement” beginning on page 183 of this joint proxy statement/prospectus.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Antitrust Filing</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FCC Approval</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 and Local Approvals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Governmental Approvals</w:t>
      </w:r>
    </w:p>
    <w:p>
      <w:pPr>
        <w:spacing w:after="0" w:line="11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Efforts to Obtain Regulatory Approvals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92"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under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178 of this joint proxy statement/prospectus.</w:t>
      </w:r>
    </w:p>
    <w:p>
      <w:pPr>
        <w:spacing w:after="0" w:line="1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obtaining the required governmental authorizations, Comcast has agreed to the following undertakings (with such modifications as are no more adverse in the aggregate than such agreed undertakings):</w:t>
      </w:r>
    </w:p>
    <w:p>
      <w:pPr>
        <w:spacing w:after="0" w:line="76" w:lineRule="exact"/>
        <w:rPr>
          <w:sz w:val="20"/>
          <w:szCs w:val="20"/>
          <w:color w:val="auto"/>
        </w:rPr>
      </w:pPr>
    </w:p>
    <w:p>
      <w:pPr>
        <w:ind w:left="900" w:hanging="446"/>
        <w:spacing w:after="0" w:line="259"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Comcast’s broadband adoption and digital literacy programs to low-income subscribers in the acquired systems;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170"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73" w:lineRule="auto"/>
        <w:tabs>
          <w:tab w:leader="none" w:pos="2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7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203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203 of this joint proxy statement/prospectus.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Timing</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Agreement—Termination of the Merger Agreement” beginning on page 183 of this joint proxy statement/prospectus.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7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 statement/prospectus, all of which may change, possibly with retroactive effect. For purposes of this discussion, a “U.S. Holder” is a beneficial owner of TWC common stock that is for U.S. federal income tax purposes:</w:t>
      </w:r>
    </w:p>
    <w:p>
      <w:pPr>
        <w:spacing w:after="0" w:line="94"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addresses only the consequences of the exchange of shares of TWC common stock held as capital assets. It does not address all aspects of U.S. federal income taxation that may be important to a U.S. Holder in light of that stockholder’s particular circumstances or to a U.S. Holder subject to special rules, such as:</w:t>
      </w:r>
    </w:p>
    <w:p>
      <w:pPr>
        <w:spacing w:after="0" w:line="87"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stockholder that holds TWC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8"/>
          <w:szCs w:val="18"/>
          <w:b w:val="1"/>
          <w:bCs w:val="1"/>
          <w:color w:val="auto"/>
        </w:rPr>
        <w:t>Accordingly,</w:t>
      </w:r>
      <w:r>
        <w:rPr>
          <w:rFonts w:ascii="Arial" w:cs="Arial" w:eastAsia="Arial" w:hAnsi="Arial"/>
          <w:sz w:val="18"/>
          <w:szCs w:val="18"/>
          <w:color w:val="auto"/>
        </w:rPr>
        <w:t xml:space="preserve"> </w:t>
      </w:r>
      <w:r>
        <w:rPr>
          <w:rFonts w:ascii="Arial" w:cs="Arial" w:eastAsia="Arial" w:hAnsi="Arial"/>
          <w:sz w:val="18"/>
          <w:szCs w:val="18"/>
          <w:b w:val="1"/>
          <w:bCs w:val="1"/>
          <w:color w:val="auto"/>
        </w:rPr>
        <w:t>we urge each holder of TWC common stock to consult his or her tax advisor to determine the particular U.S. federal, state or local or foreign income or other tax consequences to him, her or it of the merger.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Opinions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opinions, the material U.S. federal income tax consequences of the merger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Comcast, Merger Sub and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Comcast, Merger Sub and TWC will recognize any gain or loss for U.S. federal income tax purposes as a result of the merger.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U.S. Holders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7"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names and employer identification numbers of the parties to the reorganization (Comcast (EIN: 27-0000798), Merger Sub (EIN: 32-0433588)</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and TWC (EIN: 84-1496755));</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closing date of the merger;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fair market value and tax basis of the TWC common stock exchanged in the merger, in each case determined immediately before the completion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under “Comcast Unaudited Pro Forma Condensed Combined Financial Statements— Notes to Unaudited Pro Forma Financial Information Giving Effect to the TWC Merger” beginning on page 51 of this joint proxy statement/prospectus) over the net fair value of such assets and liabilities will be recorded as goodwill.</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6"/>
          <w:szCs w:val="16"/>
          <w:i w:val="1"/>
          <w:iCs w:val="1"/>
          <w:color w:val="auto"/>
        </w:rPr>
        <w:t>Barrett, et al.</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No. 9410-VCN (Del. Ch.); </w:t>
      </w:r>
      <w:r>
        <w:rPr>
          <w:rFonts w:ascii="Arial" w:cs="Arial" w:eastAsia="Arial" w:hAnsi="Arial"/>
          <w:sz w:val="16"/>
          <w:szCs w:val="16"/>
          <w:i w:val="1"/>
          <w:iCs w:val="1"/>
          <w:color w:val="auto"/>
        </w:rPr>
        <w:t>Tangarone v. Time Warner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w:t>
      </w:r>
      <w:r>
        <w:rPr>
          <w:rFonts w:ascii="Arial" w:cs="Arial" w:eastAsia="Arial" w:hAnsi="Arial"/>
          <w:sz w:val="17"/>
          <w:szCs w:val="17"/>
          <w:color w:val="auto"/>
        </w:rPr>
        <w:t>, No. 9477-VCN, which are collectively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 stockholders for any benefit wrongfully obtained by defendants, unspecified declaratory and equitable relief, compensatory damages in an unspecified amount and costs and fees.</w:t>
      </w:r>
    </w:p>
    <w:p>
      <w:pPr>
        <w:spacing w:after="0" w:line="18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w:t>
      </w:r>
    </w:p>
    <w:p>
      <w:pPr>
        <w:spacing w:after="0" w:line="18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Beginning in late April 2014, the parties to the New York action and the Delaware actions engaged in expedited document and deposition discovery. On July 22, 2014, following expedited discovery, the parties to the New York action and the Delaware actions entered into an MOU reflecting the terms of an agreement, subject to final approval by the New York Supreme Court and certain other conditions, to settle all of the outstanding litigation challenging the merger. Pursuant to the MOU, the defendants agreed that (x) Comcast and TWC would include in the definitive Form S-4 certain supplemental disclosures; and (y) Comcast would reduce the five-business-day time periods set forth in Section 6.03(d) of the merger agreement to three business days. The MOU further provides that, among other things, (a) the parties will enter into a definitive stipulation of settlement (the “Stipulation”) and will submit the Stipulation to the New York Supreme Court for review and approval; (b) the Stipulation will provide for dismissal of the New York action and the Delaware actions;</w:t>
      </w:r>
    </w:p>
    <w:p>
      <w:pPr>
        <w:spacing w:after="0" w:line="3" w:lineRule="exact"/>
        <w:rPr>
          <w:sz w:val="20"/>
          <w:szCs w:val="20"/>
          <w:color w:val="auto"/>
        </w:rPr>
      </w:pPr>
    </w:p>
    <w:p>
      <w:pPr>
        <w:ind w:right="60" w:firstLine="8"/>
        <w:spacing w:after="0" w:line="255" w:lineRule="auto"/>
        <w:tabs>
          <w:tab w:leader="none" w:pos="2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Stipulation will include a general release of defendants of claims relating to the merger; and (d) the proposed settlement is conditioned on, among other things, consummation of the merger, completion of confirmatory discovery, class certification, and final approval by the New York Supreme Court after notice to TWC’s stockholders.</w:t>
      </w:r>
    </w:p>
    <w:p>
      <w:pPr>
        <w:spacing w:after="0" w:line="19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July 22, 2014, Comcast sent TWC a letter informing TWC that, in connection with the settlement of certain stockholder litigation challenging the merger, Comcast has agreed, among other things, to reduce the five-business-day time periods set forth in Section 6.03(d) of the merger agreement to three business days.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the merger, TWC common stock will be delisted from the New York Stock Exchange and deregistered under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166 of this joint proxy statement/prospectus.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166 and 183, respectively, of this joint proxy statement/prospectus.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164 of this joint proxy statement/prospectus). Each share of common stock of Merger Sub outstanding immediately prior to completion of the merger will be converted into one share of common stock of the surviving corporation.</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Surrendering TWC Stock Certificates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8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TWC Equity Awards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Stock Options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78"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Restricted Stock Units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Mutual Conditions to Completion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54"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outstanding shares of TWC common stock entitled to vote;</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178 of this joint proxy statement/prospectus for a definition of burdensome condition));</w:t>
      </w:r>
    </w:p>
    <w:p>
      <w:pPr>
        <w:spacing w:after="0" w:line="9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155 of this joint proxy statement/prospectus);</w:t>
      </w:r>
    </w:p>
    <w:p>
      <w:pPr>
        <w:spacing w:after="0" w:line="72" w:lineRule="exact"/>
        <w:rPr>
          <w:rFonts w:ascii="Arial" w:cs="Arial" w:eastAsia="Arial" w:hAnsi="Arial"/>
          <w:sz w:val="16"/>
          <w:szCs w:val="16"/>
          <w:color w:val="auto"/>
        </w:rPr>
      </w:pPr>
    </w:p>
    <w:p>
      <w:pPr>
        <w:jc w:val="both"/>
        <w:ind w:left="900" w:right="360" w:hanging="446"/>
        <w:spacing w:after="0" w:line="288"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w:t>
      </w:r>
    </w:p>
    <w:p>
      <w:pPr>
        <w:ind w:left="900"/>
        <w:spacing w:after="0"/>
        <w:rPr>
          <w:rFonts w:ascii="Arial" w:cs="Arial" w:eastAsia="Arial" w:hAnsi="Arial"/>
          <w:sz w:val="16"/>
          <w:szCs w:val="16"/>
          <w:color w:val="auto"/>
        </w:rPr>
      </w:pPr>
      <w:r>
        <w:rPr>
          <w:rFonts w:ascii="Arial" w:cs="Arial" w:eastAsia="Arial" w:hAnsi="Arial"/>
          <w:sz w:val="17"/>
          <w:szCs w:val="17"/>
          <w:color w:val="auto"/>
        </w:rPr>
        <w:t>(2) solely with respect to the obligations of each of Comcast and Merger Sub to complete the merger, imposes any burdensome condition;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4"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Comcast and Merger Sub</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the obligation of each of Comcast and Merger Sub to complete the merger is subject to the satisfaction or waiver of the following conditions:</w:t>
      </w:r>
    </w:p>
    <w:p>
      <w:pPr>
        <w:spacing w:after="0" w:line="76" w:lineRule="exact"/>
        <w:rPr>
          <w:sz w:val="20"/>
          <w:szCs w:val="20"/>
          <w:color w:val="auto"/>
        </w:rPr>
      </w:pPr>
    </w:p>
    <w:p>
      <w:pPr>
        <w:jc w:val="both"/>
        <w:ind w:left="900" w:right="40" w:hanging="446"/>
        <w:spacing w:after="0" w:line="264"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6"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71" w:lineRule="exact"/>
        <w:rPr>
          <w:rFonts w:ascii="Arial" w:cs="Arial" w:eastAsia="Arial" w:hAnsi="Arial"/>
          <w:sz w:val="16"/>
          <w:szCs w:val="16"/>
          <w:color w:val="auto"/>
        </w:rPr>
      </w:pPr>
    </w:p>
    <w:p>
      <w:pPr>
        <w:jc w:val="both"/>
        <w:ind w:left="900" w:right="60" w:hanging="446"/>
        <w:spacing w:after="0" w:line="25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53" w:lineRule="exact"/>
        <w:rPr>
          <w:rFonts w:ascii="Arial" w:cs="Arial" w:eastAsia="Arial" w:hAnsi="Arial"/>
          <w:sz w:val="16"/>
          <w:szCs w:val="16"/>
          <w:color w:val="auto"/>
        </w:rPr>
      </w:pPr>
    </w:p>
    <w:p>
      <w:pPr>
        <w:ind w:left="900" w:right="420" w:hanging="446"/>
        <w:spacing w:after="0" w:line="308"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5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obligation of TWC to complete the merger is subject to the satisfaction or waiver of the following conditions:</w:t>
      </w:r>
    </w:p>
    <w:p>
      <w:pPr>
        <w:spacing w:after="0" w:line="131" w:lineRule="exact"/>
        <w:rPr>
          <w:sz w:val="20"/>
          <w:szCs w:val="20"/>
          <w:color w:val="auto"/>
        </w:rPr>
      </w:pPr>
    </w:p>
    <w:p>
      <w:pPr>
        <w:ind w:left="900" w:right="100" w:hanging="446"/>
        <w:spacing w:after="0" w:line="271"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84"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93"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performance in all material respects by Comcast and Merger Sub of the material obligations required to be performed by them at or prior to completion of the merger;</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Comcast as to the satisfaction of the conditions described in the preceding four bullets; and</w:t>
      </w:r>
    </w:p>
    <w:p>
      <w:pPr>
        <w:spacing w:after="0" w:line="75" w:lineRule="exact"/>
        <w:rPr>
          <w:rFonts w:ascii="Arial" w:cs="Arial" w:eastAsia="Arial" w:hAnsi="Arial"/>
          <w:sz w:val="18"/>
          <w:szCs w:val="18"/>
          <w:color w:val="auto"/>
        </w:rPr>
      </w:pPr>
    </w:p>
    <w:p>
      <w:pPr>
        <w:ind w:left="900" w:right="100" w:hanging="446"/>
        <w:spacing w:after="0" w:line="279"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 Definition of ‘Material Adverse Effect”’ beginning on page 169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72"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corporate existence, good standing and qualification to do business;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corporate power and authority to execute and deliver the merger agreement (and, in the case of TWC, the voting agreement), and, subject to the approval of TWC stockholders and Comcast shareholders,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applicable, to perform and comply with their respective obligations thereunder and consummate the transactions contemplated thereby;</w:t>
      </w:r>
    </w:p>
    <w:p>
      <w:pPr>
        <w:spacing w:after="0" w:line="142"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governmental actions necessary to complete the merger;</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preemptive or other similar rights or any debt securities having the right to vote with TWC stockholders or Comcast shareholders, as applicable, on any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corporate existence, good standing, qualification to do business and capital structure of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 filings, the absence of misstatements or omissions from such filings and compliance with the Sarbanes-Oxley Act of 2002;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disclosure controls and procedures and internal controls over financial reporting;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fair presentation of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information provided by a party for inclusion in disclosure documents to be filed with the SEC in connection with the merger;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laws, court orders and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pending or threatened legal proceedings and investigations;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 matters and tax treatment of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franchises;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any undisclosed broker’s or finder’s fees payable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receipt of opinions from financial advisors.</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also makes representations and warranties relating to, among other things, Comcast’s acquisition of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representations and warranties in the merger agreement do not survive completion of the merger.</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See “—Explanatory Note Regarding the Merger Agreement and the Summary of the Merger Agreement: Representations, Warranties and Covenants in the Merger Agreement Are Not Intended to Function or Be Relied on as Public Disclosures” beginning on page 185 of this joint proxy statement/prospectus.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the representations and warranties in the merger agreement are qualified by “material adverse effect.”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7" w:lineRule="exact"/>
        <w:rPr>
          <w:sz w:val="20"/>
          <w:szCs w:val="20"/>
          <w:color w:val="auto"/>
        </w:rPr>
      </w:pPr>
    </w:p>
    <w:p>
      <w:pPr>
        <w:ind w:left="900" w:right="2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changes in the financial or securities markets or general economic or political conditions in the United States or any foreign jurisdiction except to the extent having a materially disproportionate effect on that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party and its subsidiaries, taken as a whole, relative to other participants in the industry in which that party and its subsidiaries operate;</w:t>
      </w:r>
    </w:p>
    <w:p>
      <w:pPr>
        <w:spacing w:after="0" w:line="142" w:lineRule="exact"/>
        <w:rPr>
          <w:sz w:val="20"/>
          <w:szCs w:val="20"/>
          <w:color w:val="auto"/>
        </w:rPr>
      </w:pPr>
    </w:p>
    <w:p>
      <w:pPr>
        <w:ind w:left="900" w:right="4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changes in United States generally accepted accounting principles (or authoritative interpretations of United States generally accepted accounting principles);</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required by, the merger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 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4" w:lineRule="exact"/>
        <w:rPr>
          <w:sz w:val="20"/>
          <w:szCs w:val="20"/>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3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 (x) 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 (y) 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72" w:lineRule="exact"/>
        <w:rPr>
          <w:rFonts w:ascii="Arial" w:cs="Arial" w:eastAsia="Arial" w:hAnsi="Arial"/>
          <w:sz w:val="16"/>
          <w:szCs w:val="16"/>
          <w:color w:val="auto"/>
        </w:rPr>
      </w:pPr>
    </w:p>
    <w:p>
      <w:pPr>
        <w:ind w:left="900" w:right="160" w:hanging="446"/>
        <w:spacing w:after="0" w:line="287"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78"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acquire any assets, securities, properties, interests or businesses, other than (i) supplies and materials in the ordinary course of business consistent with past practice, (ii) pursuant to contracts or arrangements 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92"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date of the merger agreement, (iv) leases or subleases under which TWC or one of its subsidiaries is the lessor entered into in the ordinary course of business or (v) certain permitted liens;</w:t>
      </w:r>
    </w:p>
    <w:p>
      <w:pPr>
        <w:spacing w:after="0" w:line="76" w:lineRule="exact"/>
        <w:rPr>
          <w:sz w:val="20"/>
          <w:szCs w:val="20"/>
          <w:color w:val="auto"/>
        </w:rPr>
      </w:pPr>
    </w:p>
    <w:p>
      <w:pPr>
        <w:ind w:left="900" w:right="36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any loans, advances, capital contributions or investments, other than (i) in the ordinary course of business consistent with past practice, (ii) investments or capital contributions made alongside Comcast or any of its affiliates or (iii) loans, advances or capital contributions to, or investments in, wholly owned subsidiaries of TWC;</w:t>
      </w:r>
    </w:p>
    <w:p>
      <w:pPr>
        <w:spacing w:after="0" w:line="86" w:lineRule="exact"/>
        <w:rPr>
          <w:rFonts w:ascii="Arial" w:cs="Arial" w:eastAsia="Arial" w:hAnsi="Arial"/>
          <w:sz w:val="18"/>
          <w:szCs w:val="18"/>
          <w:color w:val="auto"/>
        </w:rPr>
      </w:pPr>
    </w:p>
    <w:p>
      <w:pPr>
        <w:ind w:left="900" w:right="240" w:hanging="446"/>
        <w:spacing w:after="0" w:line="279"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76" w:lineRule="exact"/>
        <w:rPr>
          <w:rFonts w:ascii="Arial" w:cs="Arial" w:eastAsia="Arial" w:hAnsi="Arial"/>
          <w:sz w:val="17"/>
          <w:szCs w:val="17"/>
          <w:color w:val="auto"/>
        </w:rPr>
      </w:pPr>
    </w:p>
    <w:p>
      <w:pPr>
        <w:ind w:left="900" w:right="120" w:hanging="446"/>
        <w:spacing w:after="0" w:line="286"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70"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1"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52" w:lineRule="exact"/>
        <w:rPr>
          <w:rFonts w:ascii="Arial" w:cs="Arial" w:eastAsia="Arial" w:hAnsi="Arial"/>
          <w:sz w:val="16"/>
          <w:szCs w:val="16"/>
          <w:color w:val="auto"/>
        </w:rPr>
      </w:pPr>
    </w:p>
    <w:p>
      <w:pPr>
        <w:ind w:left="900" w:right="20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86" w:lineRule="exact"/>
        <w:rPr>
          <w:rFonts w:ascii="Arial" w:cs="Arial" w:eastAsia="Arial" w:hAnsi="Arial"/>
          <w:sz w:val="18"/>
          <w:szCs w:val="18"/>
          <w:color w:val="auto"/>
        </w:rPr>
      </w:pPr>
    </w:p>
    <w:p>
      <w:pPr>
        <w:ind w:left="900" w:right="100" w:hanging="446"/>
        <w:spacing w:after="0" w:line="297"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192 of this joint proxy statement/prospectus;</w:t>
      </w:r>
    </w:p>
    <w:p>
      <w:pPr>
        <w:spacing w:after="0" w:line="63"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“excess benefit plan,” deferred compensation plan, severance or change in control plan or employee benefit plan that provides post-retirement health, 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change TWC’s method of financial accounting, except as required by concurrent changes in United States generally accepted accounting principles or Regulation S-X under the Exchange Act;</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settle, or offer or propose to settle, (i) any litigation, investigation, arbitration, proceeding or other claim involving or against TWC or its subsidiaries or (ii)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TWC inaccurate in any material respect at, or immediately prior to, completion of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take certain other actions as previously agreed to by the parties;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4" w:lineRule="exact"/>
        <w:rPr>
          <w:sz w:val="20"/>
          <w:szCs w:val="20"/>
          <w:color w:val="auto"/>
        </w:rPr>
      </w:pPr>
    </w:p>
    <w:p>
      <w:pPr>
        <w:ind w:left="900" w:right="10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 Comcast’s articles or Comcast’s by-laws in a manner that would have a material and adverse impact on the value of the Comcast Class A common stock;</w:t>
      </w:r>
    </w:p>
    <w:p>
      <w:pPr>
        <w:spacing w:after="0" w:line="75"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94"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TWC Board of Directors to Recommend the Merger Agreement and Call and Hold a Stockholders’ Meeting</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8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discussed under “TWC Proposal I: Adoption of the Merger Agreement and Comcast Proposal I: Approval of the Stock Issuance —TWC’s Reasons for the Merger; Recommendation of the Merger by the TWC Board of Directors” beginning on page 105 of this joint proxy statement/prospectus,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The TWC board of directors, however, can (i) withdraw, modify or qualify in a manner adverse to Comcast its recommendation that TWC stockholders adopt the merger agreement, or</w:t>
      </w:r>
    </w:p>
    <w:p>
      <w:pPr>
        <w:spacing w:after="0" w:line="2" w:lineRule="exact"/>
        <w:rPr>
          <w:sz w:val="20"/>
          <w:szCs w:val="20"/>
          <w:color w:val="auto"/>
        </w:rPr>
      </w:pPr>
    </w:p>
    <w:p>
      <w:pPr>
        <w:ind w:right="40" w:firstLine="8"/>
        <w:spacing w:after="0" w:line="254"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recommend a competing acquisition proposal, in each case under specified circumstances as discussed under “—No Solicitation by TWC” beginning on page 174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by TWC</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 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but subject to the terms and conditions described below, at any time prior to the adoption of the merger agreement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116" w:lineRule="exact"/>
        <w:rPr>
          <w:sz w:val="20"/>
          <w:szCs w:val="20"/>
          <w:color w:val="auto"/>
        </w:rPr>
      </w:pPr>
    </w:p>
    <w:p>
      <w:pPr>
        <w:ind w:left="900" w:hanging="446"/>
        <w:spacing w:after="0" w:line="287"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78"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below).</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 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w:t>
      </w:r>
    </w:p>
    <w:p>
      <w:pPr>
        <w:spacing w:after="0" w:line="35" w:lineRule="exact"/>
        <w:rPr>
          <w:sz w:val="20"/>
          <w:szCs w:val="20"/>
          <w:color w:val="auto"/>
        </w:rPr>
      </w:pPr>
    </w:p>
    <w:p>
      <w:pPr>
        <w:ind w:right="400" w:firstLine="8"/>
        <w:spacing w:after="0" w:line="261" w:lineRule="auto"/>
        <w:tabs>
          <w:tab w:leader="none" w:pos="2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such acquisition proposal constitutes a superior proposal, (ii) TWC promptly notifies Comcast, in writing at least five business days before taking that action, of its intention to do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four preceding paragraphs to three business days. The litigation and proposed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w:t>
      </w:r>
    </w:p>
    <w:p>
      <w:pPr>
        <w:spacing w:after="0" w:line="1" w:lineRule="exact"/>
        <w:rPr>
          <w:sz w:val="20"/>
          <w:szCs w:val="20"/>
          <w:color w:val="auto"/>
        </w:rPr>
      </w:pPr>
    </w:p>
    <w:p>
      <w:pPr>
        <w:ind w:right="60" w:firstLine="8"/>
        <w:spacing w:after="0" w:line="292" w:lineRule="auto"/>
        <w:tabs>
          <w:tab w:leader="none" w:pos="2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does not relate to or involve an acquisition proposal; provided that (x) no action taken by either party pursuant to the affirmative covenants described in the section “—Reasonable Best Efforts Covenant”, beginning on page 178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7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Comcast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Comcast Board of Directors to Recommend the Stock Issuance and Call and Hold a Shareholders’ Meeting</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110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TWC</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Best Efforts Covenant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8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52" w:lineRule="exact"/>
        <w:rPr>
          <w:sz w:val="20"/>
          <w:szCs w:val="20"/>
          <w:color w:val="auto"/>
        </w:rPr>
      </w:pPr>
    </w:p>
    <w:p>
      <w:pPr>
        <w:ind w:left="900" w:right="8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divest or otherwise hold separate (including by establishing a trust or otherwise) any businesses, assets or properties of Comcast, TWC or any of their respective subsidiaries;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accept any conditions or take any other actions that would apply to or affect any businesses, assets or properties of Comcast, TWC or any of their respective subsidiaries; or</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to (A) take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73"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53" w:lineRule="auto"/>
        <w:tabs>
          <w:tab w:leader="none" w:pos="2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9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divestiture transactions will result in the combined company divesting a net total of approximately 3.9 million subscribers. See “The Divestiture Transactions” beginning on page 203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Proxy Statement/Prospectus and Registration Statement Covenant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174 of this joint proxy statement/prospectus, and (ii) the recommendation of the Comcast board of directors in favor of approval of the stock issuance.</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78" w:lineRule="exact"/>
        <w:rPr>
          <w:sz w:val="20"/>
          <w:szCs w:val="20"/>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 pay, commission opportunities and cash bonus opportunities, as applicable, that are no less favorable in the aggregate than provided to each such covered employee immediately prior to completion of the merger;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 benefits that are no less favorable in the aggregate than provided to each such covered employee immediately prior to completion of the merger.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192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9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amendments are prohibited under the terms of the applicable plan, as long as such contract or plan is set forth on TWC’s confidential disclosure schedules delivered in connection with the merger agreement.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166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w:t>
      </w:r>
    </w:p>
    <w:p>
      <w:pPr>
        <w:spacing w:after="0" w:line="2" w:lineRule="exact"/>
        <w:rPr>
          <w:sz w:val="20"/>
          <w:szCs w:val="20"/>
          <w:color w:val="auto"/>
        </w:rPr>
      </w:pPr>
    </w:p>
    <w:p>
      <w:pPr>
        <w:ind w:right="180" w:firstLine="8"/>
        <w:spacing w:after="0" w:line="255" w:lineRule="auto"/>
        <w:tabs>
          <w:tab w:leader="none" w:pos="4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9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6" w:lineRule="exact"/>
        <w:rPr>
          <w:sz w:val="20"/>
          <w:szCs w:val="20"/>
          <w:color w:val="auto"/>
        </w:rPr>
      </w:pPr>
    </w:p>
    <w:p>
      <w:pPr>
        <w:ind w:left="900" w:right="10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provide the other party and its representatives with reasonable access to such party’s offices, properties, books and records and other information as may be reasonably requested;</w:t>
      </w:r>
    </w:p>
    <w:p>
      <w:pPr>
        <w:spacing w:after="0" w:line="75" w:lineRule="exact"/>
        <w:rPr>
          <w:rFonts w:ascii="Arial" w:cs="Arial" w:eastAsia="Arial" w:hAnsi="Arial"/>
          <w:sz w:val="18"/>
          <w:szCs w:val="18"/>
          <w:color w:val="auto"/>
        </w:rPr>
      </w:pPr>
    </w:p>
    <w:p>
      <w:pPr>
        <w:ind w:left="900" w:right="260" w:hanging="446"/>
        <w:spacing w:after="0" w:line="302"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5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51"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notify the other of certain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merger agreement may be terminated at any time before completion of the merger, whether before or after TWC stockholders have adopted the merger agreement, in any of the following ways:</w:t>
      </w:r>
    </w:p>
    <w:p>
      <w:pPr>
        <w:spacing w:after="0" w:line="76"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480" w:right="40" w:hanging="446"/>
        <w:spacing w:after="0" w:line="255"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98"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 appealable; however, the right to terminate the merger agreement under this paragraph will not be available to any party whose breach of any provision of the merger agreement results in such applicable law, order or injunction being in effect;</w:t>
      </w:r>
    </w:p>
    <w:p>
      <w:pPr>
        <w:spacing w:after="0" w:line="59" w:lineRule="exact"/>
        <w:rPr>
          <w:rFonts w:ascii="Arial" w:cs="Arial" w:eastAsia="Arial" w:hAnsi="Arial"/>
          <w:sz w:val="16"/>
          <w:szCs w:val="16"/>
          <w:color w:val="auto"/>
        </w:rPr>
      </w:pPr>
    </w:p>
    <w:p>
      <w:pPr>
        <w:ind w:left="1480" w:right="740" w:hanging="446"/>
        <w:spacing w:after="0" w:line="277"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55"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jc w:val="both"/>
        <w:ind w:left="1480" w:right="200" w:hanging="446"/>
        <w:spacing w:after="0" w:line="264"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prior to the adoption of the merger agreement by TWC stockholders, there has been an intentional and material breach by TWC of (i) any of its obligations described under “—No Solicitation by TWC” beginning on page 174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w:t>
      </w:r>
    </w:p>
    <w:p>
      <w:pPr>
        <w:ind w:left="220" w:hanging="212"/>
        <w:spacing w:after="0"/>
        <w:tabs>
          <w:tab w:leader="none" w:pos="2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intentional and willful failure of any party to fulfill a condition to the performance of the obligation of any other party under the merger agreement,</w:t>
      </w:r>
    </w:p>
    <w:p>
      <w:pPr>
        <w:spacing w:after="0" w:line="20" w:lineRule="exact"/>
        <w:rPr>
          <w:rFonts w:ascii="Arial" w:cs="Arial" w:eastAsia="Arial" w:hAnsi="Arial"/>
          <w:sz w:val="17"/>
          <w:szCs w:val="17"/>
          <w:color w:val="auto"/>
        </w:rPr>
      </w:pPr>
    </w:p>
    <w:p>
      <w:pPr>
        <w:ind w:right="100" w:firstLine="8"/>
        <w:spacing w:after="0" w:line="261" w:lineRule="auto"/>
        <w:tabs>
          <w:tab w:leader="none" w:pos="2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failure of any party to perform a covenant under the merger agreement, or (iii) willful and material breach by any party of any representation or warranty under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 Remedies</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merger agreement is not intended to and does not confer upon any person other than the parties to the merger agreement any rights or remedies, except:</w:t>
      </w:r>
    </w:p>
    <w:p>
      <w:pPr>
        <w:spacing w:after="0" w:line="76" w:lineRule="exact"/>
        <w:rPr>
          <w:sz w:val="20"/>
          <w:szCs w:val="20"/>
          <w:color w:val="auto"/>
        </w:rPr>
      </w:pPr>
    </w:p>
    <w:p>
      <w:pPr>
        <w:ind w:left="900" w:right="20" w:hanging="446"/>
        <w:spacing w:after="0" w:line="259"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right of the indemnified persons to enforce the obligations described under “—Indemnification and Insurance” beginning on page 180 of this joint proxy statement/prospectus; and</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183 of this joint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Waivers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VOTING AGREEMENT</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 471,436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682,105 shares of Comcast Class A common stock (representing 0.03% of the outstanding shares of Comcast Class A common stock) and 9,444,375 shares of Comcast Class B common stock (representing 100% of the outstanding shares of Comcast Class B common stock).</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w:t>
      </w:r>
    </w:p>
    <w:p>
      <w:pPr>
        <w:spacing w:after="0" w:line="5" w:lineRule="exact"/>
        <w:rPr>
          <w:sz w:val="20"/>
          <w:szCs w:val="20"/>
          <w:color w:val="auto"/>
        </w:rPr>
      </w:pPr>
    </w:p>
    <w:p>
      <w:pPr>
        <w:ind w:right="160" w:firstLine="8"/>
        <w:spacing w:after="0" w:line="290" w:lineRule="auto"/>
        <w:tabs>
          <w:tab w:leader="none" w:pos="2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Comcast shareholder who is party to the voting agreement has agreed with TWC, subject to certain exceptions, not to (i) directly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indirectly, sell, transfer, pledge, encumber, assign, distribute, gift or otherwise dispose of any shares of Comcast Class B common stock or any interest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rights with respect to, such shares, or enter into any contract, option or other arrangement or understanding (including any voting trust or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thereto, (ii) take any action to convert any shares of Comcast Class B common stock into shares of Comcast Class A common stock or Comcast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Special common stock, or (iii) grant any proxy or power of attorney with respect to any of such shareholder’s shares of Comcast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or Comcast Class B common stock that is inconsistent with the agreements described in the preceding paragraph.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Capacities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voting agreement provides that nothing in the voting agreement limits the discretion of Brian L. Roberts to take or not take any action in his fiduciary capacity as an officer or director of Comcast.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20"/>
          </w:cols>
          <w:pgMar w:left="240" w:top="460"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 of TWC in the Merger</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Product, People and Strategy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TWC Equity Awards in the Merger—In General</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Options Held by Current Employees</w:t>
      </w:r>
      <w:r>
        <w:rPr>
          <w:rFonts w:ascii="Arial" w:cs="Arial" w:eastAsia="Arial" w:hAnsi="Arial"/>
          <w:sz w:val="18"/>
          <w:szCs w:val="18"/>
          <w:color w:val="auto"/>
        </w:rPr>
        <w:t>. Upon the completion of the merger, each outstanding option to purchase shares of TWC common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9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completion of the merger, Comcast may make use of shares remaining available for grant under the 2011 Plan in accordance with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Merger Agreement—Treatment of TWC Equity Awards” beginning on page 165 of this joint proxy statement/prospectus.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 Held by Executive Officers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July 31, 2014, TWC’s seven executive officers (identified above) held an aggregate of 815,856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 Treatment of TWC Equity Awards in the Merger—In General.” See “The Merger Agreement—Treatment of TWC Equity Awards” beginning on page 165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95" w:lineRule="exact"/>
        <w:rPr>
          <w:sz w:val="20"/>
          <w:szCs w:val="20"/>
          <w:color w:val="auto"/>
        </w:rPr>
      </w:pPr>
    </w:p>
    <w:p>
      <w:pPr>
        <w:ind w:left="900" w:right="100" w:hanging="446"/>
        <w:spacing w:after="0" w:line="25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93"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beginning on page 196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restart"/>
          </w:tcPr>
          <w:p>
            <w:pPr>
              <w:jc w:val="right"/>
              <w:ind w:right="214"/>
              <w:spacing w:after="0"/>
              <w:rPr>
                <w:sz w:val="20"/>
                <w:szCs w:val="20"/>
                <w:color w:val="auto"/>
              </w:rPr>
            </w:pPr>
            <w:r>
              <w:rPr>
                <w:rFonts w:ascii="Arial" w:cs="Arial" w:eastAsia="Arial" w:hAnsi="Arial"/>
                <w:sz w:val="14"/>
                <w:szCs w:val="14"/>
                <w:b w:val="1"/>
                <w:bCs w:val="1"/>
                <w:color w:val="auto"/>
              </w:rPr>
              <w:t>Vested TWC Options</w:t>
            </w:r>
          </w:p>
        </w:tc>
        <w:tc>
          <w:tcPr>
            <w:tcW w:w="320" w:type="dxa"/>
            <w:vAlign w:val="bottom"/>
            <w:vMerge w:val="restart"/>
          </w:tcPr>
          <w:p>
            <w:pPr>
              <w:spacing w:after="0"/>
              <w:rPr>
                <w:sz w:val="14"/>
                <w:szCs w:val="14"/>
                <w:color w:val="auto"/>
              </w:rPr>
            </w:pPr>
          </w:p>
        </w:tc>
        <w:tc>
          <w:tcPr>
            <w:tcW w:w="196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Unvested TWC Options</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bottom w:val="single" w:sz="8" w:color="auto"/>
            </w:tcBorders>
            <w:gridSpan w:val="4"/>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960" w:type="dxa"/>
            <w:vAlign w:val="bottom"/>
            <w:tcBorders>
              <w:bottom w:val="single" w:sz="8" w:color="auto"/>
            </w:tcBorders>
            <w:gridSpan w:val="4"/>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Value of All</w:t>
            </w:r>
          </w:p>
        </w:tc>
        <w:tc>
          <w:tcPr>
            <w:tcW w:w="0" w:type="dxa"/>
            <w:vAlign w:val="bottom"/>
          </w:tcPr>
          <w:p>
            <w:pPr>
              <w:spacing w:after="0"/>
              <w:rPr>
                <w:sz w:val="1"/>
                <w:szCs w:val="1"/>
                <w:color w:val="auto"/>
              </w:rPr>
            </w:pPr>
          </w:p>
        </w:tc>
      </w:tr>
      <w:tr>
        <w:trPr>
          <w:trHeight w:val="52"/>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TWC Options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171,339</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12,425,247</w:t>
            </w:r>
          </w:p>
        </w:tc>
        <w:tc>
          <w:tcPr>
            <w:tcW w:w="3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235,334</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16,249,789</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28,675,036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25,065</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9"/>
              </w:rPr>
              <w:t>1,375,625</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75,197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4,127,086</w:t>
            </w:r>
          </w:p>
        </w:tc>
        <w:tc>
          <w:tcPr>
            <w:tcW w:w="16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5,502,711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9,377,855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13,137,279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22,515,134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Held by Executive Officers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As of July 31,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165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73" w:lineRule="exact"/>
        <w:rPr>
          <w:sz w:val="20"/>
          <w:szCs w:val="20"/>
          <w:color w:val="auto"/>
        </w:rPr>
      </w:pPr>
    </w:p>
    <w:p>
      <w:pPr>
        <w:ind w:left="900" w:right="60" w:hanging="446"/>
        <w:spacing w:after="0" w:line="342"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2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8"/>
          <w:szCs w:val="18"/>
          <w:i w:val="1"/>
          <w:iCs w:val="1"/>
          <w:color w:val="auto"/>
        </w:rPr>
        <w:t>—</w:t>
      </w:r>
      <w:r>
        <w:rPr>
          <w:rFonts w:ascii="Arial" w:cs="Arial" w:eastAsia="Arial" w:hAnsi="Arial"/>
          <w:sz w:val="18"/>
          <w:szCs w:val="18"/>
          <w:color w:val="auto"/>
        </w:rPr>
        <w:t>Quantification of Potential Payments to TWC Named Executive Officers in Connection with the Merger” beginning on page 196 of this joint proxy statement/prospectus, which include an assumed price per share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Comcast Class A common stock of $52.32 (the average closing market price of a share of Comcast Class A common stock on NASDAQ over the first five business days following the first public announcement of the merger agreement).</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D. Marcus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Arthur T. Minson, Jr.</w:t>
      </w:r>
    </w:p>
    <w:p>
      <w:pPr>
        <w:spacing w:after="0" w:line="28" w:lineRule="exact"/>
        <w:rPr>
          <w:sz w:val="20"/>
          <w:szCs w:val="20"/>
          <w:color w:val="auto"/>
        </w:rPr>
      </w:pPr>
    </w:p>
    <w:p>
      <w:pPr>
        <w:jc w:val="both"/>
        <w:ind w:right="40" w:firstLine="162"/>
        <w:spacing w:after="0" w:line="369" w:lineRule="auto"/>
        <w:rPr>
          <w:sz w:val="20"/>
          <w:szCs w:val="20"/>
          <w:color w:val="auto"/>
        </w:rPr>
      </w:pPr>
      <w:r>
        <w:rPr>
          <w:rFonts w:ascii="Arial" w:cs="Arial" w:eastAsia="Arial" w:hAnsi="Arial"/>
          <w:sz w:val="14"/>
          <w:szCs w:val="14"/>
          <w:i w:val="1"/>
          <w:iCs w:val="1"/>
          <w:color w:val="auto"/>
        </w:rPr>
        <w:t xml:space="preserve">Executive Vice President and Chief Financial Officer </w:t>
      </w:r>
      <w:r>
        <w:rPr>
          <w:rFonts w:ascii="Arial" w:cs="Arial" w:eastAsia="Arial" w:hAnsi="Arial"/>
          <w:sz w:val="14"/>
          <w:szCs w:val="14"/>
          <w:b w:val="1"/>
          <w:bCs w:val="1"/>
          <w:color w:val="auto"/>
        </w:rPr>
        <w:t xml:space="preserve">All Other Executive Officers as a Group </w:t>
      </w:r>
      <w:r>
        <w:rPr>
          <w:rFonts w:ascii="Arial" w:cs="Arial" w:eastAsia="Arial" w:hAnsi="Arial"/>
          <w:sz w:val="14"/>
          <w:szCs w:val="14"/>
          <w:i w:val="1"/>
          <w:iCs w:val="1"/>
          <w:color w:val="auto"/>
        </w:rPr>
        <w:t>(5 persons)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Regularly-Scheduled 2014</w:t>
            </w: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Retention Grant</w:t>
            </w:r>
          </w:p>
        </w:tc>
        <w:tc>
          <w:tcPr>
            <w:tcW w:w="16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Other Restricted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Annual Restricted Stock</w:t>
            </w:r>
          </w:p>
        </w:tc>
        <w:tc>
          <w:tcPr>
            <w:tcW w:w="17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(2015/2016 Restricted</w:t>
            </w:r>
          </w:p>
        </w:tc>
        <w:tc>
          <w:tcPr>
            <w:tcW w:w="168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Unit Awards</w:t>
            </w: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Stock Unit Awards)</w:t>
            </w: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Stock Unit Awards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55,984</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8,421,061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111,968</w:t>
            </w:r>
          </w:p>
        </w:tc>
        <w:tc>
          <w:tcPr>
            <w:tcW w:w="2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16,842,227</w:t>
            </w:r>
          </w:p>
        </w:tc>
        <w:tc>
          <w:tcPr>
            <w:tcW w:w="2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99,680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14,993,813</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267,632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$40,257,101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24,260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3,649,163</w:t>
            </w:r>
          </w:p>
        </w:tc>
        <w:tc>
          <w:tcPr>
            <w:tcW w:w="560" w:type="dxa"/>
            <w:vAlign w:val="bottom"/>
          </w:tcPr>
          <w:p>
            <w:pPr>
              <w:jc w:val="right"/>
              <w:spacing w:after="0"/>
              <w:rPr>
                <w:sz w:val="20"/>
                <w:szCs w:val="20"/>
                <w:color w:val="auto"/>
              </w:rPr>
            </w:pPr>
            <w:r>
              <w:rPr>
                <w:rFonts w:ascii="Arial" w:cs="Arial" w:eastAsia="Arial" w:hAnsi="Arial"/>
                <w:sz w:val="16"/>
                <w:szCs w:val="16"/>
                <w:color w:val="auto"/>
              </w:rPr>
              <w:t>48,520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7,298,326</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19,128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2,877,182</w:t>
            </w: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91,908</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$13,824,671</w:t>
            </w:r>
          </w:p>
        </w:tc>
        <w:tc>
          <w:tcPr>
            <w:tcW w:w="0" w:type="dxa"/>
            <w:vAlign w:val="bottom"/>
          </w:tcPr>
          <w:p>
            <w:pPr>
              <w:spacing w:after="0"/>
              <w:rPr>
                <w:sz w:val="1"/>
                <w:szCs w:val="1"/>
                <w:color w:val="auto"/>
              </w:rPr>
            </w:pPr>
          </w:p>
        </w:tc>
      </w:tr>
      <w:tr>
        <w:trPr>
          <w:trHeight w:val="405"/>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63,235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9,511,619</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126,470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19,023,343</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52,038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7,827,281</w:t>
            </w:r>
          </w:p>
        </w:tc>
        <w:tc>
          <w:tcPr>
            <w:tcW w:w="2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241,743</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$36,362,243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-655955</wp:posOffset>
            </wp:positionV>
            <wp:extent cx="7246620" cy="2660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-124460</wp:posOffset>
            </wp:positionV>
            <wp:extent cx="72466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3660" w:space="720"/>
            <w:col w:w="7040"/>
          </w:cols>
          <w:pgMar w:left="240" w:top="460" w:right="239" w:bottom="1440" w:gutter="0" w:footer="0" w:header="0"/>
          <w:type w:val="continuous"/>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 Grant</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54"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w:t>
      </w:r>
    </w:p>
    <w:p>
      <w:pPr>
        <w:spacing w:after="0" w:line="3" w:lineRule="exact"/>
        <w:rPr>
          <w:sz w:val="20"/>
          <w:szCs w:val="20"/>
          <w:color w:val="auto"/>
        </w:rPr>
      </w:pPr>
    </w:p>
    <w:p>
      <w:pPr>
        <w:ind w:right="200" w:firstLine="8"/>
        <w:spacing w:after="0" w:line="253" w:lineRule="auto"/>
        <w:tabs>
          <w:tab w:leader="none" w:pos="2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9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restricted stock units held by TWC’s executive officers, including those received by them as part of the retention grant, were granted pursuant to the Officer Equity Arrangements.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proxy statement dated April 29, 2014, in connection with its 2014 annual meeting of stockholders,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Supplemental Bonus Opportunity Awards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be paid.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2014 Target</w:t>
            </w:r>
          </w:p>
        </w:tc>
        <w:tc>
          <w:tcPr>
            <w:tcW w:w="0" w:type="dxa"/>
            <w:vAlign w:val="bottom"/>
          </w:tcPr>
          <w:p>
            <w:pPr>
              <w:spacing w:after="0"/>
              <w:rPr>
                <w:sz w:val="1"/>
                <w:szCs w:val="1"/>
                <w:color w:val="auto"/>
              </w:rPr>
            </w:pPr>
          </w:p>
        </w:tc>
      </w:tr>
      <w:tr>
        <w:trPr>
          <w:trHeight w:val="149"/>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Supplemental Bonus</w:t>
            </w:r>
          </w:p>
        </w:tc>
        <w:tc>
          <w:tcPr>
            <w:tcW w:w="0" w:type="dxa"/>
            <w:vAlign w:val="bottom"/>
          </w:tcPr>
          <w:p>
            <w:pPr>
              <w:spacing w:after="0"/>
              <w:rPr>
                <w:sz w:val="1"/>
                <w:szCs w:val="1"/>
                <w:color w:val="auto"/>
              </w:rPr>
            </w:pPr>
          </w:p>
        </w:tc>
      </w:tr>
      <w:tr>
        <w:trPr>
          <w:trHeight w:val="171"/>
        </w:trPr>
        <w:tc>
          <w:tcPr>
            <w:tcW w:w="80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80" w:type="dxa"/>
            <w:vAlign w:val="bottom"/>
            <w:gridSpan w:val="2"/>
          </w:tcPr>
          <w:p>
            <w:pPr>
              <w:ind w:left="112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Severance Payments and Benefits to Executive Officers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 In July 2014, the term of Mr. Lawrence-Apfelbaum’s agreement was extended through December 31, 2016.</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Information regarding certain potential severance payments and benefits to TWC’s “named executive officers” that are related to the merger is provided below under “—Quantification of Potential Payments to TWC Named Executive Officers in Connection with the Merger.” As explained in that section, only two of TWC’s current executive officers, Messrs. Marcus and Minson, were also “named executive officers” of TWC for 2013. The severance rights of Messrs. Marcus and Minson are described in that section. TWC’s other five executive officers who are not also named executive officers would be entitled to severance payments and benefits as follows:</w:t>
      </w:r>
    </w:p>
    <w:p>
      <w:pPr>
        <w:spacing w:after="0" w:line="94"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accrued but unpaid bonus for any previously completed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36 months of continued salary and bonus payments, paid on TWC’s normal payroll payment dates for salary, where the bonus component is set at target;</w:t>
      </w:r>
    </w:p>
    <w:p>
      <w:pPr>
        <w:spacing w:after="0" w:line="75" w:lineRule="exact"/>
        <w:rPr>
          <w:rFonts w:ascii="Arial" w:cs="Arial" w:eastAsia="Arial" w:hAnsi="Arial"/>
          <w:sz w:val="18"/>
          <w:szCs w:val="18"/>
          <w:color w:val="auto"/>
        </w:rPr>
      </w:pPr>
    </w:p>
    <w:p>
      <w:pPr>
        <w:ind w:left="1460" w:right="480" w:hanging="547"/>
        <w:spacing w:after="0" w:line="342" w:lineRule="auto"/>
        <w:tabs>
          <w:tab w:leader="none" w:pos="14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For Ms. MacKinnon, the salary and target bonus used are those in effect at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36 months of continued participation in TWC’s health and welfare benefit plans;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Mr. Lawrence-Apfelbaum only, continued payments equal to the premium cost of certain life insurance and one year of office space and secretarial services.</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w:t>
      </w:r>
    </w:p>
    <w:p>
      <w:pPr>
        <w:ind w:right="240"/>
        <w:spacing w:after="0" w:line="261" w:lineRule="auto"/>
        <w:rPr>
          <w:sz w:val="20"/>
          <w:szCs w:val="20"/>
          <w:color w:val="auto"/>
        </w:rPr>
      </w:pPr>
      <w:r>
        <w:rPr>
          <w:rFonts w:ascii="Arial" w:cs="Arial" w:eastAsia="Arial" w:hAnsi="Arial"/>
          <w:sz w:val="18"/>
          <w:szCs w:val="18"/>
          <w:color w:val="auto"/>
        </w:rPr>
        <w:t>Mr. Lawrence-Apfelbaum, the above severance payments and benefits are triggered upon any Qualifying Termination, regardless of whether there is also a change in control.</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All of the severance payments and benefits set forth above are subject to the Golden Parachute Modified Cutback, which, generally, applies to first reduce cash-based payments and then to equity award vesting.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w:t>
      </w:r>
    </w:p>
    <w:p>
      <w:pPr>
        <w:spacing w:after="0" w:line="46" w:lineRule="exact"/>
        <w:rPr>
          <w:sz w:val="20"/>
          <w:szCs w:val="20"/>
          <w:color w:val="auto"/>
        </w:rPr>
      </w:pPr>
    </w:p>
    <w:p>
      <w:pPr>
        <w:ind w:right="60" w:firstLine="8"/>
        <w:spacing w:after="0" w:line="281" w:lineRule="auto"/>
        <w:tabs>
          <w:tab w:leader="none" w:pos="26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non-competition covenant during the officer’s employment term and for 24 months (36 months for Mr. Lawrence-Apfelbaum) following termination.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TWC expressly to assume TWC’s obligations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Mr. Jain and Ms. MacKinnon, a material violation with respect to his or her reporting relationship.</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Post-Closing Obligations of Comcast under the Merger Agreement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181 of this joint proxy statement/prospectus for more detail about these employee-related interests.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Deferred Stock Units and Options Held by Non-Employee Directors</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As of July 31, 2014, TWC’s non-employee directors held an aggregate of 32,096 deferred stock units and 179,721 restricted stock units, which were granted pursuant to the 2006 Plan and the 2011 Plan, including the amendments thereto and award agreements thereunder, which are referred to in this joint proxy statement/prospectus as the Director Equity Arrangements. Glenn A. Britt, who retired as TWC’s Chairman and Chief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Executive Officer on December 31, 2013 and passed away in June 2014, served as a member of the TWC board of directors in February 2014 when the merger agreement was approved. At that time, Mr. Britt held restricted stock units and fully vested stock options as well as shares of TWC common stock.</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w:t>
      </w:r>
    </w:p>
    <w:p>
      <w:pPr>
        <w:spacing w:after="0" w:line="35" w:lineRule="exact"/>
        <w:rPr>
          <w:sz w:val="20"/>
          <w:szCs w:val="20"/>
          <w:color w:val="auto"/>
        </w:rPr>
      </w:pPr>
    </w:p>
    <w:p>
      <w:pPr>
        <w:ind w:right="40" w:firstLine="8"/>
        <w:spacing w:after="0" w:line="269" w:lineRule="auto"/>
        <w:tabs>
          <w:tab w:leader="none" w:pos="25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July 31, 2014, the latest practicable date prior to the filing of this joint proxy statement/prospectus, no equity awards held by any of the non-employee directors would be cut back.</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For illustrative purposes, if the completion of the merger were to have occurred on July 31, 2014, the latest practicable date prior to the filing of this joint proxy statement/prospectus, the aggregate cash-out value of all deferred stock units and restricted stock units for all non-employee directors would be approximately $32.0 million in the aggregate (calculated as required under the merger agreement and using the average closing market price of a share of Comcast Class A common stock on NASDAQ over the first five business days following the first public announcement of the merger agreement of $52.32).</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Ownership of Officers and Directors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214 of this joint proxy statement/prospectus for further details. In addition, on July 31, 2014 one of TWC’s independent directors, David Chang, may be deemed to have beneficially owned shares of Comcast Class A common stock, held in a revocable trust, with a market value of approximately $100,000.</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180 of this joint proxy statement/prospectus for further details.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Potential Payments to TWC Named Executive Officers in Connection with the Merger</w:t>
      </w:r>
    </w:p>
    <w:p>
      <w:pPr>
        <w:spacing w:after="0" w:line="12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TWC’s named executive officers were:</w:t>
      </w:r>
    </w:p>
    <w:p>
      <w:pPr>
        <w:spacing w:after="0" w:line="60"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Glenn A. Britt, who served as TWC’s Chairman and Chief Executive Officer during 2013 until his retirement on December 31, 2013;</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Robert D. Marcus, who served as President and Chief Operating Officer during 2013 and became TWC’s Chairman and Chief Executive Officer upon Mr. Britt’s retirement;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Irene M. Esteves, who served as TWC’s Executive Vice President and Chief Financial Officer until May 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Arthur T. Minson, Jr., who served as Executive Vice President and Chief Financial Officer from May 2,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3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TWC’s named executive officers’ compensation arrangements are described in “—Interests of Directors and Executive Officers of TWC in the Merger” beginning on page 188 of this joint proxy statement/prospectus, they are incorporated herein by reference. The amounts set forth in the table below, which represent an estimate of each named executive officer’s golden parachute compensation, as of July 31, 2014 assume the following:</w:t>
      </w:r>
    </w:p>
    <w:p>
      <w:pPr>
        <w:spacing w:after="0" w:line="92"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consummation of the merger constitutes a change in control for purpose of the applicable compensation plan or agreement;</w:t>
      </w:r>
    </w:p>
    <w:p>
      <w:pPr>
        <w:spacing w:after="0" w:line="130" w:lineRule="exact"/>
        <w:rPr>
          <w:rFonts w:ascii="Arial" w:cs="Arial" w:eastAsia="Arial" w:hAnsi="Arial"/>
          <w:sz w:val="18"/>
          <w:szCs w:val="18"/>
          <w:color w:val="auto"/>
        </w:rPr>
      </w:pPr>
    </w:p>
    <w:p>
      <w:pPr>
        <w:ind w:left="900" w:right="146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the change in control was consummated on July 31, 2014, the latest practicable date prior to the filing of this joint proxy statement/prospectus;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named executive officer’s employment is terminated without “cause” or with “good reason” immediately following the change in control; and</w:t>
      </w:r>
    </w:p>
    <w:p>
      <w:pPr>
        <w:spacing w:after="0" w:line="75" w:lineRule="exact"/>
        <w:rPr>
          <w:rFonts w:ascii="Arial" w:cs="Arial" w:eastAsia="Arial" w:hAnsi="Arial"/>
          <w:sz w:val="18"/>
          <w:szCs w:val="18"/>
          <w:color w:val="auto"/>
        </w:rPr>
      </w:pPr>
    </w:p>
    <w:p>
      <w:pPr>
        <w:jc w:val="both"/>
        <w:ind w:left="900" w:hanging="446"/>
        <w:spacing w:after="0" w:line="286" w:lineRule="auto"/>
        <w:tabs>
          <w:tab w:leader="none" w:pos="9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Cash (1)(2)</w:t>
            </w: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 (3)</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Perquisites/</w:t>
            </w:r>
          </w:p>
        </w:tc>
        <w:tc>
          <w:tcPr>
            <w:tcW w:w="10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Other (5)</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Benefits (4)</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22,390,411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56,506,890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399,838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$ 81,797,139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8"/>
              </w:rPr>
              <w:t>Chairman and Chief Executive Officer (former President and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Glenn A. Britt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Retired Chairman and Chief Executive Officer(6)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T. Minson, Jr.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7,530,411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17,951,757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$ 26,237,300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Michael LaJoie</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3,625,753</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w w:val="88"/>
              </w:rPr>
              <w:t>12,539,053</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72,164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325,000</w:t>
            </w:r>
          </w:p>
        </w:tc>
        <w:tc>
          <w:tcPr>
            <w:tcW w:w="126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89"/>
              </w:rPr>
              <w:t>$ 16,561,970</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7"/>
              </w:rPr>
              <w:t>Executive Vice President and Chief Technology and Network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Operations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Philip G. Meeks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3,946,849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7,622,524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$ 11,928,124</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3"/>
              </w:rPr>
              <w:t>Executive Vice President and Chief Operating Officer, Business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Services</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Irene M. Esteves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8"/>
              </w:rPr>
              <w:t>Former Executive Vice President and Chief Financial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86"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amounts in this column reflect continuation of annual base salary and target bonus in effect on the assumed date of termination for a 36-month period for Messrs. Marcus, Minson and Meeks and for a 30-month period for Mr. LaJoie. Base salaries as of the assumed effective time of the transaction (July 31, 2014) are as follows: Mr. Marcus ($1,500,000), Mr. Minson ($900,000), Mr. LaJoie ($650,000) and Mr. Meeks ($600,000). The most recent target annual bonuses as of the effective time of the transaction are as follows: Mr. Marcus ($5,000,000), Mr. Minson ($1,350,000),</w:t>
      </w:r>
    </w:p>
    <w:p>
      <w:pPr>
        <w:spacing w:after="0" w:line="1" w:lineRule="exact"/>
        <w:rPr>
          <w:rFonts w:ascii="Arial" w:cs="Arial" w:eastAsia="Arial" w:hAnsi="Arial"/>
          <w:sz w:val="16"/>
          <w:szCs w:val="16"/>
          <w:color w:val="auto"/>
        </w:rPr>
      </w:pPr>
    </w:p>
    <w:p>
      <w:pPr>
        <w:ind w:left="460" w:right="120"/>
        <w:spacing w:after="0" w:line="281" w:lineRule="auto"/>
        <w:rPr>
          <w:rFonts w:ascii="Arial" w:cs="Arial" w:eastAsia="Arial" w:hAnsi="Arial"/>
          <w:sz w:val="16"/>
          <w:szCs w:val="16"/>
          <w:color w:val="auto"/>
        </w:rPr>
      </w:pPr>
      <w:r>
        <w:rPr>
          <w:rFonts w:ascii="Arial" w:cs="Arial" w:eastAsia="Arial" w:hAnsi="Arial"/>
          <w:sz w:val="16"/>
          <w:szCs w:val="16"/>
          <w:color w:val="auto"/>
        </w:rPr>
        <w:t>Mr. LaJoie ($650,000) and Mr. Meeks ($600,000). These severance amounts are “double trigger” payments, payable if the executive resigns for “good reason” (see discussion below) or is terminated by TWC without cause within (i) 24 months following the effective date of a change in control or</w:t>
      </w:r>
    </w:p>
    <w:p>
      <w:pPr>
        <w:spacing w:after="0" w:line="1" w:lineRule="exact"/>
        <w:rPr>
          <w:rFonts w:ascii="Arial" w:cs="Arial" w:eastAsia="Arial" w:hAnsi="Arial"/>
          <w:sz w:val="16"/>
          <w:szCs w:val="16"/>
          <w:color w:val="auto"/>
        </w:rPr>
      </w:pPr>
    </w:p>
    <w:p>
      <w:pPr>
        <w:ind w:left="460" w:right="80"/>
        <w:spacing w:after="0" w:line="265" w:lineRule="auto"/>
        <w:rPr>
          <w:rFonts w:ascii="Arial" w:cs="Arial" w:eastAsia="Arial" w:hAnsi="Arial"/>
          <w:sz w:val="16"/>
          <w:szCs w:val="16"/>
          <w:color w:val="auto"/>
        </w:rPr>
      </w:pPr>
      <w:r>
        <w:rPr>
          <w:rFonts w:ascii="Arial" w:cs="Arial" w:eastAsia="Arial" w:hAnsi="Arial"/>
          <w:sz w:val="17"/>
          <w:szCs w:val="17"/>
          <w:color w:val="auto"/>
        </w:rPr>
        <w:t>(ii) following TWC’s execution of an agreement contemplating a change in control but before the date that is 24 months after a change in control (or, if earlier, the expiration or termination of such change in control agreement without a change in control). Assuming a termination of employment on July 31, 2014, the amounts also include a pro-rata target bonus for the year of termination which are as follows: Mr. Marcus ($2,890,411), Mr. Minson ($780,411), Mr. LaJoie ($375,753) and Mr. Meeks ($346,849).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payments from what they would have been had no change in control occurred.</w:t>
      </w:r>
    </w:p>
    <w:p>
      <w:pPr>
        <w:spacing w:after="0" w:line="1"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53"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amounts in this column reflect the value (spread value in the case of options) in respect of restricted stock units and unvested options that would vest,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$4,127,086 for 75,197 unvested options; Mr. LaJoie $8,236,842 for 54,760 restricted stock units and $4,302,211 for 62,654 unvested options; and Mr. Meeks: $6,178,573 for 41,077 restricted stock units and $1,443,951 for 44,134 unvested options.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w:t>
      </w:r>
    </w:p>
    <w:p>
      <w:pPr>
        <w:spacing w:after="0" w:line="2" w:lineRule="exact"/>
        <w:rPr>
          <w:rFonts w:ascii="Arial" w:cs="Arial" w:eastAsia="Arial" w:hAnsi="Arial"/>
          <w:sz w:val="16"/>
          <w:szCs w:val="16"/>
          <w:color w:val="auto"/>
        </w:rPr>
      </w:pPr>
    </w:p>
    <w:p>
      <w:pPr>
        <w:ind w:left="460" w:right="480"/>
        <w:spacing w:after="0" w:line="261" w:lineRule="auto"/>
        <w:rPr>
          <w:rFonts w:ascii="Arial" w:cs="Arial" w:eastAsia="Arial" w:hAnsi="Arial"/>
          <w:sz w:val="16"/>
          <w:szCs w:val="16"/>
          <w:color w:val="auto"/>
        </w:rPr>
      </w:pPr>
      <w:r>
        <w:rPr>
          <w:rFonts w:ascii="Arial" w:cs="Arial" w:eastAsia="Arial" w:hAnsi="Arial"/>
          <w:sz w:val="18"/>
          <w:szCs w:val="18"/>
          <w:color w:val="auto"/>
        </w:rPr>
        <w:t>(x) executive level outplacement services and (y) one year of office space. The table below identifies and quantifies the individual perquisites and benefits for each of Messrs. Marcus, Minson, LaJoie and Meeks.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4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Healthcare</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Outplacement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Planning</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4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75,646</w:t>
            </w: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399,838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80,132</w:t>
            </w: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80,132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LaJoie</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7,100</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$14,168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72,164</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Philip G. Meeks</w:t>
            </w:r>
          </w:p>
        </w:tc>
        <w:tc>
          <w:tcPr>
            <w:tcW w:w="148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58,751</w:t>
            </w:r>
          </w:p>
        </w:tc>
        <w:tc>
          <w:tcPr>
            <w:tcW w:w="12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8"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amounts in this column reflect the 2014 supplemental bonus opportunity, assuming that 2014 performance through July 31, 2014, the assumed date of completion of the merger, is at target. These supplemental bonus opportunities are “single trigger.”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of Mr. Britt’s equity awards are currently vested as a result of his retirement at the end of 2013 or subsequent death.</w:t>
      </w:r>
    </w:p>
    <w:p>
      <w:pPr>
        <w:spacing w:after="0" w:line="21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188 of this joint proxy statement/prospectus, which is incorporated herein by reference.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TWC’s Employment Agreements with its Named Executive Officers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each named executive officer’s employment agreement, if the officer resigns for “good reason” (see discussion below) or is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without cause, the officer is entitled to the payments and benefits described below:</w:t>
      </w:r>
    </w:p>
    <w:p>
      <w:pPr>
        <w:spacing w:after="0" w:line="116"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accrued but unpaid bonus for the preceding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continued salary and target bonus payments, paid on TWC’s normal payment dates for salary: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(i) amounts effective at termination, and (ii) amounts effective on effective date of the officer’s employment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77" w:lineRule="auto"/>
        <w:tabs>
          <w:tab w:leader="none" w:pos="14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for 30 months for Mr. LaJoie, where the bonus component is the greater of (i) the target bonus at termination and (ii) the average of his annual bonus for the two years immediately preceding the year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continued participation in TWC’s health and welfare benefits for the applicable 30 or 36 month severance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Mr. LaJoie, (i) executive level outplacement and (ii) one year of office space.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24-month period versus a 36-month period). For Mr. LaJoie, the above severance payments and benefits are triggered upon the termination, regardless of whether there is also a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the company expressly to assume the obligations of the company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Mr. Minson, a material violation with respect to his reporting relationship.</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As a condition to receiving these severance payments and benefits, the named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 (iv) covenants relating to non-competition during their employment terms and for 24 months (12 months for Mr. LaJoie) following the end of their employment terms.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LaJoie has elected to exercise the retirement option under the terms of his employment agreement, with such retirement effective as of December 31, 2014. If the merger is consummated after his retirement date, Mr. LaJoie would be entitled to the payments and benefits that are due under his employment agreement in connection with his retirement, which are described in the proxy statement dated April 29, 2014 in connection with TWC’s 2014 annual meeting of stockholders. In such event, Mr. LaJoie would not receive the payments and benefits described herein and would forfeit his retention award of restricted stock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TWC PROPOSAL II: ADVISORY VOTE ON GOLDEN PARACHUTE COMPENSATION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196 of this joint proxy statement/prospectus. That summary includes all compensation and benefits that will or may be paid by TWC to its named executive officers in connection with the merger.</w:t>
      </w:r>
    </w:p>
    <w:p>
      <w:pPr>
        <w:spacing w:after="0" w:line="17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TWC board of directors encourages you to review carefully the “golden parachute” compensation information disclosed in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TWC board of directors unanimously recommends that the stockholders of TWC approve the following resolution: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6" w:lineRule="exact"/>
        <w:rPr>
          <w:sz w:val="20"/>
          <w:szCs w:val="20"/>
          <w:color w:val="auto"/>
        </w:rPr>
      </w:pPr>
    </w:p>
    <w:p>
      <w:pPr>
        <w:jc w:val="center"/>
        <w:ind w:left="540" w:right="160"/>
        <w:spacing w:after="0" w:line="454" w:lineRule="auto"/>
        <w:rPr>
          <w:sz w:val="20"/>
          <w:szCs w:val="20"/>
          <w:color w:val="auto"/>
        </w:rPr>
      </w:pPr>
      <w:r>
        <w:rPr>
          <w:rFonts w:ascii="Arial" w:cs="Arial" w:eastAsia="Arial" w:hAnsi="Arial"/>
          <w:sz w:val="18"/>
          <w:szCs w:val="18"/>
          <w:b w:val="1"/>
          <w:bCs w:val="1"/>
          <w:color w:val="auto"/>
        </w:rPr>
        <w:t xml:space="preserve">The TWC board of directors unanimously recommends that TWC stockholders vote “FOR” the “golden parachute” compensation proposal. </w:t>
      </w:r>
      <w:r>
        <w:rPr>
          <w:rFonts w:ascii="Arial" w:cs="Arial" w:eastAsia="Arial" w:hAnsi="Arial"/>
          <w:sz w:val="18"/>
          <w:szCs w:val="18"/>
          <w:color w:val="auto"/>
        </w:rPr>
        <w:t>201</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PROPOSAL II: ADJOURNMENT OF THE COMCAST SPECIAL MEETING</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6"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DIVESTITURE TRANSACTIONS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with TWC. Due to the timing associated with the debt-for-debt exchange described below, however, the earliest date on which the divestiture transactions could be completed is four weeks following completion of the merger, although they could take significantly longer or may not occur at all. The completion of the divestiture transactions will result in the combined company divesting a net total of approximately 3.9 million subscribers.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66"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Comcast shareholders nor TWC stockholders are entitled to vote on the divestiture transactions,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as described in this joint proxy statement/prospectus. The merger of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together with the relevant subscribers and all the assets and liabilities primarily related to the SpinCo systems and will also assume liabilities primarily related to the SpinCo systems and other assets transferred by Comcast to SpinCo.</w:t>
      </w:r>
    </w:p>
    <w:p>
      <w:pPr>
        <w:spacing w:after="0" w:line="154"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7"/>
          <w:szCs w:val="17"/>
          <w:color w:val="auto"/>
        </w:rPr>
        <w:t>Comcast, Charter and SpinCo will use reasonable best efforts to cause SpinCo to incur new indebtedness in an aggregate amount equal to 5.0 times the 2014 EBITDA of the SpinCo systems (as such term is defined by SpinCo’s financing sources for purposes of the financing). The indebtedness will consist of bank debt and/or term loans to be used to fund cash distributions to Comcast and for general corporate purposes at SpinCo, and SpinCo notes newly issued to Comcast, which will enable Comcast to complete the debt-for-debt exchange described below, which is referred to in this joint proxy statement/prospectus as the debt-for-debt exchange. The cash distributions to Comcast are expected to be up to the amount of Comcast’s tax basis in SpinCo, and Comcast expects to use the proceeds to repay indebtedness, repurchase shares or fund dividends.</w:t>
      </w:r>
    </w:p>
    <w:p>
      <w:pPr>
        <w:spacing w:after="0" w:line="17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will reflect the credit characteristics of SpinCo. Comcast anticipates that following the debt-for-debt exchange, the financial institutions will resell the SpinCo notes they receive in a Rule 144A private placement to qualified institutional buyers. As described below, completion of the debt-for-debt exchange is a condition to the divestiture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If the amount of debt securities ultimately tendered is less than the amount that, following exchange for new SpinCo notes, would result in SpinCo leverage of at least 2.5 times 2014 EBITDA of the SpinCo Systems, the divestiture transactions will be terminated. If as a result of the debt-for-debt exchange, the SpinCo leverage is equal to or greater than 2.5 times but less than 5.0 times 2014 EBITDA of the SpinCo systems, Charter will increase the SpinCo merger consideration referred to below in accordance with the formula described below.</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Following the distributions to Comcast and debt-for-debt exchange, Comcast will distribute all of the outstanding SpinCo shares to Comcast shareholders (including former TWC stockholders), which distribution is referred to in this joint proxy statement/prospectus as the spin-off. In connection with the spin-off, SpinCo will file a registration statement on Form S-1, which is referred to in this joint proxy statement/prospectus as the SpinCo Registration Statement, to register, under the Securities Act, the pro rata distribution of shares of its common stock to Comcast shareholders (including former TWC stockholders).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 SpinCo will file the SpinCo Registration Statement with the SEC prior to the anticipated closing of the merger of Comcast and TWC. The SpinCo Registration Statement will need to be declared effective by the SEC prior to the record date for the distribution of shares of SpinCo to Comcast shareholders (including former TWC stockholders) and prior to the SpinCo merger.</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or a subsidiary of New Charter will acquire an amount of SpinCo shares (estimated to be approximately 33% of the outstanding SpinCo shares) that will result in historic Comcast shareholders (not including former TWC stockholders for purposes of this calculation) holding at least 50.75% of the outstanding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of the divestiture transactions.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8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connection with the SpinCo merger, it is expected that New Charter and Charter will file a registration statement on Form S-4 (to register the issuance of New Charter shares in exchange for existing Charter shares and the issuance of New Charter shares in exchange for SpinCo shares), which is referred to in this joint proxy statement/prospectus as the Charter Registration Statement. The Charter Registration Statement is expected to include proxy statement information that will be deemed filed pursuant to New Charter’s obligation 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Regulation 14A in connection with New Charter’s special meeting of its stockholders to approve the requisite proposals for the divestiture transactions, including the SpinCo merger. In addition to registering the issuance of common stock of New Charter to New Charter’s existing stockholders, the Charter Registration Statement is expected to register the issuance of New Charter shares in connection with the SpinCo merger.</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closing of the SpinCo merger,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 On June 16, 2014, Comcast and Charter announced that the current Senior Vice President and Treasurer of TWC, Matthew Siegel, has agreed to serve as Chief Financial Officer of SpinCo.</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and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The services provided by Charter pursuant to the services agreement will be subject to the authority and supervision of the SpinCo board and the SpinCo executive management team.</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Although the SpinCo shares will be distributed in the spin-off pro rata to Comcast shareholders (including former TWC stockholders), the SpinCo merger will result in a portion of each holder’s SpinCo shares being converted into New Charter shares in the SpinCo merger with New Charter owning an amount (estimated to be approximately 33%) of the outstanding SpinCo shares. Accordingly, the SpinCo merger will result in Comcast shareholders (including former TWC stockholders) each owning a proportional interest in SpinCo that is approximately 67% as large as their aggregate proportional interest in Comcast following the merger with TWC.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Exchange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closing of the divestiture transactions, Comcast and Charter will exchange certain systems serving approximately 1.5 million legacy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To the extent that the Carveout 2014 EBITDA of the exchanged systems of each company differs,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Sale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eight-year period, and an additional payment will be made at the end of such eight-year period in an amount equal to any remaining tax benefit (on a present value basis).</w:t>
      </w:r>
    </w:p>
    <w:p>
      <w:pPr>
        <w:spacing w:after="0" w:line="18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p>
    <w:p>
      <w:pPr>
        <w:spacing w:after="0" w:line="131" w:lineRule="exact"/>
        <w:rPr>
          <w:sz w:val="20"/>
          <w:szCs w:val="20"/>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completion of the merger between Comcast and TWC;</w:t>
      </w:r>
    </w:p>
    <w:p>
      <w:pPr>
        <w:spacing w:after="0" w:line="130" w:lineRule="exact"/>
        <w:rPr>
          <w:rFonts w:ascii="Arial" w:cs="Arial" w:eastAsia="Arial" w:hAnsi="Arial"/>
          <w:sz w:val="18"/>
          <w:szCs w:val="18"/>
          <w:color w:val="auto"/>
        </w:rPr>
      </w:pPr>
    </w:p>
    <w:p>
      <w:pPr>
        <w:ind w:left="900" w:right="620" w:hanging="325"/>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receipt of a number of regulatory approvals, including approval of the FCC, approval of 100% of required public utility commissions and approval of certain franchise authorities, in most cases without the imposition of a burdensome condition, as defined in the transactions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Charter obtaining the necessary financing to complete the purchase of assets from Comcast;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completion of the debt-for-debt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approval by Charter’s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absence of an injunction or legal impediment;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accuracy of representations and warranties and performance of covenants, subject to applicable materiality thresholds;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receipt of certain opinions of tax counsel covering the tax-free nature of certain of the divestiture transactions;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assets and liabilities to be transferred to SpinCo, the assets and liabilities to be transferred by Comcast in the exchange and the assets and liabilities to be transferred by Comcast in the sale, taken as a whole;</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sale of a material adverse effect with respect to Charter;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listing of the SpinCo shares on an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effectiveness of the Charter Registration Statement and approval of listing on the NASDAQ.</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merger with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agreements for each of the divestiture transactions are terminable: (1) upon termination of the merger agreement with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periods from the completion of the merger with TWC.</w:t>
      </w:r>
    </w:p>
    <w:p>
      <w:pPr>
        <w:spacing w:after="0" w:line="15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diagrams graphically illustrate, in simplified form, the steps to consummate the merger and the divestiture transactions. The diagram immediately below shows the existing corporate structure of Comcast, TWC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-19050</wp:posOffset>
            </wp:positionV>
            <wp:extent cx="2752725" cy="2426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5272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diagram immediately below shows the corporate structure of Comcast, TWC and Charter following the merger but before the divestiture transactions. Pursuant to the merger, Merger Sub will be merged with and into TWC, with TWC continuing as the surviving corporation. Upon completion of the merger, former TWC stockholders will receive shares of Comcast and will no longer own TWC stock, and TWC will be a wholly owned subsidiary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85090</wp:posOffset>
            </wp:positionV>
            <wp:extent cx="3018790" cy="2710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1879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applicable conditions to the divestiture transactions are satisfied or waived, the diagram immediately below shows the corporate structure of Comcast, TWC and Charter following the merger and the spin-off but before the SpinCo merger and the other divestiture transactions, each of which will take place immediately following the spin-off. Accordingly, if the spin-off occurs, it will be immediately followed by the SpinCo merger and the other divestiture transactions, with the result that the corporate structure shown in the final diagram below will apply.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the spin-off, Comcast will contribute the SpinCo systems to SpinCo, and will distribute all of the outstanding SpinCo shares to Comcast shareholders (including former TWC stockholders who received Comcast shares in the merger and continue to hold Comcast shares through the record date for the spin-off). In addition, as part of the Charter reorganization, New Charter will convert into a corporation, all shares of Charter will be converted into shares of New Charter, and New Charter will survive as the publicly-traded parent company of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74930</wp:posOffset>
            </wp:positionV>
            <wp:extent cx="4622165" cy="31299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2216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240" w:top="459" w:right="5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diagram immediately below shows the corporate structure of Comcast, TWC and Charter following the merger and the divestiture transactions. In connection with the SpinCo merger, a newly formed, wholly owned subsidiary of New Charter, Charter Merger Sub, will merge with and into SpinCo, with SpinCo surviving the merger. As a result of the SpinCo merger, New Charter or a subsidiary of New Charter will receive shares of SpinCo common stock, and SpinCo’s stockholders will receive shares of New Charter common stock and will continue to hold shares of SpinCo common stock, which are currently estimated to represent 67% of SpinCo’s outstanding common stock in the aggregate. Following consummation of the exchange and the sale, Comcast will own the Charter exchange systems, and Charter will own the TWC exchange systems and the TWC sale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71120</wp:posOffset>
            </wp:positionV>
            <wp:extent cx="4905375" cy="41763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05375"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300"/>
          </w:cols>
          <w:pgMar w:left="240" w:top="460"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presents an indicative sequence of events related to the merger of Comcast and TWC and the divestiture transactions, including the debt-for-debt exchange, the spin-off, the SpinCo merger, the exchange and the sale. The merger of Comcast and TWC and the divestiture transactions are subject to separate conditions and the merger may be completed whether or not the divestiture transactions are ultimately consummated. The divestiture transactions, however, are conditioned upon the completion of the merger of Comcast and TWC. The timing associated with the merger of Comcast and TWC will depend on when (and if) the conditions to the merger are satisfied or waived, including receipt of regulatory approvals. As of the date of this joint proxy statement/prospectus, we expect to complete the merger in early 2015 due to our current expectations regarding the timing of certain regulatory approvals. See “TWC Proposal I: Adoption of the Merger Agreement and Comcast Proposal I: Approval of the Stock Issuance—Regulatory Approvals Required for the Merger—Timing.” The timing associated with the closing of the divestiture transactions will depend on when (and if) the conditions to the divestiture transactions are satisfied or waived. See the description of the conditions to the divestiture transactions above. Due to the timing associated with the debt-for-debt exchange, as described above, the earliest the divestiture transactions could be completed is four weeks following completion of the merger of Comcast and TWC and could take significantly longer or may not occur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142240</wp:posOffset>
            </wp:positionV>
            <wp:extent cx="5145405" cy="3456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540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map below highlights the expected footprint of Comcast following the merger and assuming completion of the divestiture transactions based on the current footprint of each company and the terms of the transactions agreement. The systems included in the divestiture transactions were determined through negotiations between Comcast and Charter considering a number of factors, including the current and post-transactions geographic alignment of each company’s service areas to provide operating efficiencies and improve technology deployment, while providing a tax efficient transaction structure.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88585" cy="28987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885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Liberty voting agreement will terminate upon the earliest of (i) immediately prior to the consummation of the divestiture transactions; (ii) the termination of the transactions agreement in accordance with its terms; (iii)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40"/>
          </w:cols>
          <w:pgMar w:left="240" w:top="460" w:right="3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CERTAIN BENEFICIAL OWNERS OF TWC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TWC Board of Directors and Executive Officers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TWC common stock beneficially owned by:</w:t>
      </w:r>
    </w:p>
    <w:p>
      <w:pPr>
        <w:spacing w:after="0" w:line="76"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TWC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current TWC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current TWC executive officers and directors, as a group.</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TWC Common Stock</w:t>
      </w:r>
    </w:p>
    <w:p>
      <w:pPr>
        <w:ind w:left="9280"/>
        <w:spacing w:after="0" w:line="236" w:lineRule="auto"/>
        <w:rPr>
          <w:sz w:val="20"/>
          <w:szCs w:val="20"/>
          <w:color w:val="auto"/>
        </w:rPr>
      </w:pPr>
      <w:r>
        <w:rPr>
          <w:rFonts w:ascii="Arial" w:cs="Arial" w:eastAsia="Arial" w:hAnsi="Arial"/>
          <w:sz w:val="14"/>
          <w:szCs w:val="14"/>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Right to</w:t>
            </w:r>
          </w:p>
        </w:tc>
        <w:tc>
          <w:tcPr>
            <w:tcW w:w="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Acquire</w:t>
            </w:r>
          </w:p>
        </w:tc>
        <w:tc>
          <w:tcPr>
            <w:tcW w:w="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40" w:type="dxa"/>
            <w:vAlign w:val="bottom"/>
            <w:gridSpan w:val="2"/>
            <w:vMerge w:val="continue"/>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Shares(2)</w:t>
            </w:r>
          </w:p>
        </w:tc>
        <w:tc>
          <w:tcPr>
            <w:tcW w:w="6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10"/>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Thomas H. Castro</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Chang</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James E. Copeland, Jr.</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Irene M. Esteves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Peter R. Haje(3)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15,622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A. James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Michael LaJoie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11,801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50,819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Logan</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Robert D. Marcus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61,281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171,339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G. Meeks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25,065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 Nicholas, Jr.</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Wayne H. Pace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26,221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D. Shirley</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John E. Sununu</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(18 persons)(3)-(4)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139,191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383,347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TWC common stock on July 31, 2014.</w:t>
      </w:r>
    </w:p>
    <w:p>
      <w:pPr>
        <w:spacing w:after="0" w:line="23" w:lineRule="exact"/>
        <w:rPr>
          <w:sz w:val="20"/>
          <w:szCs w:val="20"/>
          <w:color w:val="auto"/>
        </w:rPr>
      </w:pPr>
    </w:p>
    <w:p>
      <w:pPr>
        <w:ind w:left="460" w:hanging="452"/>
        <w:spacing w:after="0" w:line="281" w:lineRule="auto"/>
        <w:tabs>
          <w:tab w:leader="none" w:pos="4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July 31, 2014, the only equity securities of TWC beneficially owned by the named persons or group were (i) shares of TWC common stock, (ii) options to purchase shares of TWC common stock and</w:t>
      </w:r>
    </w:p>
    <w:p>
      <w:pPr>
        <w:spacing w:after="0" w:line="3" w:lineRule="exact"/>
        <w:rPr>
          <w:rFonts w:ascii="Arial" w:cs="Arial" w:eastAsia="Arial" w:hAnsi="Arial"/>
          <w:sz w:val="16"/>
          <w:szCs w:val="16"/>
          <w:color w:val="auto"/>
        </w:rPr>
      </w:pPr>
    </w:p>
    <w:p>
      <w:pPr>
        <w:ind w:left="460" w:right="440" w:hanging="6"/>
        <w:spacing w:after="0" w:line="250" w:lineRule="auto"/>
        <w:tabs>
          <w:tab w:leader="none" w:pos="77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restricted stock units and deferred stock units reflecting the contingent right to receive shares of TWC common stock. None of these shares of TWC common stock was pledged as security.</w:t>
      </w:r>
    </w:p>
    <w:p>
      <w:pPr>
        <w:ind w:left="460" w:hanging="452"/>
        <w:spacing w:after="0" w:line="281" w:lineRule="auto"/>
        <w:tabs>
          <w:tab w:leader="none" w:pos="4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July 31, 2014, were unexercised, but were exercisable on or within 60 days after that date and (ii) restricted stock units that, on July 31,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w:t>
      </w:r>
    </w:p>
    <w:p>
      <w:pPr>
        <w:spacing w:after="0" w:line="3" w:lineRule="exact"/>
        <w:rPr>
          <w:rFonts w:ascii="Arial" w:cs="Arial" w:eastAsia="Arial" w:hAnsi="Arial"/>
          <w:sz w:val="16"/>
          <w:szCs w:val="16"/>
          <w:color w:val="auto"/>
        </w:rPr>
      </w:pPr>
    </w:p>
    <w:p>
      <w:pPr>
        <w:ind w:left="460" w:right="260" w:hanging="6"/>
        <w:spacing w:after="0" w:line="323" w:lineRule="auto"/>
        <w:tabs>
          <w:tab w:leader="none" w:pos="67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July 31, 2014 are set forth below. The directors do not have voting rights with respect to these restricted stock units and deferred stock units, but they represent an economic interest in the shares of TWC common stock.</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Pre-2011</w:t>
            </w:r>
          </w:p>
        </w:tc>
        <w:tc>
          <w:tcPr>
            <w:tcW w:w="13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7"/>
              </w:rPr>
              <w:t>Deferred</w:t>
            </w:r>
          </w:p>
        </w:tc>
      </w:tr>
      <w:tr>
        <w:trPr>
          <w:trHeight w:val="149"/>
        </w:trPr>
        <w:tc>
          <w:tcPr>
            <w:tcW w:w="4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71"/>
        </w:trPr>
        <w:tc>
          <w:tcPr>
            <w:tcW w:w="4140" w:type="dxa"/>
            <w:vAlign w:val="bottom"/>
          </w:tcPr>
          <w:p>
            <w:pPr>
              <w:spacing w:after="0"/>
              <w:rPr>
                <w:sz w:val="14"/>
                <w:szCs w:val="14"/>
                <w:color w:val="auto"/>
              </w:rPr>
            </w:pPr>
          </w:p>
        </w:tc>
        <w:tc>
          <w:tcPr>
            <w:tcW w:w="3220" w:type="dxa"/>
            <w:vAlign w:val="bottom"/>
            <w:gridSpan w:val="2"/>
          </w:tcPr>
          <w:p>
            <w:pPr>
              <w:jc w:val="center"/>
              <w:ind w:left="2392"/>
              <w:spacing w:after="0"/>
              <w:rPr>
                <w:sz w:val="20"/>
                <w:szCs w:val="20"/>
                <w:color w:val="auto"/>
              </w:rPr>
            </w:pPr>
            <w:r>
              <w:rPr>
                <w:rFonts w:ascii="Arial" w:cs="Arial" w:eastAsia="Arial" w:hAnsi="Arial"/>
                <w:sz w:val="14"/>
                <w:szCs w:val="14"/>
                <w:b w:val="1"/>
                <w:bCs w:val="1"/>
                <w:color w:val="auto"/>
                <w:w w:val="90"/>
              </w:rPr>
              <w:t>Stock Units</w:t>
            </w:r>
          </w:p>
        </w:tc>
        <w:tc>
          <w:tcPr>
            <w:tcW w:w="6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2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Thomas H. Castro</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C. Chang</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6,832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James E. Copeland,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6,126</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Peter R. Haje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7,737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Donna A. James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Don Logan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N.J. Nicholas,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7,085</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Wayne H. Pace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4,316</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Edward D. Shirley</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E. Sununu</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60" w:right="220" w:hanging="452"/>
        <w:spacing w:after="0" w:line="258"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8"/>
          <w:szCs w:val="18"/>
          <w:color w:val="auto"/>
        </w:rPr>
      </w:pPr>
    </w:p>
    <w:p>
      <w:pPr>
        <w:jc w:val="both"/>
        <w:ind w:left="460" w:right="120" w:hanging="452"/>
        <w:spacing w:after="0" w:line="255"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Includes (a) an aggregate of approximately 1,028 shares of TWC common stock held by a trust under the TWC Savings Plan for the benefit of TWC’s current executive officers and (b) 69 shares beneficially owned by the spouse of a current executive officer. Shares of TWC common stock held by the estate of Mr. Britt are not included.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Based on a review of filings with the SEC, as of July 31, 2014, TWC has determined that each of the persons listed below is a beneficial holder of more than 5% of the outstanding shares of TWC common stock as of the date indicated.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TWC</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00" w:type="dxa"/>
            <w:vAlign w:val="bottom"/>
          </w:tcPr>
          <w:p>
            <w:pPr>
              <w:spacing w:after="0"/>
              <w:rPr>
                <w:sz w:val="12"/>
                <w:szCs w:val="12"/>
                <w:color w:val="auto"/>
              </w:rPr>
            </w:pPr>
          </w:p>
        </w:tc>
        <w:tc>
          <w:tcPr>
            <w:tcW w:w="9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Beneficially</w:t>
            </w:r>
          </w:p>
        </w:tc>
        <w:tc>
          <w:tcPr>
            <w:tcW w:w="1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rPr>
              <w:t>Owned</w:t>
            </w:r>
          </w:p>
        </w:tc>
        <w:tc>
          <w:tcPr>
            <w:tcW w:w="1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2620" w:type="dxa"/>
            <w:vAlign w:val="bottom"/>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Dodge &amp; Cox(1)</w:t>
            </w:r>
          </w:p>
        </w:tc>
        <w:tc>
          <w:tcPr>
            <w:tcW w:w="26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15,524,188</w:t>
            </w:r>
          </w:p>
        </w:tc>
        <w:tc>
          <w:tcPr>
            <w:tcW w:w="7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555 California Street, 40th Floor</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Francisco, CA 94104</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The Vanguard Group Inc.(2)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14,222,130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100 Vanguard Boulevard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Malvern, PA 19355</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8"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BENEFICIAL OWNERS OF COMCAST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Comcast Board of Directors and Executive Officers</w:t>
      </w:r>
    </w:p>
    <w:p>
      <w:pPr>
        <w:spacing w:after="0" w:line="12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Comcast common stock beneficially owned by:</w:t>
      </w:r>
    </w:p>
    <w:p>
      <w:pPr>
        <w:spacing w:after="0" w:line="76" w:lineRule="exact"/>
        <w:rPr>
          <w:sz w:val="20"/>
          <w:szCs w:val="20"/>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Comcast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current Comcast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current Comcast executive officers and directors, as a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14"/>
                <w:szCs w:val="14"/>
                <w:b w:val="1"/>
                <w:bCs w:val="1"/>
                <w:color w:val="auto"/>
              </w:rPr>
              <w:t>Amount Beneficially Owned(1)</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89"/>
              </w:rPr>
              <w:t>Percent of Class</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1"/>
              </w:rPr>
              <w:t>Comcast</w:t>
            </w:r>
          </w:p>
        </w:tc>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40" w:type="dxa"/>
            <w:vAlign w:val="bottom"/>
            <w:gridSpan w:val="2"/>
            <w:vMerge w:val="restart"/>
          </w:tcPr>
          <w:p>
            <w:pPr>
              <w:jc w:val="right"/>
              <w:ind w:right="1520"/>
              <w:spacing w:after="0"/>
              <w:rPr>
                <w:sz w:val="20"/>
                <w:szCs w:val="20"/>
                <w:color w:val="auto"/>
              </w:rPr>
            </w:pPr>
            <w:r>
              <w:rPr>
                <w:rFonts w:ascii="Arial" w:cs="Arial" w:eastAsia="Arial" w:hAnsi="Arial"/>
                <w:sz w:val="14"/>
                <w:szCs w:val="14"/>
                <w:b w:val="1"/>
                <w:bCs w:val="1"/>
                <w:color w:val="auto"/>
              </w:rPr>
              <w:t>Comcast Class A</w:t>
            </w: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Comcast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Class A</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124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Class A(2)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Special</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Class A(2)</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Special</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29"/>
        </w:trPr>
        <w:tc>
          <w:tcPr>
            <w:tcW w:w="1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Michael J. Angelakis</w:t>
            </w:r>
          </w:p>
        </w:tc>
        <w:tc>
          <w:tcPr>
            <w:tcW w:w="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1,194,510</w:t>
            </w:r>
          </w:p>
        </w:tc>
        <w:tc>
          <w:tcPr>
            <w:tcW w:w="1080" w:type="dxa"/>
            <w:vAlign w:val="bottom"/>
            <w:tcBorders>
              <w:top w:val="single" w:sz="8" w:color="CCEEFF"/>
            </w:tcBorders>
            <w:shd w:val="clear" w:color="auto" w:fill="CCEEFF"/>
          </w:tcPr>
          <w:p>
            <w:pPr>
              <w:jc w:val="right"/>
              <w:ind w:right="877"/>
              <w:spacing w:after="0" w:line="120" w:lineRule="exact"/>
              <w:rPr>
                <w:sz w:val="20"/>
                <w:szCs w:val="20"/>
                <w:color w:val="auto"/>
              </w:rPr>
            </w:pPr>
            <w:r>
              <w:rPr>
                <w:rFonts w:ascii="Arial" w:cs="Arial" w:eastAsia="Arial" w:hAnsi="Arial"/>
                <w:sz w:val="11"/>
                <w:szCs w:val="11"/>
                <w:color w:val="auto"/>
                <w:w w:val="88"/>
              </w:rPr>
              <w:t>(3)</w:t>
            </w:r>
          </w:p>
        </w:tc>
        <w:tc>
          <w:tcPr>
            <w:tcW w:w="1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Kenneth J. Bacon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31,165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Sheldon M. Bonovitz</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32,005</w:t>
            </w:r>
            <w:r>
              <w:rPr>
                <w:rFonts w:ascii="Arial" w:cs="Arial" w:eastAsia="Arial" w:hAnsi="Arial"/>
                <w:sz w:val="10"/>
                <w:szCs w:val="10"/>
                <w:color w:val="auto"/>
              </w:rPr>
              <w:t>(4)</w:t>
            </w:r>
          </w:p>
        </w:tc>
        <w:tc>
          <w:tcPr>
            <w:tcW w:w="2840" w:type="dxa"/>
            <w:vAlign w:val="bottom"/>
            <w:gridSpan w:val="2"/>
            <w:shd w:val="clear" w:color="auto" w:fill="CCEEFF"/>
          </w:tcPr>
          <w:p>
            <w:pPr>
              <w:jc w:val="right"/>
              <w:ind w:right="1120"/>
              <w:spacing w:after="0" w:line="135" w:lineRule="exact"/>
              <w:rPr>
                <w:sz w:val="20"/>
                <w:szCs w:val="20"/>
                <w:color w:val="auto"/>
              </w:rPr>
            </w:pPr>
            <w:r>
              <w:rPr>
                <w:rFonts w:ascii="Arial" w:cs="Arial" w:eastAsia="Arial" w:hAnsi="Arial"/>
                <w:sz w:val="13"/>
                <w:szCs w:val="13"/>
                <w:color w:val="auto"/>
              </w:rPr>
              <w:t>116,952</w:t>
            </w:r>
            <w:r>
              <w:rPr>
                <w:rFonts w:ascii="Arial" w:cs="Arial" w:eastAsia="Arial" w:hAnsi="Arial"/>
                <w:sz w:val="10"/>
                <w:szCs w:val="10"/>
                <w:color w:val="auto"/>
              </w:rPr>
              <w:t>(5)</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Edward D. Breen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51,065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Stephen B. Burke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1,979,255</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3,718</w:t>
            </w:r>
          </w:p>
        </w:tc>
        <w:tc>
          <w:tcPr>
            <w:tcW w:w="1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David L. Cohen</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w w:val="99"/>
              </w:rPr>
              <w:t>2,711,812</w:t>
            </w:r>
            <w:r>
              <w:rPr>
                <w:rFonts w:ascii="Arial" w:cs="Arial" w:eastAsia="Arial" w:hAnsi="Arial"/>
                <w:sz w:val="10"/>
                <w:szCs w:val="10"/>
                <w:color w:val="auto"/>
                <w:w w:val="99"/>
              </w:rPr>
              <w:t>(6)</w:t>
            </w:r>
          </w:p>
        </w:tc>
        <w:tc>
          <w:tcPr>
            <w:tcW w:w="2840" w:type="dxa"/>
            <w:vAlign w:val="bottom"/>
            <w:gridSpan w:val="2"/>
          </w:tcPr>
          <w:p>
            <w:pPr>
              <w:jc w:val="right"/>
              <w:ind w:right="1120"/>
              <w:spacing w:after="0" w:line="135" w:lineRule="exact"/>
              <w:rPr>
                <w:sz w:val="20"/>
                <w:szCs w:val="20"/>
                <w:color w:val="auto"/>
              </w:rPr>
            </w:pPr>
            <w:r>
              <w:rPr>
                <w:rFonts w:ascii="Arial" w:cs="Arial" w:eastAsia="Arial" w:hAnsi="Arial"/>
                <w:sz w:val="13"/>
                <w:szCs w:val="13"/>
                <w:color w:val="auto"/>
              </w:rPr>
              <w:t>53,731</w:t>
            </w:r>
            <w:r>
              <w:rPr>
                <w:rFonts w:ascii="Arial" w:cs="Arial" w:eastAsia="Arial" w:hAnsi="Arial"/>
                <w:sz w:val="10"/>
                <w:szCs w:val="10"/>
                <w:color w:val="auto"/>
              </w:rPr>
              <w:t>(7)</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Joseph J. Collins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182,947</w:t>
            </w:r>
            <w:r>
              <w:rPr>
                <w:rFonts w:ascii="Arial" w:cs="Arial" w:eastAsia="Arial" w:hAnsi="Arial"/>
                <w:sz w:val="10"/>
                <w:szCs w:val="10"/>
                <w:color w:val="auto"/>
              </w:rPr>
              <w:t>(8)</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 Michael Cook</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rPr>
              <w:t>51,106</w:t>
            </w:r>
            <w:r>
              <w:rPr>
                <w:rFonts w:ascii="Arial" w:cs="Arial" w:eastAsia="Arial" w:hAnsi="Arial"/>
                <w:sz w:val="10"/>
                <w:szCs w:val="10"/>
                <w:color w:val="auto"/>
              </w:rPr>
              <w:t>(9)</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3,450</w:t>
            </w:r>
            <w:r>
              <w:rPr>
                <w:rFonts w:ascii="Arial" w:cs="Arial" w:eastAsia="Arial" w:hAnsi="Arial"/>
                <w:sz w:val="10"/>
                <w:szCs w:val="10"/>
                <w:color w:val="auto"/>
              </w:rPr>
              <w:t>(10)</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Gerald L. Hassell</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51,191</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Jeffrey A. Honickman</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rPr>
              <w:t>116,517</w:t>
            </w:r>
            <w:r>
              <w:rPr>
                <w:rFonts w:ascii="Arial" w:cs="Arial" w:eastAsia="Arial" w:hAnsi="Arial"/>
                <w:sz w:val="10"/>
                <w:szCs w:val="10"/>
                <w:color w:val="auto"/>
              </w:rPr>
              <w:t>(11)</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10,217</w:t>
            </w:r>
            <w:r>
              <w:rPr>
                <w:rFonts w:ascii="Arial" w:cs="Arial" w:eastAsia="Arial" w:hAnsi="Arial"/>
                <w:sz w:val="10"/>
                <w:szCs w:val="10"/>
                <w:color w:val="auto"/>
              </w:rPr>
              <w:t>(12)</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Eduardo G. Mestre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44,179</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Brian L. Roberts</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w w:val="97"/>
              </w:rPr>
              <w:t>5,222,930</w:t>
            </w:r>
            <w:r>
              <w:rPr>
                <w:rFonts w:ascii="Arial" w:cs="Arial" w:eastAsia="Arial" w:hAnsi="Arial"/>
                <w:sz w:val="10"/>
                <w:szCs w:val="10"/>
                <w:color w:val="auto"/>
                <w:w w:val="97"/>
              </w:rPr>
              <w:t>(13)</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8,157,857</w:t>
            </w:r>
            <w:r>
              <w:rPr>
                <w:rFonts w:ascii="Arial" w:cs="Arial" w:eastAsia="Arial" w:hAnsi="Arial"/>
                <w:sz w:val="10"/>
                <w:szCs w:val="10"/>
                <w:color w:val="auto"/>
              </w:rPr>
              <w:t>(14)</w:t>
            </w:r>
          </w:p>
        </w:tc>
        <w:tc>
          <w:tcPr>
            <w:tcW w:w="13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Ralph J. Roberts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1,894,568</w:t>
            </w:r>
          </w:p>
        </w:tc>
        <w:tc>
          <w:tcPr>
            <w:tcW w:w="2840" w:type="dxa"/>
            <w:vAlign w:val="bottom"/>
            <w:gridSpan w:val="2"/>
            <w:shd w:val="clear" w:color="auto" w:fill="CCEEFF"/>
          </w:tcPr>
          <w:p>
            <w:pPr>
              <w:jc w:val="right"/>
              <w:ind w:right="1060"/>
              <w:spacing w:after="0" w:line="135" w:lineRule="exact"/>
              <w:rPr>
                <w:sz w:val="20"/>
                <w:szCs w:val="20"/>
                <w:color w:val="auto"/>
              </w:rPr>
            </w:pPr>
            <w:r>
              <w:rPr>
                <w:rFonts w:ascii="Arial" w:cs="Arial" w:eastAsia="Arial" w:hAnsi="Arial"/>
                <w:sz w:val="13"/>
                <w:szCs w:val="13"/>
                <w:color w:val="auto"/>
              </w:rPr>
              <w:t>1,508,443</w:t>
            </w:r>
            <w:r>
              <w:rPr>
                <w:rFonts w:ascii="Arial" w:cs="Arial" w:eastAsia="Arial" w:hAnsi="Arial"/>
                <w:sz w:val="10"/>
                <w:szCs w:val="10"/>
                <w:color w:val="auto"/>
              </w:rPr>
              <w:t>(16)</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Johnathan A. Rodgers</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19,399</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Dr. Judith Rodin</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79,042</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Neil Smit</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738,483</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All directors and executive officers</w:t>
            </w:r>
          </w:p>
        </w:tc>
        <w:tc>
          <w:tcPr>
            <w:tcW w:w="1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 a group (18 persons)</w:t>
            </w:r>
          </w:p>
        </w:tc>
        <w:tc>
          <w:tcPr>
            <w:tcW w:w="12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95"/>
              </w:rPr>
              <w:t>14,500,251</w:t>
            </w:r>
            <w:r>
              <w:rPr>
                <w:rFonts w:ascii="Arial" w:cs="Arial" w:eastAsia="Arial" w:hAnsi="Arial"/>
                <w:sz w:val="10"/>
                <w:szCs w:val="10"/>
                <w:color w:val="auto"/>
                <w:w w:val="95"/>
              </w:rPr>
              <w:t>(3)(4)(6)(8)(9)(11)(13)</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9,897,897</w:t>
            </w:r>
            <w:r>
              <w:rPr>
                <w:rFonts w:ascii="Arial" w:cs="Arial" w:eastAsia="Arial" w:hAnsi="Arial"/>
                <w:sz w:val="10"/>
                <w:szCs w:val="10"/>
                <w:color w:val="auto"/>
              </w:rPr>
              <w:t>(5)(7)(10)(12)(14)(16)(17)</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23" w:lineRule="exact"/>
        <w:rPr>
          <w:sz w:val="20"/>
          <w:szCs w:val="20"/>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Exchange Act.</w:t>
      </w:r>
    </w:p>
    <w:p>
      <w:pPr>
        <w:spacing w:after="0" w:line="9" w:lineRule="exact"/>
        <w:rPr>
          <w:rFonts w:ascii="Arial" w:cs="Arial" w:eastAsia="Arial" w:hAnsi="Arial"/>
          <w:sz w:val="18"/>
          <w:szCs w:val="18"/>
          <w:color w:val="auto"/>
        </w:rPr>
      </w:pPr>
    </w:p>
    <w:p>
      <w:pPr>
        <w:ind w:left="580" w:right="100" w:hanging="572"/>
        <w:spacing w:after="0" w:line="254"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Comcast Class A common stock for which the following persons hold options exercisable on or within 60 days of July 31, 2014: Mr. Angelakis, 947,966; Mr. Burke, 1,247,440; Mr. Cohen, 2,155,875 (597,015 of which are held by family trusts); Mr. Collins, 14,062; Mr. Brian L. Roberts, 4,521,825; Mr. Ralph J. Roberts, 679,940; Dr. Rodin, 11,250; Mr. Smit, 592,170; and all directors and executive officers as a group, 10,200,298.</w:t>
      </w:r>
    </w:p>
    <w:p>
      <w:pPr>
        <w:spacing w:after="0" w:line="81" w:lineRule="exact"/>
        <w:rPr>
          <w:rFonts w:ascii="Arial" w:cs="Arial" w:eastAsia="Arial" w:hAnsi="Arial"/>
          <w:sz w:val="18"/>
          <w:szCs w:val="18"/>
          <w:color w:val="auto"/>
        </w:rPr>
      </w:pPr>
    </w:p>
    <w:p>
      <w:pPr>
        <w:ind w:left="580" w:right="140"/>
        <w:spacing w:after="0" w:line="291" w:lineRule="auto"/>
        <w:rPr>
          <w:rFonts w:ascii="Arial" w:cs="Arial" w:eastAsia="Arial" w:hAnsi="Arial"/>
          <w:sz w:val="18"/>
          <w:szCs w:val="18"/>
          <w:color w:val="auto"/>
        </w:rPr>
      </w:pPr>
      <w:r>
        <w:rPr>
          <w:rFonts w:ascii="Arial" w:cs="Arial" w:eastAsia="Arial" w:hAnsi="Arial"/>
          <w:sz w:val="16"/>
          <w:szCs w:val="16"/>
          <w:color w:val="auto"/>
        </w:rPr>
        <w:t>Includes the following number of share equivalents that will be paid at a future date in cash and/or in Comcast Class A common stock pursuant to an election made under Comcast’s restricted stock plan for the following persons: Mr. Bacon, 13,059; Mr. Bonovitz, 14,383; Mr. Breen, 11,504;</w:t>
      </w:r>
    </w:p>
    <w:p>
      <w:pPr>
        <w:ind w:left="580" w:right="940"/>
        <w:spacing w:after="0" w:line="261" w:lineRule="auto"/>
        <w:rPr>
          <w:rFonts w:ascii="Arial" w:cs="Arial" w:eastAsia="Arial" w:hAnsi="Arial"/>
          <w:sz w:val="18"/>
          <w:szCs w:val="18"/>
          <w:color w:val="auto"/>
        </w:rPr>
      </w:pPr>
      <w:r>
        <w:rPr>
          <w:rFonts w:ascii="Arial" w:cs="Arial" w:eastAsia="Arial" w:hAnsi="Arial"/>
          <w:sz w:val="18"/>
          <w:szCs w:val="18"/>
          <w:color w:val="auto"/>
        </w:rPr>
        <w:t>Mr. Collins, 53,519; Mr. Cook, 35,119; Mr. Hassell, 42,030; Mr. Honickman, 53,622; Mr. Mestre, 17,832; Mr. Ralph J. Roberts, 748,270; Mr. Rodgers, 14,091; and Dr. Rodin, 53,516.</w:t>
      </w:r>
    </w:p>
    <w:p>
      <w:pPr>
        <w:spacing w:after="0" w:line="75" w:lineRule="exact"/>
        <w:rPr>
          <w:rFonts w:ascii="Arial" w:cs="Arial" w:eastAsia="Arial" w:hAnsi="Arial"/>
          <w:sz w:val="18"/>
          <w:szCs w:val="18"/>
          <w:color w:val="auto"/>
        </w:rPr>
      </w:pPr>
    </w:p>
    <w:p>
      <w:pPr>
        <w:ind w:left="580" w:right="160"/>
        <w:spacing w:after="0" w:line="256"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Comcast Class A common stock under Comcast’s deferred compensation plans for the following persons: Mr. Breen, 6,643; Mr. Collins, 13,367; Mr. Cook, 5,718; Mr. Hassell, 9,161; Mr. Honickman, 12,393; Mr. Mestre, 3,847; Mr. Rodgers, 1,886; and Dr. Rodin, 7,887.</w:t>
      </w:r>
    </w:p>
    <w:p>
      <w:pPr>
        <w:ind w:left="580" w:right="340" w:hanging="572"/>
        <w:spacing w:after="0" w:line="261"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168,242 shares of Comcast Class A common stock held jointly by him and his wife; 48,551 shares held by a family trust of which he is a trustee; and 29,074 shares owned by a charitable foundation of which he and his wife are trustees.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680" w:hanging="572"/>
        <w:spacing w:after="0" w:line="258"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72 shares of Comcast Class A common stock held by a testamentary trust of which he is a trustee and 2,992 shares owned by family partnerships.</w:t>
      </w:r>
    </w:p>
    <w:p>
      <w:pPr>
        <w:spacing w:after="0" w:line="1" w:lineRule="exact"/>
        <w:rPr>
          <w:rFonts w:ascii="Arial" w:cs="Arial" w:eastAsia="Arial" w:hAnsi="Arial"/>
          <w:sz w:val="18"/>
          <w:szCs w:val="18"/>
          <w:color w:val="auto"/>
        </w:rPr>
      </w:pPr>
    </w:p>
    <w:p>
      <w:pPr>
        <w:ind w:left="580" w:right="40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15,714 shares of Comcast Class A Special common stock owned by a charitable foundation of which his wife is a trustee; 97,891 shares owned by family partnerships; and 3,000 shares owned by a family trust of which he is a trustee.</w:t>
      </w:r>
    </w:p>
    <w:p>
      <w:pPr>
        <w:ind w:left="580" w:right="6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ind w:left="580" w:right="360" w:hanging="572"/>
        <w:spacing w:after="0" w:line="265" w:lineRule="auto"/>
        <w:tabs>
          <w:tab w:leader="none" w:pos="5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102,000 shares of Comcast Class A common stock held by grantor retained annuity trusts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2,425 shares of Comcast Class A common stock owned by his wife and 1,455 shares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Represents 3,450 shares of Comcast Class A Special common stock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10,000 shares of Comcast Class A common stock held by a grantor trust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77 shares of Comcast Class A Special common stock owned by his daughters.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19,000 shares of Comcast Class A common stock held by a family trust; 16,308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14,667,305 shares of Comcast Class A common stock, representing less than 1% of the Comcast Class A common stock.</w:t>
      </w:r>
    </w:p>
    <w:p>
      <w:pPr>
        <w:spacing w:after="0" w:line="2"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69,504 shares of Comcast Class A Special common stock owned in Comcast’s retirement-investment plan. Also includes 269,835 shares owned by his wife; 240 shares owned by his daughter; and 229,865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17,602,232 shares of Comcast Class A Special common stock, representing approximately 4.1% of the Comcast Class A Special common stock.</w:t>
      </w:r>
    </w:p>
    <w:p>
      <w:pPr>
        <w:spacing w:after="0" w:line="3"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See footnote (3) under “—Security Ownership of Certain Beneficial Owners” below.</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278,346 shares of Comcast Class A Special common stock owned by family partnerships, the general partner of which is controlled by him; and 248,768 shares held by grantor retained annuity trusts of which he is a trustee.</w:t>
      </w:r>
    </w:p>
    <w:p>
      <w:pPr>
        <w:ind w:left="580" w:hanging="572"/>
        <w:spacing w:after="0"/>
        <w:tabs>
          <w:tab w:leader="none" w:pos="5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Includes 22,571 shares of Comcast Class A Special common stock owned by the children of an executive officer, other than those named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a review of filings with the SEC, Comcast has determined that each of the persons listed below is a beneficial holder of more than 5% of the outstanding shares of Comcast common stock as of July 31,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Name and Address of</w:t>
            </w:r>
          </w:p>
        </w:tc>
        <w:tc>
          <w:tcPr>
            <w:tcW w:w="2700" w:type="dxa"/>
            <w:vAlign w:val="bottom"/>
            <w:gridSpan w:val="2"/>
            <w:vMerge w:val="restart"/>
          </w:tcPr>
          <w:p>
            <w:pPr>
              <w:jc w:val="right"/>
              <w:ind w:right="870"/>
              <w:spacing w:after="0"/>
              <w:rPr>
                <w:sz w:val="20"/>
                <w:szCs w:val="20"/>
                <w:color w:val="auto"/>
              </w:rPr>
            </w:pPr>
            <w:r>
              <w:rPr>
                <w:rFonts w:ascii="Arial" w:cs="Arial" w:eastAsia="Arial" w:hAnsi="Arial"/>
                <w:sz w:val="14"/>
                <w:szCs w:val="14"/>
                <w:b w:val="1"/>
                <w:bCs w:val="1"/>
                <w:color w:val="auto"/>
                <w:w w:val="92"/>
              </w:rPr>
              <w:t>Amount Beneficially Owned</w:t>
            </w:r>
          </w:p>
        </w:tc>
        <w:tc>
          <w:tcPr>
            <w:tcW w:w="12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Beneficial Owner</w:t>
            </w:r>
          </w:p>
        </w:tc>
        <w:tc>
          <w:tcPr>
            <w:tcW w:w="27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Class A common</w:t>
            </w:r>
          </w:p>
        </w:tc>
        <w:tc>
          <w:tcPr>
            <w:tcW w:w="15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stock</w:t>
            </w:r>
          </w:p>
        </w:tc>
        <w:tc>
          <w:tcPr>
            <w:tcW w:w="11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BlackRock, Inc.</w:t>
            </w:r>
          </w:p>
        </w:tc>
        <w:tc>
          <w:tcPr>
            <w:tcW w:w="7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146,212,072</w:t>
            </w:r>
          </w:p>
        </w:tc>
        <w:tc>
          <w:tcPr>
            <w:tcW w:w="960" w:type="dxa"/>
            <w:vAlign w:val="bottom"/>
            <w:tcBorders>
              <w:top w:val="single" w:sz="8" w:color="CCEEFF"/>
            </w:tcBorders>
            <w:shd w:val="clear" w:color="auto" w:fill="CCEEFF"/>
          </w:tcPr>
          <w:p>
            <w:pPr>
              <w:jc w:val="right"/>
              <w:ind w:right="670"/>
              <w:spacing w:after="0" w:line="195" w:lineRule="exact"/>
              <w:rPr>
                <w:sz w:val="20"/>
                <w:szCs w:val="20"/>
                <w:color w:val="auto"/>
              </w:rPr>
            </w:pPr>
            <w:r>
              <w:rPr>
                <w:rFonts w:ascii="Arial" w:cs="Arial" w:eastAsia="Arial" w:hAnsi="Arial"/>
                <w:sz w:val="18"/>
                <w:szCs w:val="18"/>
                <w:color w:val="auto"/>
                <w:w w:val="81"/>
              </w:rPr>
              <w:t>(1)</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6.80</w:t>
            </w:r>
          </w:p>
        </w:tc>
        <w:tc>
          <w:tcPr>
            <w:tcW w:w="2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40 East 52nd Street</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New York, NY 10022</w:t>
            </w: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The Vanguard Group</w:t>
            </w:r>
          </w:p>
        </w:tc>
        <w:tc>
          <w:tcPr>
            <w:tcW w:w="2700" w:type="dxa"/>
            <w:vAlign w:val="bottom"/>
            <w:gridSpan w:val="2"/>
          </w:tcPr>
          <w:p>
            <w:pPr>
              <w:jc w:val="right"/>
              <w:ind w:right="670"/>
              <w:spacing w:after="0"/>
              <w:rPr>
                <w:sz w:val="20"/>
                <w:szCs w:val="20"/>
                <w:color w:val="auto"/>
              </w:rPr>
            </w:pPr>
            <w:r>
              <w:rPr>
                <w:rFonts w:ascii="Arial" w:cs="Arial" w:eastAsia="Arial" w:hAnsi="Arial"/>
                <w:sz w:val="18"/>
                <w:szCs w:val="18"/>
                <w:color w:val="auto"/>
              </w:rPr>
              <w:t>115,773,453(2)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100 Vanguard Blvd.</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Malvern, PA 19355</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w:t>
            </w:r>
          </w:p>
        </w:tc>
        <w:tc>
          <w:tcPr>
            <w:tcW w:w="3780" w:type="dxa"/>
            <w:vAlign w:val="bottom"/>
            <w:gridSpan w:val="3"/>
            <w:shd w:val="clear" w:color="auto" w:fill="CCEEFF"/>
          </w:tcPr>
          <w:p>
            <w:pPr>
              <w:ind w:left="1140"/>
              <w:spacing w:after="0" w:line="201" w:lineRule="exact"/>
              <w:rPr>
                <w:sz w:val="20"/>
                <w:szCs w:val="20"/>
                <w:color w:val="auto"/>
              </w:rPr>
            </w:pPr>
            <w:r>
              <w:rPr>
                <w:rFonts w:ascii="Arial" w:cs="Arial" w:eastAsia="Arial" w:hAnsi="Arial"/>
                <w:sz w:val="18"/>
                <w:szCs w:val="18"/>
                <w:color w:val="auto"/>
              </w:rPr>
              <w:t>Brian L. Roberts</w:t>
            </w:r>
          </w:p>
        </w:tc>
        <w:tc>
          <w:tcPr>
            <w:tcW w:w="2700" w:type="dxa"/>
            <w:vAlign w:val="bottom"/>
            <w:gridSpan w:val="2"/>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rPr>
              <w:t>9,444,375(3)</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One Comcast Center</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Philadelphia, PA</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19103</w:t>
            </w:r>
          </w:p>
        </w:tc>
        <w:tc>
          <w:tcPr>
            <w:tcW w:w="7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58"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4, 2014 made by BlackRock, Inc. setting forth information as of December 31, 2013.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2014 made by The Vanguard Group setting forth information as of December 31, 2013.</w:t>
      </w:r>
    </w:p>
    <w:p>
      <w:pPr>
        <w:jc w:val="both"/>
        <w:ind w:left="460" w:right="280" w:hanging="452"/>
        <w:spacing w:after="0" w:line="243" w:lineRule="auto"/>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two classes of the Comcast voting common stock, which percentage is generally non dilutable under the terms of Comcast’s articles.</w:t>
      </w:r>
    </w:p>
    <w:p>
      <w:pPr>
        <w:spacing w:after="0" w:line="2"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40"/>
          </w:cols>
          <w:pgMar w:left="240" w:top="459" w:right="3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COMCAST CAPITAL STOCK</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244 of this joint proxy statement/prospectus.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Comcast’s articles, as of August 29,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Common Stock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81" w:lineRule="exact"/>
        <w:rPr>
          <w:sz w:val="20"/>
          <w:szCs w:val="20"/>
          <w:color w:val="auto"/>
        </w:rPr>
      </w:pPr>
    </w:p>
    <w:p>
      <w:pPr>
        <w:ind w:right="160" w:firstLine="456"/>
        <w:spacing w:after="0" w:line="235" w:lineRule="auto"/>
        <w:rPr>
          <w:sz w:val="20"/>
          <w:szCs w:val="20"/>
          <w:color w:val="auto"/>
        </w:rPr>
      </w:pPr>
      <w:r>
        <w:rPr>
          <w:rFonts w:ascii="Arial" w:cs="Arial" w:eastAsia="Arial" w:hAnsi="Arial"/>
          <w:sz w:val="16"/>
          <w:szCs w:val="16"/>
          <w:color w:val="auto"/>
        </w:rPr>
        <w:t xml:space="preserve">As of August 29, 2014, on all matters submitted for a vote of holders of all outstanding shares of each class of Comcast’s voting stock, holders of shares of Comcast Class A common stock in the aggregate hold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of the aggregate voting power of the Comcast capital stock. As of August 29, 2014, holders of shares of Comcast Class B common stock have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2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93" w:lineRule="exact"/>
        <w:rPr>
          <w:sz w:val="20"/>
          <w:szCs w:val="20"/>
          <w:color w:val="auto"/>
        </w:rPr>
      </w:pPr>
    </w:p>
    <w:p>
      <w:pPr>
        <w:jc w:val="center"/>
        <w:ind w:left="580" w:right="120"/>
        <w:spacing w:after="0" w:line="449" w:lineRule="auto"/>
        <w:rPr>
          <w:sz w:val="20"/>
          <w:szCs w:val="20"/>
          <w:color w:val="auto"/>
        </w:rPr>
      </w:pPr>
      <w:r>
        <w:rPr>
          <w:rFonts w:ascii="Arial" w:cs="Arial" w:eastAsia="Arial" w:hAnsi="Arial"/>
          <w:sz w:val="18"/>
          <w:szCs w:val="18"/>
          <w:color w:val="auto"/>
        </w:rPr>
        <w:t>The transfer agent and registrar for Comcast Class A common stock and Comcast Class A Special common stock is Wells Fargo Shareowner Services. 219</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Approval Rights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Largest Shareholder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August 18, 2014, if Mr. Roberts were to convert the Comcast Class B common stock he beneficially owns into Comcast Class A common stock, Mr. Roberts would beneficially own 14,648,305 shares of Comcast Class A common stock, which is less than 1% of the Comcast Class A common stock that would be outstanding after the conversion.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Comcast Shares, Including Preferred Shares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holders of shares of Comcast Class A common stock, Comcast Class A Special common stock and Comcast Class B common stock do not have any preemptive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Shareholding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have credited to a book-entry account established for them by, and maintained at, the transfer agent and registrar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Comcast Class A common stock owned by them. Each holder of record receives an ownership statement from the transfer agent and registrar promptly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transfer to or from such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Meetings of Shareholders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Comcast Preferred Shares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8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Provisions for Shareholder Nominations and Share Proposals at Annual Meetings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Comcast’s by-laws establish an advance notice procedure for shareholders to nominate candidates for election as directors or to bring other business before annual meetings of shareholders of Comcast.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6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Rights to Purchase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Shareholder Action by Written Consent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w:t>
      </w:r>
    </w:p>
    <w:p>
      <w:pPr>
        <w:ind w:firstLine="8"/>
        <w:spacing w:after="0" w:line="277" w:lineRule="auto"/>
        <w:tabs>
          <w:tab w:leader="none" w:pos="21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Shareholder Approval of Business Combination and Other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Amendments to Comcast’s Articles and Comcast’s By-laws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Anti-Takeover Statutes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Comcast has opted out of Subchapters E, F, G, H, I and J and Section 2538 of Subchapter D of the PBCL. Subchapter E of Chapter 25 of the PBCL requires a person who acquires 20% or more of the shares of a publicly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244 of this joint proxy statement/prospectus.</w:t>
      </w:r>
    </w:p>
    <w:p>
      <w:pPr>
        <w:sectPr>
          <w:pgSz w:w="11900" w:h="16838" w:orient="portrait"/>
          <w:cols w:equalWidth="0" w:num="1">
            <w:col w:w="11400"/>
          </w:cols>
          <w:pgMar w:left="240" w:top="459" w:right="25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Differences in Stockholder Rights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32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authorized capital stock of Comcast consists of</w:t>
      </w:r>
    </w:p>
    <w:p>
      <w:pPr>
        <w:spacing w:after="0" w:line="44" w:lineRule="exact"/>
        <w:rPr>
          <w:sz w:val="20"/>
          <w:szCs w:val="20"/>
          <w:color w:val="auto"/>
        </w:rPr>
      </w:pPr>
    </w:p>
    <w:p>
      <w:pPr>
        <w:ind w:left="1" w:right="20" w:hanging="1"/>
        <w:spacing w:after="0" w:line="290" w:lineRule="auto"/>
        <w:tabs>
          <w:tab w:leader="none" w:pos="21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56" w:lineRule="exact"/>
        <w:rPr>
          <w:sz w:val="20"/>
          <w:szCs w:val="20"/>
          <w:color w:val="auto"/>
        </w:rPr>
      </w:pPr>
    </w:p>
    <w:p>
      <w:pPr>
        <w:ind w:left="1" w:right="100"/>
        <w:spacing w:after="0" w:line="270"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300" w:space="540"/>
            <w:col w:w="3700" w:space="139"/>
            <w:col w:w="3721"/>
          </w:cols>
          <w:pgMar w:left="240" w:top="459" w:right="259" w:bottom="1440" w:gutter="0" w:footer="0" w:header="0"/>
          <w:type w:val="continuous"/>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As of August 29, 2014, there were outstanding (i)</w:t>
      </w:r>
    </w:p>
    <w:p>
      <w:pPr>
        <w:spacing w:after="0" w:line="3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280,223,164 shares of TWC common stock and (ii)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 shares of TWC preferred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TWC board of directors currently has 12</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members.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charter and by-laws, the number of</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shall be as fixed from time to time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pursuant to the by-laws.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Delaware law permits classified boards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but TWC has not adopted one.</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TWC’s by-laws provide that directors are elected</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 the affirmative vote of a majority of the votes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cast in uncontested elections and a plurality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votes cast for contested elections of directors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at which a quorum is present.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August 29, 2014, there were outstanding (i) 2,151,236,818 shares of Comcast Class A common stock, (ii) 417,831,515 shares of Comcast Class A Special common stock, (iii) 9,444,375 shares of Comcast Class B common stock and (iv) no shares of preferred stock.</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Comcast board of directors currently has 12 members.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Comcast’s by-laws, the number of directors shall be as determined by the board of directors from time to time.</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Pennsylvania law permits classified boards of directors, but Comcast has not adopted one.</w:t>
      </w:r>
    </w:p>
    <w:p>
      <w:pPr>
        <w:spacing w:after="0" w:line="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540" w:space="14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TWC’s charter provides that directors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removed from office without cause by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affirmative vote of the holders of at least a majority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votes represented by the shares then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outstanding and entitled to vote in the election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directors. Any director may be removed for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cause as provided under Delaware law.</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Voting</w:t>
      </w:r>
      <w:r>
        <w:rPr>
          <w:sz w:val="20"/>
          <w:szCs w:val="20"/>
          <w:color w:val="auto"/>
        </w:rPr>
        <w:tab/>
      </w:r>
      <w:r>
        <w:rPr>
          <w:rFonts w:ascii="Arial" w:cs="Arial" w:eastAsia="Arial" w:hAnsi="Arial"/>
          <w:sz w:val="18"/>
          <w:szCs w:val="18"/>
          <w:color w:val="auto"/>
        </w:rPr>
        <w:t>Under TWC’s charter, each holder of TWC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common stock is entitled to one vote per share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ind w:left="1" w:right="160"/>
        <w:spacing w:after="0" w:line="279"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Under Comcast’s articles, (i) each share of Comcast Class A common stock shall entitle the holder thereof to the number of votes equal to a quotient the numerator of which is the excess of (x) the Total Number of Votes (as defined below) over</w:t>
      </w:r>
    </w:p>
    <w:p>
      <w:pPr>
        <w:spacing w:after="0" w:line="2" w:lineRule="exact"/>
        <w:rPr>
          <w:sz w:val="20"/>
          <w:szCs w:val="20"/>
          <w:color w:val="auto"/>
        </w:rPr>
      </w:pPr>
    </w:p>
    <w:p>
      <w:pPr>
        <w:ind w:left="1" w:right="20" w:hanging="1"/>
        <w:spacing w:after="0" w:line="268" w:lineRule="auto"/>
        <w:tabs>
          <w:tab w:leader="none" w:pos="25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19"/>
            <w:col w:w="3741"/>
          </w:cols>
          <w:pgMar w:left="240" w:top="460" w:right="23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B common stock shall entitle the holder thereof to</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fifteen (15) votes.</w:t>
      </w:r>
    </w:p>
    <w:p>
      <w:pPr>
        <w:spacing w:after="0" w:line="10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Holders of shares of Comcast Class A Special</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 shall not be entitled to vote for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election of directors or any other matter except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may be required by applicable law, in which case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each share of Comcast Class A Special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stock shall entitle the holder thereof to the same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votes to which each holder of Comcast</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A common stock is entitled for each of such</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holder’s shares of Comcast Class A common stock.</w:t>
      </w:r>
    </w:p>
    <w:p>
      <w:pPr>
        <w:spacing w:after="0" w:line="13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“Total Number of Votes” on any record date is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equal to a quotient the numerator of which is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Total Number of B Votes on such record date and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denominator of which is the B Voting</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Percentage (as defined below) on such record date.</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“Total Number of B Votes” on any record date is</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equal to the product of (i) 15 and (ii) the number of</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outstanding shares of Comcast Class B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on such record date. “Total Number of Other</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Votes” on any record date means the aggregate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capital stock of Comcast other than Comcast</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 A shareholders and Comcast Class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are entitled to cast on such record date</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in an election of directors. “B Voting Percentage”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 any record date means the portion (expressed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a percentage) of the total number of votes entitled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 be cast in an election of directors by the holders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 capital stock of Comcast to which all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Class B shareholders are entitled to cast on such</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record date in an election of directors.</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entitled to vote.</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1/3% of the combined voting power of the two</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classes 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7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TWC Stockholder Rights</w:t>
            </w:r>
          </w:p>
        </w:tc>
      </w:tr>
      <w:tr>
        <w:trPr>
          <w:trHeight w:val="830"/>
        </w:trPr>
        <w:tc>
          <w:tcPr>
            <w:tcW w:w="3840" w:type="dxa"/>
            <w:vAlign w:val="bottom"/>
          </w:tcPr>
          <w:p>
            <w:pPr>
              <w:spacing w:after="0"/>
              <w:rPr>
                <w:sz w:val="20"/>
                <w:szCs w:val="20"/>
                <w:color w:val="auto"/>
              </w:rPr>
            </w:pPr>
            <w:r>
              <w:rPr>
                <w:rFonts w:ascii="Arial" w:cs="Arial" w:eastAsia="Arial" w:hAnsi="Arial"/>
                <w:sz w:val="18"/>
                <w:szCs w:val="18"/>
                <w:b w:val="1"/>
                <w:bCs w:val="1"/>
                <w:color w:val="auto"/>
              </w:rPr>
              <w:t>Cumulative Voting</w:t>
            </w:r>
          </w:p>
        </w:tc>
        <w:tc>
          <w:tcPr>
            <w:tcW w:w="3740" w:type="dxa"/>
            <w:vAlign w:val="bottom"/>
          </w:tcPr>
          <w:p>
            <w:pPr>
              <w:spacing w:after="0"/>
              <w:rPr>
                <w:sz w:val="20"/>
                <w:szCs w:val="20"/>
                <w:color w:val="auto"/>
              </w:rPr>
            </w:pPr>
            <w:r>
              <w:rPr>
                <w:rFonts w:ascii="Arial" w:cs="Arial" w:eastAsia="Arial" w:hAnsi="Arial"/>
                <w:sz w:val="18"/>
                <w:szCs w:val="18"/>
                <w:color w:val="auto"/>
              </w:rPr>
              <w:t>Delaware law allows for cumulative voting, but</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7"/>
              </w:rPr>
              <w:t>TWC’s charter and by-laws do not provide for it.</w:t>
            </w:r>
          </w:p>
        </w:tc>
      </w:tr>
      <w:tr>
        <w:trPr>
          <w:trHeight w:val="310"/>
        </w:trPr>
        <w:tc>
          <w:tcPr>
            <w:tcW w:w="3840" w:type="dxa"/>
            <w:vAlign w:val="bottom"/>
          </w:tcPr>
          <w:p>
            <w:pPr>
              <w:spacing w:after="0"/>
              <w:rPr>
                <w:sz w:val="20"/>
                <w:szCs w:val="20"/>
                <w:color w:val="auto"/>
              </w:rPr>
            </w:pPr>
            <w:r>
              <w:rPr>
                <w:rFonts w:ascii="Arial" w:cs="Arial" w:eastAsia="Arial" w:hAnsi="Arial"/>
                <w:sz w:val="18"/>
                <w:szCs w:val="18"/>
                <w:b w:val="1"/>
                <w:bCs w:val="1"/>
                <w:color w:val="auto"/>
              </w:rPr>
              <w:t>Vacancies on the Board of Directors</w:t>
            </w:r>
          </w:p>
        </w:tc>
        <w:tc>
          <w:tcPr>
            <w:tcW w:w="3740" w:type="dxa"/>
            <w:vAlign w:val="bottom"/>
          </w:tcPr>
          <w:p>
            <w:pPr>
              <w:spacing w:after="0"/>
              <w:rPr>
                <w:sz w:val="20"/>
                <w:szCs w:val="20"/>
                <w:color w:val="auto"/>
              </w:rPr>
            </w:pPr>
            <w:r>
              <w:rPr>
                <w:rFonts w:ascii="Arial" w:cs="Arial" w:eastAsia="Arial" w:hAnsi="Arial"/>
                <w:sz w:val="18"/>
                <w:szCs w:val="18"/>
                <w:color w:val="auto"/>
                <w:w w:val="96"/>
              </w:rPr>
              <w:t>Under TWC’s charter, vacancies on the board of</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directors shall be filled by a majority vote of the</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remaining directors, even if less than a quorum, or</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by an affirmative vote of the sole remaining</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Special Meeting of the Board of Directors</w:t>
      </w:r>
      <w:r>
        <w:rPr>
          <w:sz w:val="20"/>
          <w:szCs w:val="20"/>
          <w:color w:val="auto"/>
        </w:rPr>
        <w:tab/>
      </w:r>
      <w:r>
        <w:rPr>
          <w:rFonts w:ascii="Arial" w:cs="Arial" w:eastAsia="Arial" w:hAnsi="Arial"/>
          <w:sz w:val="16"/>
          <w:szCs w:val="16"/>
          <w:color w:val="auto"/>
        </w:rPr>
        <w:t>Under TWC’s by-laws, special meetings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board of directors may be called by the Chairman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Board, the Chief Executive Officer or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of the existing 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Under TWC’s charter, any action required 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permitted to be taken by the stockholders of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effected at a duly called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of the stockholders of TWC, and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ability of the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Comcast voting common stock, which percentage is generally non dilutable under Comcast’s articles.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Pennsylvania law allows for cumulative voting, but Comcast’s articles expressly preclude it.</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80" w:space="100"/>
            <w:col w:w="3740"/>
          </w:cols>
          <w:pgMar w:left="240" w:top="459" w:right="23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to consent in writing to the taking of</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action is specifically denied.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57" w:lineRule="exact"/>
        <w:rPr>
          <w:sz w:val="20"/>
          <w:szCs w:val="20"/>
          <w:color w:val="auto"/>
        </w:rPr>
      </w:pPr>
    </w:p>
    <w:p>
      <w:pPr>
        <w:sectPr>
          <w:pgSz w:w="11900" w:h="16838" w:orient="portrait"/>
          <w:cols w:equalWidth="0" w:num="2">
            <w:col w:w="7420" w:space="26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Amendment to Certificate of Incorporation</w:t>
      </w:r>
      <w:r>
        <w:rPr>
          <w:sz w:val="20"/>
          <w:szCs w:val="20"/>
          <w:color w:val="auto"/>
        </w:rPr>
        <w:tab/>
      </w:r>
      <w:r>
        <w:rPr>
          <w:rFonts w:ascii="Arial" w:cs="Arial" w:eastAsia="Arial" w:hAnsi="Arial"/>
          <w:sz w:val="16"/>
          <w:szCs w:val="16"/>
          <w:color w:val="auto"/>
        </w:rPr>
        <w:t>Under Delaware law, an amendment to TWC’s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charter generally requires the approval of the TWC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a majority of the combined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power of the then outstanding shares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stock, voting together as a single class.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70" w:lineRule="exact"/>
        <w:rPr>
          <w:sz w:val="20"/>
          <w:szCs w:val="20"/>
          <w:color w:val="auto"/>
        </w:rPr>
      </w:pPr>
    </w:p>
    <w:p>
      <w:pPr>
        <w:sectPr>
          <w:pgSz w:w="11900" w:h="16838" w:orient="portrait"/>
          <w:cols w:equalWidth="0" w:num="2">
            <w:col w:w="7520" w:space="160"/>
            <w:col w:w="3740"/>
          </w:cols>
          <w:pgMar w:left="240" w:top="460" w:right="239" w:bottom="1440" w:gutter="0" w:footer="0" w:header="0"/>
          <w:type w:val="continuous"/>
        </w:sectPr>
      </w:pPr>
    </w:p>
    <w:p>
      <w:pPr>
        <w:ind w:left="3840"/>
        <w:spacing w:after="0"/>
        <w:rPr>
          <w:sz w:val="20"/>
          <w:szCs w:val="20"/>
          <w:color w:val="auto"/>
        </w:rPr>
      </w:pPr>
      <w:r>
        <w:rPr>
          <w:rFonts w:ascii="Arial" w:cs="Arial" w:eastAsia="Arial" w:hAnsi="Arial"/>
          <w:sz w:val="18"/>
          <w:szCs w:val="18"/>
          <w:color w:val="auto"/>
        </w:rPr>
        <w:t>Under TWC’s charter, in addition to any vote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required by law or under its charter, both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affirmative vote of a majority of the voting power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then outstanding shares of common stock</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held by persons other than Time Warner Inc. and its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affiliates (other than TWC and its subsidiaries)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approval of a majority of the total number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independent directors then serving on the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shall be required to amend, alter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repeal, or adopt any provisions inconsistent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Section 7 of Article IV (Mergers, Consolidations,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etc.), Section 6 of Article V (Independence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Article VI (Amendment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By-laws) or Article IX (Amendment to Certificate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Incorporation).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60" w:space="120"/>
            <w:col w:w="3740"/>
          </w:cols>
          <w:pgMar w:left="240" w:top="460" w:right="239" w:bottom="1440" w:gutter="0" w:footer="0" w:header="0"/>
          <w:type w:val="continuous"/>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respect to the Comcast capital stock, in which case</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there shall be required the approval of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B shareholders, voting separately as a class.</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Amendment of By-laws</w:t>
      </w:r>
      <w:r>
        <w:rPr>
          <w:sz w:val="20"/>
          <w:szCs w:val="20"/>
          <w:color w:val="auto"/>
        </w:rPr>
        <w:tab/>
      </w:r>
      <w:r>
        <w:rPr>
          <w:rFonts w:ascii="Arial" w:cs="Arial" w:eastAsia="Arial" w:hAnsi="Arial"/>
          <w:sz w:val="16"/>
          <w:szCs w:val="16"/>
          <w:color w:val="auto"/>
        </w:rPr>
        <w:t>Under TWC’s charter, the by-laws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by the TWC board of directors or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affirmative vote of holders of a majority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combined voting power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the voting stock, voting as a single class.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3" w:lineRule="exact"/>
        <w:rPr>
          <w:sz w:val="20"/>
          <w:szCs w:val="20"/>
          <w:color w:val="auto"/>
        </w:rPr>
      </w:pPr>
    </w:p>
    <w:p>
      <w:pPr>
        <w:sectPr>
          <w:pgSz w:w="11900" w:h="16838" w:orient="portrait"/>
          <w:cols w:equalWidth="0" w:num="2">
            <w:col w:w="7460" w:space="22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Special Stockholder Meetings</w:t>
      </w:r>
      <w:r>
        <w:rPr>
          <w:sz w:val="20"/>
          <w:szCs w:val="20"/>
          <w:color w:val="auto"/>
        </w:rPr>
        <w:tab/>
      </w:r>
      <w:r>
        <w:rPr>
          <w:rFonts w:ascii="Arial" w:cs="Arial" w:eastAsia="Arial" w:hAnsi="Arial"/>
          <w:sz w:val="16"/>
          <w:szCs w:val="16"/>
          <w:color w:val="auto"/>
        </w:rPr>
        <w:t>Under TWC’s by-laws, a special meeting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the Chief Executive Officer or a majority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Board. A special meeting of the stockholders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shall be called by the Secretary of TWC at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request or requests of one or more holders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record owning at least 25% of the voting power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outstanding capital stock of TWC entitled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 on the matter or matters to be brought before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proposed special meeting.</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Notice of Stockholder Meetings</w:t>
      </w:r>
      <w:r>
        <w:rPr>
          <w:sz w:val="20"/>
          <w:szCs w:val="20"/>
          <w:color w:val="auto"/>
        </w:rPr>
        <w:tab/>
      </w:r>
      <w:r>
        <w:rPr>
          <w:rFonts w:ascii="Arial" w:cs="Arial" w:eastAsia="Arial" w:hAnsi="Arial"/>
          <w:sz w:val="16"/>
          <w:szCs w:val="16"/>
          <w:color w:val="auto"/>
        </w:rPr>
        <w:t>Under TWC’s by-laws, written notice of each</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meeting, whether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given not less than 10 days nor more than</w:t>
      </w:r>
    </w:p>
    <w:p>
      <w:pPr>
        <w:spacing w:after="0" w:line="32"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60 days before the meeting.</w:t>
      </w:r>
    </w:p>
    <w:p>
      <w:pPr>
        <w:spacing w:after="0" w:line="14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Under Comcast’s articles and Comcast’s by-laws, a special meeting of the Comcast shareholders may be called by the board of directors. Special meetings of the shareholders may not be called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be timely, a stockholder’s notice must be delivered to TWC’s principal executive offices not less than 90 days nor more than 120 days prior to the first anniversary of the date of the immediately preceding annual meeting. However, in the event that the date of the annual meeting is more than 30 days earlier or more than 60 days later than such anniversary date, notice by the stockholder to be timely must be so delivered or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10th day following the day on which public announcement of the date of such meeting is first made.</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in proper written form, the notice must set forth as to each matter the stockholder proposes to bring before the meeting: (i) a description in reasonable detail of the business desired to be brought before the annual meeting and the reasons for conducting such business at the annual meeting,</w:t>
      </w:r>
    </w:p>
    <w:p>
      <w:pPr>
        <w:spacing w:after="0" w:line="5" w:lineRule="exact"/>
        <w:rPr>
          <w:sz w:val="20"/>
          <w:szCs w:val="20"/>
          <w:color w:val="auto"/>
        </w:rPr>
      </w:pPr>
    </w:p>
    <w:p>
      <w:pPr>
        <w:ind w:firstLine="4"/>
        <w:spacing w:after="0" w:line="269" w:lineRule="auto"/>
        <w:tabs>
          <w:tab w:leader="none" w:pos="26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name and address, as they appear on TWC’s books, of the stockholder proposing such business, of the beneficial owner, if any, on whose behalf the proposal is made as well as the name and address of any affiliate or associate of any such person (as such terms are defined in Rule 12b–2 promulgated under the Exchange</w:t>
      </w:r>
    </w:p>
    <w:p>
      <w:pPr>
        <w:spacing w:after="0" w:line="11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spacing w:after="0" w:line="276" w:lineRule="auto"/>
        <w:rPr>
          <w:sz w:val="20"/>
          <w:szCs w:val="20"/>
          <w:color w:val="auto"/>
        </w:rPr>
      </w:pPr>
      <w:r>
        <w:rPr>
          <w:rFonts w:ascii="Arial" w:cs="Arial" w:eastAsia="Arial" w:hAnsi="Arial"/>
          <w:sz w:val="17"/>
          <w:szCs w:val="17"/>
          <w:color w:val="auto"/>
        </w:rPr>
        <w:t>Comcast’s by-laws generally permit shareholders to bring business before an annual shareholders’ meeting if the shareholder intending to bring such business gives timely notice thereof in writing in proper form.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right="140"/>
        <w:spacing w:after="0" w:line="291" w:lineRule="auto"/>
        <w:rPr>
          <w:sz w:val="20"/>
          <w:szCs w:val="20"/>
          <w:color w:val="auto"/>
        </w:rPr>
      </w:pPr>
      <w:r>
        <w:rPr>
          <w:rFonts w:ascii="Arial" w:cs="Arial" w:eastAsia="Arial" w:hAnsi="Arial"/>
          <w:sz w:val="16"/>
          <w:szCs w:val="16"/>
          <w:color w:val="auto"/>
        </w:rPr>
        <w:t>To be timely, a shareholder’s notice must be delivered to Comcast’s principal executive offices</w:t>
      </w:r>
    </w:p>
    <w:p>
      <w:pPr>
        <w:ind w:left="1" w:right="140" w:hanging="1"/>
        <w:spacing w:after="0" w:line="281" w:lineRule="auto"/>
        <w:tabs>
          <w:tab w:leader="none" w:pos="21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w:t>
      </w:r>
    </w:p>
    <w:p>
      <w:pPr>
        <w:spacing w:after="0" w:line="4" w:lineRule="exact"/>
        <w:rPr>
          <w:rFonts w:ascii="Arial" w:cs="Arial" w:eastAsia="Arial" w:hAnsi="Arial"/>
          <w:sz w:val="16"/>
          <w:szCs w:val="16"/>
          <w:color w:val="auto"/>
        </w:rPr>
      </w:pPr>
    </w:p>
    <w:p>
      <w:pPr>
        <w:ind w:left="1" w:right="20"/>
        <w:spacing w:after="0" w:line="290" w:lineRule="auto"/>
        <w:rPr>
          <w:rFonts w:ascii="Arial" w:cs="Arial" w:eastAsia="Arial" w:hAnsi="Arial"/>
          <w:sz w:val="16"/>
          <w:szCs w:val="16"/>
          <w:color w:val="auto"/>
        </w:rPr>
      </w:pPr>
      <w:r>
        <w:rPr>
          <w:rFonts w:ascii="Arial" w:cs="Arial" w:eastAsia="Arial" w:hAnsi="Arial"/>
          <w:sz w:val="16"/>
          <w:szCs w:val="16"/>
          <w:color w:val="auto"/>
        </w:rPr>
        <w:t>30 days before or after the anniversary date of the immediately preceding annual meeting,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7"/>
          <w:szCs w:val="17"/>
          <w:color w:val="auto"/>
        </w:rPr>
        <w:t>To be in proper form, each notice must set forth:</w:t>
      </w:r>
    </w:p>
    <w:p>
      <w:pPr>
        <w:spacing w:after="0" w:line="35" w:lineRule="exact"/>
        <w:rPr>
          <w:sz w:val="20"/>
          <w:szCs w:val="20"/>
          <w:color w:val="auto"/>
        </w:rPr>
      </w:pPr>
    </w:p>
    <w:p>
      <w:pPr>
        <w:jc w:val="both"/>
        <w:ind w:left="1" w:right="260" w:hanging="1"/>
        <w:spacing w:after="0" w:line="281" w:lineRule="auto"/>
        <w:tabs>
          <w:tab w:leader="none" w:pos="21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name and address of the shareholder who intends to bring the business before the meeting,</w:t>
      </w:r>
    </w:p>
    <w:p>
      <w:pPr>
        <w:spacing w:after="0" w:line="1" w:lineRule="exact"/>
        <w:rPr>
          <w:rFonts w:ascii="Arial" w:cs="Arial" w:eastAsia="Arial" w:hAnsi="Arial"/>
          <w:sz w:val="16"/>
          <w:szCs w:val="16"/>
          <w:color w:val="auto"/>
        </w:rPr>
      </w:pPr>
    </w:p>
    <w:p>
      <w:pPr>
        <w:ind w:left="1" w:hanging="1"/>
        <w:spacing w:after="0" w:line="268" w:lineRule="auto"/>
        <w:tabs>
          <w:tab w:leader="none" w:pos="26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3">
            <w:col w:w="3640" w:space="200"/>
            <w:col w:w="3720" w:space="119"/>
            <w:col w:w="3741"/>
          </w:cols>
          <w:pgMar w:left="240" w:top="460" w:right="23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classes and number of shares of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are owned beneficially or of record by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(iv) a description in reasonable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detail of any derivative contracts,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or derivative transactions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to which each proposing person is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party and which gives such proposing person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economic equivalent of ownership of an amount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equity securities of any type or class of TWC, (v)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description in reasonable detail of any derivative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contracts, derivative securities or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transactions as of the date of such stockholder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(and if a record date for the meeting has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been established prior to the delivery of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which each proposing person is a party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reduces such proposing person’s economic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interest in any voting securities of any type or class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 which it beneficially owns, as well 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description in reasonable detail of any voting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of any type or class of TWC which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owns or has title to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which are subject to a repurchase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agreement or arrangement, (vi) a description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reasonable detail of any other proxy (including any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revocable proxy), contract, arrangement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understanding pursuant to which such proposing</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29845</wp:posOffset>
            </wp:positionV>
            <wp:extent cx="23755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2">
            <w:col w:w="7940" w:space="720"/>
            <w:col w:w="1780"/>
          </w:cols>
          <w:pgMar w:left="240" w:top="460" w:right="12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be timely, a stockholder’s notice must be delivered to TWC’s principal executive offices not less than 90 days nor more than 120</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Comcast’s by-laws generally permit shareholders to nominate persons for election as directors if the shareholder intending to make such nomination gives timely notice thereof in writing in proper form.</w:t>
      </w:r>
    </w:p>
    <w:p>
      <w:pPr>
        <w:spacing w:after="0" w:line="2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3">
            <w:col w:w="3120" w:space="720"/>
            <w:col w:w="3720" w:space="120"/>
            <w:col w:w="3740"/>
          </w:cols>
          <w:pgMar w:left="240" w:top="460" w:right="2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year’s annual meeting of stockholders. However, if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date of the annual meeting is more than 30 days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or more than 60 days later than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anniversary date, then to be timely such notice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day on which public announcement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such meeting is first made. With respect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election to be held at a special meeting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stockholders for the election of directors, not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and not later than the close of business 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later of the 60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public announcement is first made of the date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special meeting and of the nominees to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elected at such meeting.</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3840" w:firstLine="4"/>
        <w:spacing w:after="0" w:line="281" w:lineRule="auto"/>
        <w:tabs>
          <w:tab w:leader="none" w:pos="405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stockholder’s intent to nominate one or more persons for election as a director of TWC, the name of each such nominee proposed by the stockholder giving the notice, and the reason for making such nomination at the meeting, (ii) the proposal information, (iii) any material interest of the proposing person in such nomination, (iv) a description of all arrangements or understandings between or among any of (A) the proposing person,</w:t>
      </w:r>
    </w:p>
    <w:p>
      <w:pPr>
        <w:spacing w:after="0" w:line="6" w:lineRule="exact"/>
        <w:rPr>
          <w:rFonts w:ascii="Arial" w:cs="Arial" w:eastAsia="Arial" w:hAnsi="Arial"/>
          <w:sz w:val="16"/>
          <w:szCs w:val="16"/>
          <w:color w:val="auto"/>
        </w:rPr>
      </w:pPr>
    </w:p>
    <w:p>
      <w:pPr>
        <w:ind w:left="3840" w:right="100"/>
        <w:spacing w:after="0" w:line="252" w:lineRule="auto"/>
        <w:rPr>
          <w:rFonts w:ascii="Arial" w:cs="Arial" w:eastAsia="Arial" w:hAnsi="Arial"/>
          <w:sz w:val="16"/>
          <w:szCs w:val="16"/>
          <w:color w:val="auto"/>
        </w:rPr>
      </w:pPr>
      <w:r>
        <w:rPr>
          <w:rFonts w:ascii="Arial" w:cs="Arial" w:eastAsia="Arial" w:hAnsi="Arial"/>
          <w:sz w:val="18"/>
          <w:szCs w:val="18"/>
          <w:color w:val="auto"/>
        </w:rPr>
        <w:t>(B) each nominee and (C) any other person or persons (naming such person or persons) pursuant to which the nomination or nominations are to be made by a proposing person, (v) such other information regarding each proposing person and each nominee</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right="120" w:hanging="1"/>
        <w:spacing w:after="0" w:line="284" w:lineRule="auto"/>
        <w:tabs>
          <w:tab w:leader="none" w:pos="21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w:t>
      </w:r>
    </w:p>
    <w:p>
      <w:pPr>
        <w:spacing w:after="0" w:line="4" w:lineRule="exact"/>
        <w:rPr>
          <w:rFonts w:ascii="Arial" w:cs="Arial" w:eastAsia="Arial" w:hAnsi="Arial"/>
          <w:sz w:val="16"/>
          <w:szCs w:val="16"/>
          <w:color w:val="auto"/>
        </w:rPr>
      </w:pPr>
    </w:p>
    <w:p>
      <w:pPr>
        <w:ind w:left="1" w:right="60" w:hanging="1"/>
        <w:spacing w:after="0" w:line="286" w:lineRule="auto"/>
        <w:tabs>
          <w:tab w:leader="none" w:pos="26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1" w:hanging="1"/>
        <w:spacing w:after="0" w:line="284" w:lineRule="auto"/>
        <w:tabs>
          <w:tab w:leader="none" w:pos="21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60" w:space="119"/>
            <w:col w:w="3741"/>
          </w:cols>
          <w:pgMar w:left="240" w:top="459" w:right="23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proposing person as would be</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disclosed in a proxy statement 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other filings required to be made in connection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 the solicitations of proxies for election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or would be otherwise required, in each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case pursuant to Section 14 of the Exchange 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the rules and regulations promulgated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thereunder, (vi) the signed consent of each nominee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stockholder giving the notice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serve as a director of TWC if so elected and (vii)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representation by the stockholder as to whether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such stockholder intends to solicit proxies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support of such stockholder’s nominee(s).</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Limitation of Liability of Directors and Officers</w:t>
      </w:r>
      <w:r>
        <w:rPr>
          <w:sz w:val="20"/>
          <w:szCs w:val="20"/>
          <w:color w:val="auto"/>
        </w:rPr>
        <w:tab/>
      </w:r>
      <w:r>
        <w:rPr>
          <w:rFonts w:ascii="Arial" w:cs="Arial" w:eastAsia="Arial" w:hAnsi="Arial"/>
          <w:sz w:val="16"/>
          <w:szCs w:val="16"/>
          <w:color w:val="auto"/>
        </w:rPr>
        <w:t>TWC’s charter provides that to the fullest extent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permitted by Delaware law, as it may be amended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from time to time, TWC’s directors will not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personally liable to TWC or its stockholders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monetary damages for breach of fiduciary duty as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Indemnification of Directors, Officers,</w:t>
      </w:r>
      <w:r>
        <w:rPr>
          <w:sz w:val="20"/>
          <w:szCs w:val="20"/>
          <w:color w:val="auto"/>
        </w:rPr>
        <w:tab/>
      </w:r>
      <w:r>
        <w:rPr>
          <w:rFonts w:ascii="Arial" w:cs="Arial" w:eastAsia="Arial" w:hAnsi="Arial"/>
          <w:sz w:val="16"/>
          <w:szCs w:val="16"/>
          <w:color w:val="auto"/>
        </w:rPr>
        <w:t>Under TWC’s by-laws, to the fullest extent</w:t>
      </w:r>
    </w:p>
    <w:p>
      <w:pPr>
        <w:spacing w:after="0" w:line="2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Employees and Agents</w:t>
      </w:r>
      <w:r>
        <w:rPr>
          <w:sz w:val="20"/>
          <w:szCs w:val="20"/>
          <w:color w:val="auto"/>
        </w:rPr>
        <w:tab/>
      </w:r>
      <w:r>
        <w:rPr>
          <w:rFonts w:ascii="Arial" w:cs="Arial" w:eastAsia="Arial" w:hAnsi="Arial"/>
          <w:sz w:val="16"/>
          <w:szCs w:val="16"/>
          <w:color w:val="auto"/>
        </w:rPr>
        <w:t>permitted by Delaware or other applicable law,</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 will indemnify any person who is or was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 or officer of TWC and who is or was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involved in any proceeding by reason of the fact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that such person is or was a director, officer,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or agent of TWC or is or was serving at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request of TWC as a director, officer, employee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agent of another corporation or other entity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will advance expenses to such persons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20"/>
          </w:cols>
          <w:pgMar w:left="240" w:top="459" w:right="25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(within 20 days after the receipt of statements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indemnify a director or officer with respect to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officer unless the proceeding was commenced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either with the approval of the board of directors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after a change in control (as defined in Article VII</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TWC’s by-laws). Additionally, under TWC’s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laws, TWC will indemnify, under certain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circumstances, any person who is or was an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employee of TWC and who is or was involved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proceeding by reason of the fact that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is or was serving as a director of another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corporation and will also advance expenses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advancement provisions for indemnified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and officers.</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by-laws, TWC may also indemnify</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person who is or was an employee or agent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and may also advance expenses incurred by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such person consistent with the advancement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provisions for indemnified TWC directors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3229" w:lineRule="exact"/>
        <w:rPr>
          <w:sz w:val="20"/>
          <w:szCs w:val="20"/>
          <w:color w:val="auto"/>
        </w:rPr>
      </w:pPr>
    </w:p>
    <w:p>
      <w:pPr>
        <w:sectPr>
          <w:pgSz w:w="11900" w:h="16838" w:orient="portrait"/>
          <w:cols w:equalWidth="0" w:num="2">
            <w:col w:w="7560" w:space="1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Appraisal Rights or Dissenters’ Rights</w:t>
      </w:r>
      <w:r>
        <w:rPr>
          <w:sz w:val="20"/>
          <w:szCs w:val="20"/>
          <w:color w:val="auto"/>
        </w:rPr>
        <w:tab/>
      </w:r>
      <w:r>
        <w:rPr>
          <w:rFonts w:ascii="Arial" w:cs="Arial" w:eastAsia="Arial" w:hAnsi="Arial"/>
          <w:sz w:val="16"/>
          <w:szCs w:val="16"/>
          <w:color w:val="auto"/>
        </w:rPr>
        <w:t>Under Delaware law, unless the charter or by-laws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provide otherwise, stockholders of a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have the right to dissent from any plan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merger or consolidation to which the 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a party, and to demand payment for the fair value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their shares pursuant to, and in compliance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procedures set forth in, the “appraisal rights”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provisions of the DGCL, except in connection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merger or consolidation with respect to shares (i)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listed on a national securities exchange or held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record by more than 2,000 holders and (ii)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which, pursuant to the plan of merger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consolidation,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740"/>
          </w:cols>
          <w:pgMar w:left="240" w:top="460" w:right="239" w:bottom="1440" w:gutter="0" w:footer="0" w:header="0"/>
          <w:type w:val="continuous"/>
        </w:sectPr>
      </w:pPr>
    </w:p>
    <w:bookmarkStart w:id="248" w:name="page249"/>
    <w:bookmarkEnd w:id="24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-627380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Neither the TWC charter nor the TWC by-laws contain provisions in this regard.</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Comcast’s articles nor Comcast’s by-laws contain provisions in this regard.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680" w:space="160"/>
            <w:col w:w="3720"/>
          </w:cols>
          <w:pgMar w:left="240" w:top="460" w:right="259" w:bottom="1440" w:gutter="0" w:footer="0" w:header="0"/>
        </w:sectPr>
      </w:pPr>
    </w:p>
    <w:p>
      <w:pPr>
        <w:ind w:right="120"/>
        <w:spacing w:after="0" w:line="347" w:lineRule="auto"/>
        <w:rPr>
          <w:sz w:val="20"/>
          <w:szCs w:val="20"/>
          <w:color w:val="auto"/>
        </w:rPr>
      </w:pPr>
      <w:r>
        <w:rPr>
          <w:rFonts w:ascii="Arial" w:cs="Arial" w:eastAsia="Arial" w:hAnsi="Arial"/>
          <w:sz w:val="16"/>
          <w:szCs w:val="16"/>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720" w:space="120"/>
            <w:col w:w="3720"/>
          </w:cols>
          <w:pgMar w:left="240" w:top="460" w:right="259" w:bottom="1440" w:gutter="0" w:footer="0" w:header="0"/>
          <w:type w:val="continuous"/>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TWC’s charter provides that in addition to any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other vote required by law, the affirmative vote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holders of a majority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shares of common stock shall be required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(i) any merger, consolidation or business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combination of TWC with or into another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whether or not TWC is the surviving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or (ii) any sale of all or substantially all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assets of TWC, in each case only if such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action is otherwise required to be approved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of TWC under the DGCL or any 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law or stock exchange rule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State Anti-Takeover Provisions</w:t>
      </w:r>
      <w:r>
        <w:rPr>
          <w:sz w:val="20"/>
          <w:szCs w:val="20"/>
          <w:color w:val="auto"/>
        </w:rPr>
        <w:tab/>
      </w:r>
      <w:r>
        <w:rPr>
          <w:rFonts w:ascii="Arial" w:cs="Arial" w:eastAsia="Arial" w:hAnsi="Arial"/>
          <w:sz w:val="16"/>
          <w:szCs w:val="16"/>
          <w:color w:val="auto"/>
        </w:rPr>
        <w:t>TWC has expressly elected to be governed by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203 of the DGCL, which provides that, if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 acquires 15% or more of the stock of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Delaware corporation without the approval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of that corporation, thereby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becoming an “interested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affirmative vote of a majority of the votes cast in any required class vote. 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40"/>
          </w:cols>
          <w:pgMar w:left="240" w:top="460" w:right="239" w:bottom="1440" w:gutter="0" w:footer="0" w:header="0"/>
          <w:type w:val="continuous"/>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transactions, including mergers, with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for a period of three years unless one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following exceptions applies: (i) the board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approved the acquisition of stock or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 prior to the time that the person became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 interested stockholder, (ii) the person became 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 stockholder and an 85% owner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stock of the corporation in the transaction,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excluding voting stock owned by directors who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also officers and certain employee stock plans,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transaction is approved by the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by the affirmative vote of two-thirds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outstanding voting stock which is not owned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While Delaware law does not include a statutory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provision expressly validating stockholder rights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plans, such plans have generally been upheld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court decisions applying Delaware law.</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Pennsylvania law expressly authorizes a corporation to adopt a shareholder rights plan.</w:t>
      </w:r>
    </w:p>
    <w:p>
      <w:pPr>
        <w:spacing w:after="0" w:line="448" w:lineRule="exact"/>
        <w:rPr>
          <w:sz w:val="20"/>
          <w:szCs w:val="20"/>
          <w:color w:val="auto"/>
        </w:rPr>
      </w:pPr>
    </w:p>
    <w:p>
      <w:pPr>
        <w:sectPr>
          <w:pgSz w:w="11900" w:h="16838" w:orient="portrait"/>
          <w:cols w:equalWidth="0" w:num="2">
            <w:col w:w="7560" w:space="120"/>
            <w:col w:w="3720"/>
          </w:cols>
          <w:pgMar w:left="240" w:top="459" w:right="259" w:bottom="1440" w:gutter="0" w:footer="0" w:header="0"/>
          <w:type w:val="continuous"/>
        </w:sectPr>
      </w:pPr>
    </w:p>
    <w:p>
      <w:pPr>
        <w:ind w:left="3840"/>
        <w:spacing w:after="0"/>
        <w:rPr>
          <w:sz w:val="20"/>
          <w:szCs w:val="20"/>
          <w:color w:val="auto"/>
        </w:rPr>
      </w:pPr>
      <w:r>
        <w:rPr>
          <w:rFonts w:ascii="Arial" w:cs="Arial" w:eastAsia="Arial" w:hAnsi="Arial"/>
          <w:sz w:val="17"/>
          <w:szCs w:val="17"/>
          <w:color w:val="auto"/>
        </w:rPr>
        <w:t>TWC currently has no stockholder rights plan.</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While TWC has no present intention to adopt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 rights plan, the TWC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retains the right to adopt a new plan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future date.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400" w:space="280"/>
            <w:col w:w="3720"/>
          </w:cols>
          <w:pgMar w:left="240" w:top="459" w:right="25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3"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Preemptive Rights</w:t>
      </w:r>
      <w:r>
        <w:rPr>
          <w:sz w:val="20"/>
          <w:szCs w:val="20"/>
          <w:color w:val="auto"/>
        </w:rPr>
        <w:tab/>
      </w:r>
      <w:r>
        <w:rPr>
          <w:rFonts w:ascii="Arial" w:cs="Arial" w:eastAsia="Arial" w:hAnsi="Arial"/>
          <w:sz w:val="16"/>
          <w:szCs w:val="16"/>
          <w:color w:val="auto"/>
        </w:rPr>
        <w:t>Under Delaware law, stockholders of a corporation</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do not have preemptive rights to subscribe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additional issue of stock or to any security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convertible into such stock, unless such right is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expressly included in the charter.</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rights.</w:t>
      </w:r>
    </w:p>
    <w:p>
      <w:pPr>
        <w:spacing w:after="0" w:line="11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Duties of Directors</w:t>
      </w:r>
      <w:r>
        <w:rPr>
          <w:sz w:val="20"/>
          <w:szCs w:val="20"/>
          <w:color w:val="auto"/>
        </w:rPr>
        <w:tab/>
      </w:r>
      <w:r>
        <w:rPr>
          <w:rFonts w:ascii="Arial" w:cs="Arial" w:eastAsia="Arial" w:hAnsi="Arial"/>
          <w:sz w:val="16"/>
          <w:szCs w:val="16"/>
          <w:color w:val="auto"/>
        </w:rPr>
        <w:t>Under Delaware law, the standards of conduct for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have developed through Delaware court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case law. Generally, directors of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corporations are subject to a duty of loyalty and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duty of care. The duty of loyalty requires directors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refrain from self-dealing, and the duty of care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requires directors in managing the corporation’s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affairs to use that level of care which ordinarily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careful and prudent persons would use in similar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circumstances. When directors act consistently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their duties of loyalty and care, their decisions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generally are presumed to be valid under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Under Pennsylvania law, the standard of conduct for directors is governed by statute and case law. The PBCL requires that a director of a Pennsylvania corporation perform his or her duties:</w:t>
      </w:r>
    </w:p>
    <w:p>
      <w:pPr>
        <w:spacing w:after="0" w:line="2" w:lineRule="exact"/>
        <w:rPr>
          <w:sz w:val="20"/>
          <w:szCs w:val="20"/>
          <w:color w:val="auto"/>
        </w:rPr>
      </w:pPr>
    </w:p>
    <w:p>
      <w:pPr>
        <w:ind w:left="1" w:right="20" w:hanging="1"/>
        <w:spacing w:after="0" w:line="252" w:lineRule="auto"/>
        <w:tabs>
          <w:tab w:leader="none" w:pos="21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good faith, (ii) in a manner he or she reasonably believes to be in the best interests of the corporation, and (iii) with such care, including reasonable inquiry, skill and diligence, as a person of ordinary prudence would use under similar circumstances.</w:t>
      </w:r>
    </w:p>
    <w:p>
      <w:pPr>
        <w:spacing w:after="0" w:line="100" w:lineRule="exact"/>
        <w:rPr>
          <w:sz w:val="20"/>
          <w:szCs w:val="20"/>
          <w:color w:val="auto"/>
        </w:rPr>
      </w:pPr>
    </w:p>
    <w:p>
      <w:pPr>
        <w:ind w:left="1" w:right="20"/>
        <w:spacing w:after="0" w:line="28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40" w:space="139"/>
            <w:col w:w="3721"/>
          </w:cols>
          <w:pgMar w:left="240" w:top="460" w:right="259" w:bottom="1440" w:gutter="0" w:footer="0" w:header="0"/>
          <w:type w:val="continuous"/>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will hold an annual meeting in 2015 regardless of whether the merger has been completed.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All shareholder proposals should be directed to Arthur R. Block, Secretary, Comcast Corporation, One Comcast Center, Philadelphia, Pennsylvania 19103-2838.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w:t>
      </w:r>
    </w:p>
    <w:p>
      <w:pPr>
        <w:spacing w:after="0" w:line="121"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8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previously filed with the SEC:</w:t>
      </w:r>
    </w:p>
    <w:p>
      <w:pPr>
        <w:spacing w:after="0" w:line="131" w:lineRule="exact"/>
        <w:rPr>
          <w:sz w:val="20"/>
          <w:szCs w:val="20"/>
          <w:color w:val="auto"/>
        </w:rPr>
      </w:pPr>
    </w:p>
    <w:p>
      <w:pPr>
        <w:ind w:left="900" w:right="60" w:hanging="446"/>
        <w:spacing w:after="0" w:line="259"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February 14, 2014, February 25, 2014, April 28, 2014, May 22, 2014, July 1, 2014 and August 8, 2014 (other than the portions of those documents not deemed to be filed).</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Proxy Statement for the 2014 annual meeting, filed on April 11, 2014.</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Quarterly Reports on Form 10-Q for the quarter ended March 31, 2014, filed on April 22, 2014, and for the quarter ended June 30, 2014, filed on July 24,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Current Reports on Form 8-K filed on January 14, 2014, February 11, 2014, February 13, 2014, April 24, 2014, April 28, 2014, June 11, 2014 and June 13,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Proxy Statement for the 2014 annual meeting, filed on April 29, 2014.</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Quarterly Reports on Form 10-Q for the quarter ended March 31, 2014, filed on April 24, 2014, and for the quarter ended June 30, 2014, filed on July 31, 2014.</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(866) 281-2100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ir@twcable.com</w:t>
      </w:r>
    </w:p>
    <w:p>
      <w:pPr>
        <w:spacing w:after="0" w:line="207" w:lineRule="exact"/>
        <w:rPr>
          <w:sz w:val="20"/>
          <w:szCs w:val="20"/>
          <w:color w:val="auto"/>
        </w:rPr>
      </w:pPr>
    </w:p>
    <w:p>
      <w:pPr>
        <w:ind w:right="100" w:firstLine="456"/>
        <w:spacing w:after="0" w:line="386" w:lineRule="auto"/>
        <w:rPr>
          <w:sz w:val="20"/>
          <w:szCs w:val="20"/>
          <w:color w:val="auto"/>
        </w:rPr>
      </w:pPr>
      <w:r>
        <w:rPr>
          <w:rFonts w:ascii="Arial" w:cs="Arial" w:eastAsia="Arial" w:hAnsi="Arial"/>
          <w:sz w:val="15"/>
          <w:szCs w:val="15"/>
          <w:b w:val="1"/>
          <w:bCs w:val="1"/>
          <w:color w:val="auto"/>
        </w:rPr>
        <w:t>If you would like to request documents, please do so by no later than five business days before the date of the Comcast special meeting (which meeting is October 8, 2014) or five business days before the date of the TWC special meeting (which meeting is October 9, 2014), as applicable.</w:t>
      </w:r>
    </w:p>
    <w:p>
      <w:pPr>
        <w:spacing w:after="0" w:line="9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This joint proxy statement/prospectus is dated [ Ÿ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380"/>
          </w:cols>
          <w:pgMar w:left="240" w:top="460" w:right="2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ACQUISITION SUB, INC.</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p>
        </w:tc>
      </w:tr>
      <w:tr>
        <w:trPr>
          <w:trHeight w:val="392"/>
        </w:trPr>
        <w:tc>
          <w:tcPr>
            <w:tcW w:w="1820" w:type="dxa"/>
            <w:vAlign w:val="bottom"/>
          </w:tcPr>
          <w:p>
            <w:pPr>
              <w:spacing w:after="0"/>
              <w:rPr>
                <w:sz w:val="20"/>
                <w:szCs w:val="20"/>
                <w:color w:val="auto"/>
              </w:rPr>
            </w:pPr>
            <w:r>
              <w:rPr>
                <w:rFonts w:ascii="Arial" w:cs="Arial" w:eastAsia="Arial" w:hAnsi="Arial"/>
                <w:sz w:val="16"/>
                <w:szCs w:val="16"/>
                <w:color w:val="auto"/>
              </w:rPr>
              <w:t>ARTICLE 1 Definitions</w:t>
            </w:r>
          </w:p>
        </w:tc>
        <w:tc>
          <w:tcPr>
            <w:tcW w:w="9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1.01.</w:t>
            </w:r>
          </w:p>
        </w:tc>
        <w:tc>
          <w:tcPr>
            <w:tcW w:w="9120" w:type="dxa"/>
            <w:vAlign w:val="bottom"/>
          </w:tcPr>
          <w:p>
            <w:pPr>
              <w:ind w:left="220"/>
              <w:spacing w:after="0"/>
              <w:rPr>
                <w:sz w:val="20"/>
                <w:szCs w:val="20"/>
                <w:color w:val="auto"/>
              </w:rPr>
            </w:pPr>
            <w:r>
              <w:rPr>
                <w:rFonts w:ascii="Arial" w:cs="Arial" w:eastAsia="Arial" w:hAnsi="Arial"/>
                <w:sz w:val="16"/>
                <w:szCs w:val="16"/>
                <w:color w:val="auto"/>
              </w:rPr>
              <w:t>Definitions</w:t>
            </w: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1.02.</w:t>
            </w:r>
          </w:p>
        </w:tc>
        <w:tc>
          <w:tcPr>
            <w:tcW w:w="9120" w:type="dxa"/>
            <w:vAlign w:val="bottom"/>
          </w:tcPr>
          <w:p>
            <w:pPr>
              <w:ind w:left="220"/>
              <w:spacing w:after="0"/>
              <w:rPr>
                <w:sz w:val="20"/>
                <w:szCs w:val="20"/>
                <w:color w:val="auto"/>
              </w:rPr>
            </w:pPr>
            <w:r>
              <w:rPr>
                <w:rFonts w:ascii="Arial" w:cs="Arial" w:eastAsia="Arial" w:hAnsi="Arial"/>
                <w:sz w:val="16"/>
                <w:szCs w:val="16"/>
                <w:color w:val="auto"/>
              </w:rPr>
              <w:t>Other Definitional and Interpretative Provisions</w:t>
            </w: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ARTICLE 2 The Merger</w:t>
            </w:r>
          </w:p>
        </w:tc>
        <w:tc>
          <w:tcPr>
            <w:tcW w:w="91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2.01.</w:t>
            </w:r>
          </w:p>
        </w:tc>
        <w:tc>
          <w:tcPr>
            <w:tcW w:w="9120" w:type="dxa"/>
            <w:vAlign w:val="bottom"/>
          </w:tcPr>
          <w:p>
            <w:pPr>
              <w:ind w:left="220"/>
              <w:spacing w:after="0"/>
              <w:rPr>
                <w:sz w:val="20"/>
                <w:szCs w:val="20"/>
                <w:color w:val="auto"/>
              </w:rPr>
            </w:pPr>
            <w:r>
              <w:rPr>
                <w:rFonts w:ascii="Arial" w:cs="Arial" w:eastAsia="Arial" w:hAnsi="Arial"/>
                <w:sz w:val="16"/>
                <w:szCs w:val="16"/>
                <w:color w:val="auto"/>
              </w:rPr>
              <w:t>The Merger</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2.02.</w:t>
            </w:r>
          </w:p>
        </w:tc>
        <w:tc>
          <w:tcPr>
            <w:tcW w:w="9120" w:type="dxa"/>
            <w:vAlign w:val="bottom"/>
          </w:tcPr>
          <w:p>
            <w:pPr>
              <w:ind w:left="220"/>
              <w:spacing w:after="0"/>
              <w:rPr>
                <w:sz w:val="20"/>
                <w:szCs w:val="20"/>
                <w:color w:val="auto"/>
              </w:rPr>
            </w:pPr>
            <w:r>
              <w:rPr>
                <w:rFonts w:ascii="Arial" w:cs="Arial" w:eastAsia="Arial" w:hAnsi="Arial"/>
                <w:sz w:val="16"/>
                <w:szCs w:val="16"/>
                <w:color w:val="auto"/>
              </w:rPr>
              <w:t>Conversion of Shares</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2.03.</w:t>
            </w:r>
          </w:p>
        </w:tc>
        <w:tc>
          <w:tcPr>
            <w:tcW w:w="9120" w:type="dxa"/>
            <w:vAlign w:val="bottom"/>
          </w:tcPr>
          <w:p>
            <w:pPr>
              <w:ind w:left="220"/>
              <w:spacing w:after="0"/>
              <w:rPr>
                <w:sz w:val="20"/>
                <w:szCs w:val="20"/>
                <w:color w:val="auto"/>
              </w:rPr>
            </w:pPr>
            <w:r>
              <w:rPr>
                <w:rFonts w:ascii="Arial" w:cs="Arial" w:eastAsia="Arial" w:hAnsi="Arial"/>
                <w:sz w:val="16"/>
                <w:szCs w:val="16"/>
                <w:color w:val="auto"/>
              </w:rPr>
              <w:t>Surrender and Payment</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2.04.</w:t>
            </w:r>
          </w:p>
        </w:tc>
        <w:tc>
          <w:tcPr>
            <w:tcW w:w="9120" w:type="dxa"/>
            <w:vAlign w:val="bottom"/>
          </w:tcPr>
          <w:p>
            <w:pPr>
              <w:ind w:left="220"/>
              <w:spacing w:after="0"/>
              <w:rPr>
                <w:sz w:val="20"/>
                <w:szCs w:val="20"/>
                <w:color w:val="auto"/>
              </w:rPr>
            </w:pPr>
            <w:r>
              <w:rPr>
                <w:rFonts w:ascii="Arial" w:cs="Arial" w:eastAsia="Arial" w:hAnsi="Arial"/>
                <w:sz w:val="16"/>
                <w:szCs w:val="16"/>
                <w:color w:val="auto"/>
              </w:rPr>
              <w:t>Equity-Based Awards</w:t>
            </w:r>
          </w:p>
        </w:tc>
        <w:tc>
          <w:tcPr>
            <w:tcW w:w="480" w:type="dxa"/>
            <w:vAlign w:val="bottom"/>
          </w:tcPr>
          <w:p>
            <w:pPr>
              <w:spacing w:after="0"/>
              <w:rPr>
                <w:sz w:val="20"/>
                <w:szCs w:val="20"/>
                <w:color w:val="auto"/>
              </w:rPr>
            </w:pPr>
            <w:r>
              <w:rPr>
                <w:rFonts w:ascii="Arial" w:cs="Arial" w:eastAsia="Arial" w:hAnsi="Arial"/>
                <w:sz w:val="16"/>
                <w:szCs w:val="16"/>
                <w:color w:val="auto"/>
              </w:rPr>
              <w:t>A-10</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2.05.</w:t>
            </w:r>
          </w:p>
        </w:tc>
        <w:tc>
          <w:tcPr>
            <w:tcW w:w="9120" w:type="dxa"/>
            <w:vAlign w:val="bottom"/>
          </w:tcPr>
          <w:p>
            <w:pPr>
              <w:ind w:left="220"/>
              <w:spacing w:after="0"/>
              <w:rPr>
                <w:sz w:val="20"/>
                <w:szCs w:val="20"/>
                <w:color w:val="auto"/>
              </w:rPr>
            </w:pPr>
            <w:r>
              <w:rPr>
                <w:rFonts w:ascii="Arial" w:cs="Arial" w:eastAsia="Arial" w:hAnsi="Arial"/>
                <w:sz w:val="16"/>
                <w:szCs w:val="16"/>
                <w:color w:val="auto"/>
              </w:rPr>
              <w:t>Adjustments</w:t>
            </w:r>
          </w:p>
        </w:tc>
        <w:tc>
          <w:tcPr>
            <w:tcW w:w="480" w:type="dxa"/>
            <w:vAlign w:val="bottom"/>
          </w:tcPr>
          <w:p>
            <w:pPr>
              <w:spacing w:after="0"/>
              <w:rPr>
                <w:sz w:val="20"/>
                <w:szCs w:val="20"/>
                <w:color w:val="auto"/>
              </w:rPr>
            </w:pPr>
            <w:r>
              <w:rPr>
                <w:rFonts w:ascii="Arial" w:cs="Arial" w:eastAsia="Arial" w:hAnsi="Arial"/>
                <w:sz w:val="16"/>
                <w:szCs w:val="16"/>
                <w:color w:val="auto"/>
              </w:rPr>
              <w:t>A-11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2.06.</w:t>
            </w:r>
          </w:p>
        </w:tc>
        <w:tc>
          <w:tcPr>
            <w:tcW w:w="9120" w:type="dxa"/>
            <w:vAlign w:val="bottom"/>
          </w:tcPr>
          <w:p>
            <w:pPr>
              <w:ind w:left="220"/>
              <w:spacing w:after="0"/>
              <w:rPr>
                <w:sz w:val="20"/>
                <w:szCs w:val="20"/>
                <w:color w:val="auto"/>
              </w:rPr>
            </w:pPr>
            <w:r>
              <w:rPr>
                <w:rFonts w:ascii="Arial" w:cs="Arial" w:eastAsia="Arial" w:hAnsi="Arial"/>
                <w:sz w:val="16"/>
                <w:szCs w:val="16"/>
                <w:color w:val="auto"/>
              </w:rPr>
              <w:t>Fractional Shares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2.07.</w:t>
            </w:r>
          </w:p>
        </w:tc>
        <w:tc>
          <w:tcPr>
            <w:tcW w:w="9120" w:type="dxa"/>
            <w:vAlign w:val="bottom"/>
          </w:tcPr>
          <w:p>
            <w:pPr>
              <w:ind w:left="220"/>
              <w:spacing w:after="0"/>
              <w:rPr>
                <w:sz w:val="20"/>
                <w:szCs w:val="20"/>
                <w:color w:val="auto"/>
              </w:rPr>
            </w:pPr>
            <w:r>
              <w:rPr>
                <w:rFonts w:ascii="Arial" w:cs="Arial" w:eastAsia="Arial" w:hAnsi="Arial"/>
                <w:sz w:val="16"/>
                <w:szCs w:val="16"/>
                <w:color w:val="auto"/>
              </w:rPr>
              <w:t>Withholding</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2.08.</w:t>
            </w:r>
          </w:p>
        </w:tc>
        <w:tc>
          <w:tcPr>
            <w:tcW w:w="9120" w:type="dxa"/>
            <w:vAlign w:val="bottom"/>
          </w:tcPr>
          <w:p>
            <w:pPr>
              <w:ind w:left="220"/>
              <w:spacing w:after="0"/>
              <w:rPr>
                <w:sz w:val="20"/>
                <w:szCs w:val="20"/>
                <w:color w:val="auto"/>
              </w:rPr>
            </w:pPr>
            <w:r>
              <w:rPr>
                <w:rFonts w:ascii="Arial" w:cs="Arial" w:eastAsia="Arial" w:hAnsi="Arial"/>
                <w:sz w:val="16"/>
                <w:szCs w:val="16"/>
                <w:color w:val="auto"/>
              </w:rPr>
              <w:t>Lost Certificates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3 The Surviving 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3.01.</w:t>
            </w:r>
          </w:p>
        </w:tc>
        <w:tc>
          <w:tcPr>
            <w:tcW w:w="9120" w:type="dxa"/>
            <w:vAlign w:val="bottom"/>
          </w:tcPr>
          <w:p>
            <w:pPr>
              <w:ind w:left="220"/>
              <w:spacing w:after="0"/>
              <w:rPr>
                <w:sz w:val="20"/>
                <w:szCs w:val="20"/>
                <w:color w:val="auto"/>
              </w:rPr>
            </w:pPr>
            <w:r>
              <w:rPr>
                <w:rFonts w:ascii="Arial" w:cs="Arial" w:eastAsia="Arial" w:hAnsi="Arial"/>
                <w:sz w:val="16"/>
                <w:szCs w:val="16"/>
                <w:color w:val="auto"/>
              </w:rPr>
              <w:t>Certificate of Incorporation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3.02.</w:t>
            </w:r>
          </w:p>
        </w:tc>
        <w:tc>
          <w:tcPr>
            <w:tcW w:w="9120" w:type="dxa"/>
            <w:vAlign w:val="bottom"/>
          </w:tcPr>
          <w:p>
            <w:pPr>
              <w:ind w:left="220"/>
              <w:spacing w:after="0"/>
              <w:rPr>
                <w:sz w:val="20"/>
                <w:szCs w:val="20"/>
                <w:color w:val="auto"/>
              </w:rPr>
            </w:pPr>
            <w:r>
              <w:rPr>
                <w:rFonts w:ascii="Arial" w:cs="Arial" w:eastAsia="Arial" w:hAnsi="Arial"/>
                <w:sz w:val="16"/>
                <w:szCs w:val="16"/>
                <w:color w:val="auto"/>
              </w:rPr>
              <w:t>Bylaws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3.03.</w:t>
            </w:r>
          </w:p>
        </w:tc>
        <w:tc>
          <w:tcPr>
            <w:tcW w:w="9120" w:type="dxa"/>
            <w:vAlign w:val="bottom"/>
          </w:tcPr>
          <w:p>
            <w:pPr>
              <w:ind w:left="220"/>
              <w:spacing w:after="0"/>
              <w:rPr>
                <w:sz w:val="20"/>
                <w:szCs w:val="20"/>
                <w:color w:val="auto"/>
              </w:rPr>
            </w:pPr>
            <w:r>
              <w:rPr>
                <w:rFonts w:ascii="Arial" w:cs="Arial" w:eastAsia="Arial" w:hAnsi="Arial"/>
                <w:sz w:val="16"/>
                <w:szCs w:val="16"/>
                <w:color w:val="auto"/>
              </w:rPr>
              <w:t>Directors and Officers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4 Representations and Warranties of the Company</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4.01.</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Existence and Power</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4.02.</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4.03.</w:t>
            </w:r>
          </w:p>
        </w:tc>
        <w:tc>
          <w:tcPr>
            <w:tcW w:w="9120" w:type="dxa"/>
            <w:vAlign w:val="bottom"/>
          </w:tcPr>
          <w:p>
            <w:pPr>
              <w:ind w:left="220"/>
              <w:spacing w:after="0"/>
              <w:rPr>
                <w:sz w:val="20"/>
                <w:szCs w:val="20"/>
                <w:color w:val="auto"/>
              </w:rPr>
            </w:pPr>
            <w:r>
              <w:rPr>
                <w:rFonts w:ascii="Arial" w:cs="Arial" w:eastAsia="Arial" w:hAnsi="Arial"/>
                <w:sz w:val="16"/>
                <w:szCs w:val="16"/>
                <w:color w:val="auto"/>
              </w:rPr>
              <w:t>Governmental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4.04.</w:t>
            </w:r>
          </w:p>
        </w:tc>
        <w:tc>
          <w:tcPr>
            <w:tcW w:w="9120" w:type="dxa"/>
            <w:vAlign w:val="bottom"/>
          </w:tcPr>
          <w:p>
            <w:pPr>
              <w:ind w:left="220"/>
              <w:spacing w:after="0"/>
              <w:rPr>
                <w:sz w:val="20"/>
                <w:szCs w:val="20"/>
                <w:color w:val="auto"/>
              </w:rPr>
            </w:pPr>
            <w:r>
              <w:rPr>
                <w:rFonts w:ascii="Arial" w:cs="Arial" w:eastAsia="Arial" w:hAnsi="Arial"/>
                <w:sz w:val="16"/>
                <w:szCs w:val="16"/>
                <w:color w:val="auto"/>
              </w:rPr>
              <w:t>Non-contravention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4.05.</w:t>
            </w:r>
          </w:p>
        </w:tc>
        <w:tc>
          <w:tcPr>
            <w:tcW w:w="9120" w:type="dxa"/>
            <w:vAlign w:val="bottom"/>
          </w:tcPr>
          <w:p>
            <w:pPr>
              <w:ind w:left="220"/>
              <w:spacing w:after="0"/>
              <w:rPr>
                <w:sz w:val="20"/>
                <w:szCs w:val="20"/>
                <w:color w:val="auto"/>
              </w:rPr>
            </w:pPr>
            <w:r>
              <w:rPr>
                <w:rFonts w:ascii="Arial" w:cs="Arial" w:eastAsia="Arial" w:hAnsi="Arial"/>
                <w:sz w:val="16"/>
                <w:szCs w:val="16"/>
                <w:color w:val="auto"/>
              </w:rPr>
              <w:t>Capitalization</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4.06.</w:t>
            </w:r>
          </w:p>
        </w:tc>
        <w:tc>
          <w:tcPr>
            <w:tcW w:w="9120" w:type="dxa"/>
            <w:vAlign w:val="bottom"/>
          </w:tcPr>
          <w:p>
            <w:pPr>
              <w:ind w:left="220"/>
              <w:spacing w:after="0"/>
              <w:rPr>
                <w:sz w:val="20"/>
                <w:szCs w:val="20"/>
                <w:color w:val="auto"/>
              </w:rPr>
            </w:pPr>
            <w:r>
              <w:rPr>
                <w:rFonts w:ascii="Arial" w:cs="Arial" w:eastAsia="Arial" w:hAnsi="Arial"/>
                <w:sz w:val="16"/>
                <w:szCs w:val="16"/>
                <w:color w:val="auto"/>
              </w:rPr>
              <w:t>Subsidiaries</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4.07.</w:t>
            </w:r>
          </w:p>
        </w:tc>
        <w:tc>
          <w:tcPr>
            <w:tcW w:w="9120" w:type="dxa"/>
            <w:vAlign w:val="bottom"/>
          </w:tcPr>
          <w:p>
            <w:pPr>
              <w:ind w:left="220"/>
              <w:spacing w:after="0"/>
              <w:rPr>
                <w:sz w:val="20"/>
                <w:szCs w:val="20"/>
                <w:color w:val="auto"/>
              </w:rPr>
            </w:pPr>
            <w:r>
              <w:rPr>
                <w:rFonts w:ascii="Arial" w:cs="Arial" w:eastAsia="Arial" w:hAnsi="Arial"/>
                <w:sz w:val="16"/>
                <w:szCs w:val="16"/>
                <w:color w:val="auto"/>
              </w:rPr>
              <w:t>SEC Filings and the Sarbanes-Oxley Act</w:t>
            </w:r>
          </w:p>
        </w:tc>
        <w:tc>
          <w:tcPr>
            <w:tcW w:w="480" w:type="dxa"/>
            <w:vAlign w:val="bottom"/>
          </w:tcPr>
          <w:p>
            <w:pPr>
              <w:spacing w:after="0"/>
              <w:rPr>
                <w:sz w:val="20"/>
                <w:szCs w:val="20"/>
                <w:color w:val="auto"/>
              </w:rPr>
            </w:pPr>
            <w:r>
              <w:rPr>
                <w:rFonts w:ascii="Arial" w:cs="Arial" w:eastAsia="Arial" w:hAnsi="Arial"/>
                <w:sz w:val="16"/>
                <w:szCs w:val="16"/>
                <w:color w:val="auto"/>
              </w:rPr>
              <w:t>A-15</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4.08.</w:t>
            </w:r>
          </w:p>
        </w:tc>
        <w:tc>
          <w:tcPr>
            <w:tcW w:w="9120" w:type="dxa"/>
            <w:vAlign w:val="bottom"/>
          </w:tcPr>
          <w:p>
            <w:pPr>
              <w:ind w:left="220"/>
              <w:spacing w:after="0"/>
              <w:rPr>
                <w:sz w:val="20"/>
                <w:szCs w:val="20"/>
                <w:color w:val="auto"/>
              </w:rPr>
            </w:pPr>
            <w:r>
              <w:rPr>
                <w:rFonts w:ascii="Arial" w:cs="Arial" w:eastAsia="Arial" w:hAnsi="Arial"/>
                <w:sz w:val="16"/>
                <w:szCs w:val="16"/>
                <w:color w:val="auto"/>
              </w:rPr>
              <w:t>Financial Statements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4.09.</w:t>
            </w:r>
          </w:p>
        </w:tc>
        <w:tc>
          <w:tcPr>
            <w:tcW w:w="9120" w:type="dxa"/>
            <w:vAlign w:val="bottom"/>
          </w:tcPr>
          <w:p>
            <w:pPr>
              <w:ind w:left="220"/>
              <w:spacing w:after="0"/>
              <w:rPr>
                <w:sz w:val="20"/>
                <w:szCs w:val="20"/>
                <w:color w:val="auto"/>
              </w:rPr>
            </w:pPr>
            <w:r>
              <w:rPr>
                <w:rFonts w:ascii="Arial" w:cs="Arial" w:eastAsia="Arial" w:hAnsi="Arial"/>
                <w:sz w:val="16"/>
                <w:szCs w:val="16"/>
                <w:color w:val="auto"/>
              </w:rPr>
              <w:t>Disclosure Documents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4.10.</w:t>
            </w:r>
          </w:p>
        </w:tc>
        <w:tc>
          <w:tcPr>
            <w:tcW w:w="9120" w:type="dxa"/>
            <w:vAlign w:val="bottom"/>
          </w:tcPr>
          <w:p>
            <w:pPr>
              <w:ind w:left="220"/>
              <w:spacing w:after="0"/>
              <w:rPr>
                <w:sz w:val="20"/>
                <w:szCs w:val="20"/>
                <w:color w:val="auto"/>
              </w:rPr>
            </w:pPr>
            <w:r>
              <w:rPr>
                <w:rFonts w:ascii="Arial" w:cs="Arial" w:eastAsia="Arial" w:hAnsi="Arial"/>
                <w:sz w:val="16"/>
                <w:szCs w:val="16"/>
                <w:color w:val="auto"/>
              </w:rPr>
              <w:t>Absence of Certain Changes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4.11.</w:t>
            </w:r>
          </w:p>
        </w:tc>
        <w:tc>
          <w:tcPr>
            <w:tcW w:w="9120" w:type="dxa"/>
            <w:vAlign w:val="bottom"/>
          </w:tcPr>
          <w:p>
            <w:pPr>
              <w:ind w:left="220"/>
              <w:spacing w:after="0"/>
              <w:rPr>
                <w:sz w:val="20"/>
                <w:szCs w:val="20"/>
                <w:color w:val="auto"/>
              </w:rPr>
            </w:pPr>
            <w:r>
              <w:rPr>
                <w:rFonts w:ascii="Arial" w:cs="Arial" w:eastAsia="Arial" w:hAnsi="Arial"/>
                <w:sz w:val="16"/>
                <w:szCs w:val="16"/>
                <w:color w:val="auto"/>
              </w:rPr>
              <w:t>No Undisclosed Material Liabilities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4.12.</w:t>
            </w:r>
          </w:p>
        </w:tc>
        <w:tc>
          <w:tcPr>
            <w:tcW w:w="9120" w:type="dxa"/>
            <w:vAlign w:val="bottom"/>
          </w:tcPr>
          <w:p>
            <w:pPr>
              <w:ind w:left="22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4.13.</w:t>
            </w:r>
          </w:p>
        </w:tc>
        <w:tc>
          <w:tcPr>
            <w:tcW w:w="9120" w:type="dxa"/>
            <w:vAlign w:val="bottom"/>
          </w:tcPr>
          <w:p>
            <w:pPr>
              <w:ind w:left="220"/>
              <w:spacing w:after="0"/>
              <w:rPr>
                <w:sz w:val="20"/>
                <w:szCs w:val="20"/>
                <w:color w:val="auto"/>
              </w:rPr>
            </w:pPr>
            <w:r>
              <w:rPr>
                <w:rFonts w:ascii="Arial" w:cs="Arial" w:eastAsia="Arial" w:hAnsi="Arial"/>
                <w:sz w:val="16"/>
                <w:szCs w:val="16"/>
                <w:color w:val="auto"/>
              </w:rPr>
              <w:t>Litigation</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4.14.</w:t>
            </w:r>
          </w:p>
        </w:tc>
        <w:tc>
          <w:tcPr>
            <w:tcW w:w="9120" w:type="dxa"/>
            <w:vAlign w:val="bottom"/>
          </w:tcPr>
          <w:p>
            <w:pPr>
              <w:ind w:left="220"/>
              <w:spacing w:after="0"/>
              <w:rPr>
                <w:sz w:val="20"/>
                <w:szCs w:val="20"/>
                <w:color w:val="auto"/>
              </w:rPr>
            </w:pPr>
            <w:r>
              <w:rPr>
                <w:rFonts w:ascii="Arial" w:cs="Arial" w:eastAsia="Arial" w:hAnsi="Arial"/>
                <w:sz w:val="16"/>
                <w:szCs w:val="16"/>
                <w:color w:val="auto"/>
              </w:rPr>
              <w:t>Properties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4.15.</w:t>
            </w:r>
          </w:p>
        </w:tc>
        <w:tc>
          <w:tcPr>
            <w:tcW w:w="9120" w:type="dxa"/>
            <w:vAlign w:val="bottom"/>
          </w:tcPr>
          <w:p>
            <w:pPr>
              <w:ind w:left="220"/>
              <w:spacing w:after="0"/>
              <w:rPr>
                <w:sz w:val="20"/>
                <w:szCs w:val="20"/>
                <w:color w:val="auto"/>
              </w:rPr>
            </w:pPr>
            <w:r>
              <w:rPr>
                <w:rFonts w:ascii="Arial" w:cs="Arial" w:eastAsia="Arial" w:hAnsi="Arial"/>
                <w:sz w:val="16"/>
                <w:szCs w:val="16"/>
                <w:color w:val="auto"/>
              </w:rPr>
              <w:t>Intellectual Property</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4.16.</w:t>
            </w:r>
          </w:p>
        </w:tc>
        <w:tc>
          <w:tcPr>
            <w:tcW w:w="9120" w:type="dxa"/>
            <w:vAlign w:val="bottom"/>
          </w:tcPr>
          <w:p>
            <w:pPr>
              <w:ind w:left="220"/>
              <w:spacing w:after="0"/>
              <w:rPr>
                <w:sz w:val="20"/>
                <w:szCs w:val="20"/>
                <w:color w:val="auto"/>
              </w:rPr>
            </w:pPr>
            <w:r>
              <w:rPr>
                <w:rFonts w:ascii="Arial" w:cs="Arial" w:eastAsia="Arial" w:hAnsi="Arial"/>
                <w:sz w:val="16"/>
                <w:szCs w:val="16"/>
                <w:color w:val="auto"/>
              </w:rPr>
              <w:t>Taxes</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4.17.</w:t>
            </w:r>
          </w:p>
        </w:tc>
        <w:tc>
          <w:tcPr>
            <w:tcW w:w="9120" w:type="dxa"/>
            <w:vAlign w:val="bottom"/>
          </w:tcPr>
          <w:p>
            <w:pPr>
              <w:ind w:left="220"/>
              <w:spacing w:after="0"/>
              <w:rPr>
                <w:sz w:val="20"/>
                <w:szCs w:val="20"/>
                <w:color w:val="auto"/>
              </w:rPr>
            </w:pPr>
            <w:r>
              <w:rPr>
                <w:rFonts w:ascii="Arial" w:cs="Arial" w:eastAsia="Arial" w:hAnsi="Arial"/>
                <w:sz w:val="16"/>
                <w:szCs w:val="16"/>
                <w:color w:val="auto"/>
              </w:rPr>
              <w:t>Employees and Employee Benefit Plans</w:t>
            </w:r>
          </w:p>
        </w:tc>
        <w:tc>
          <w:tcPr>
            <w:tcW w:w="480" w:type="dxa"/>
            <w:vAlign w:val="bottom"/>
          </w:tcPr>
          <w:p>
            <w:pPr>
              <w:spacing w:after="0"/>
              <w:rPr>
                <w:sz w:val="20"/>
                <w:szCs w:val="20"/>
                <w:color w:val="auto"/>
              </w:rPr>
            </w:pPr>
            <w:r>
              <w:rPr>
                <w:rFonts w:ascii="Arial" w:cs="Arial" w:eastAsia="Arial" w:hAnsi="Arial"/>
                <w:sz w:val="16"/>
                <w:szCs w:val="16"/>
                <w:color w:val="auto"/>
              </w:rPr>
              <w:t>A-19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4.18.</w:t>
            </w:r>
          </w:p>
        </w:tc>
        <w:tc>
          <w:tcPr>
            <w:tcW w:w="9120" w:type="dxa"/>
            <w:vAlign w:val="bottom"/>
          </w:tcPr>
          <w:p>
            <w:pPr>
              <w:ind w:left="220"/>
              <w:spacing w:after="0"/>
              <w:rPr>
                <w:sz w:val="20"/>
                <w:szCs w:val="20"/>
                <w:color w:val="auto"/>
              </w:rPr>
            </w:pPr>
            <w:r>
              <w:rPr>
                <w:rFonts w:ascii="Arial" w:cs="Arial" w:eastAsia="Arial" w:hAnsi="Arial"/>
                <w:sz w:val="16"/>
                <w:szCs w:val="16"/>
                <w:color w:val="auto"/>
              </w:rPr>
              <w:t>Environmental Matters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4.19.</w:t>
            </w:r>
          </w:p>
        </w:tc>
        <w:tc>
          <w:tcPr>
            <w:tcW w:w="9120" w:type="dxa"/>
            <w:vAlign w:val="bottom"/>
          </w:tcPr>
          <w:p>
            <w:pPr>
              <w:ind w:left="220"/>
              <w:spacing w:after="0"/>
              <w:rPr>
                <w:sz w:val="20"/>
                <w:szCs w:val="20"/>
                <w:color w:val="auto"/>
              </w:rPr>
            </w:pPr>
            <w:r>
              <w:rPr>
                <w:rFonts w:ascii="Arial" w:cs="Arial" w:eastAsia="Arial" w:hAnsi="Arial"/>
                <w:sz w:val="16"/>
                <w:szCs w:val="16"/>
                <w:color w:val="auto"/>
              </w:rPr>
              <w:t>Material Contracts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4.20.</w:t>
            </w:r>
          </w:p>
        </w:tc>
        <w:tc>
          <w:tcPr>
            <w:tcW w:w="9120" w:type="dxa"/>
            <w:vAlign w:val="bottom"/>
          </w:tcPr>
          <w:p>
            <w:pPr>
              <w:ind w:left="220"/>
              <w:spacing w:after="0"/>
              <w:rPr>
                <w:sz w:val="20"/>
                <w:szCs w:val="20"/>
                <w:color w:val="auto"/>
              </w:rPr>
            </w:pPr>
            <w:r>
              <w:rPr>
                <w:rFonts w:ascii="Arial" w:cs="Arial" w:eastAsia="Arial" w:hAnsi="Arial"/>
                <w:sz w:val="16"/>
                <w:szCs w:val="16"/>
                <w:color w:val="auto"/>
              </w:rPr>
              <w:t>Cable System and Subscriber Information</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4.21.</w:t>
            </w:r>
          </w:p>
        </w:tc>
        <w:tc>
          <w:tcPr>
            <w:tcW w:w="9120" w:type="dxa"/>
            <w:vAlign w:val="bottom"/>
          </w:tcPr>
          <w:p>
            <w:pPr>
              <w:ind w:left="220"/>
              <w:spacing w:after="0"/>
              <w:rPr>
                <w:sz w:val="20"/>
                <w:szCs w:val="20"/>
                <w:color w:val="auto"/>
              </w:rPr>
            </w:pPr>
            <w:r>
              <w:rPr>
                <w:rFonts w:ascii="Arial" w:cs="Arial" w:eastAsia="Arial" w:hAnsi="Arial"/>
                <w:sz w:val="16"/>
                <w:szCs w:val="16"/>
                <w:color w:val="auto"/>
              </w:rPr>
              <w:t>Franchises</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Section 4.22.</w:t>
            </w:r>
          </w:p>
        </w:tc>
        <w:tc>
          <w:tcPr>
            <w:tcW w:w="9120" w:type="dxa"/>
            <w:vAlign w:val="bottom"/>
          </w:tcPr>
          <w:p>
            <w:pPr>
              <w:ind w:left="220"/>
              <w:spacing w:after="0"/>
              <w:rPr>
                <w:sz w:val="20"/>
                <w:szCs w:val="20"/>
                <w:color w:val="auto"/>
              </w:rPr>
            </w:pPr>
            <w:r>
              <w:rPr>
                <w:rFonts w:ascii="Arial" w:cs="Arial" w:eastAsia="Arial" w:hAnsi="Arial"/>
                <w:sz w:val="16"/>
                <w:szCs w:val="16"/>
                <w:color w:val="auto"/>
              </w:rPr>
              <w:t>Tax Treatment</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4.23.</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4.24.</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4.25.</w:t>
            </w:r>
          </w:p>
        </w:tc>
        <w:tc>
          <w:tcPr>
            <w:tcW w:w="7320" w:type="dxa"/>
            <w:vAlign w:val="bottom"/>
          </w:tcPr>
          <w:p>
            <w:pPr>
              <w:ind w:left="500"/>
              <w:spacing w:after="0"/>
              <w:rPr>
                <w:sz w:val="20"/>
                <w:szCs w:val="20"/>
                <w:color w:val="auto"/>
              </w:rPr>
            </w:pPr>
            <w:r>
              <w:rPr>
                <w:rFonts w:ascii="Arial" w:cs="Arial" w:eastAsia="Arial" w:hAnsi="Arial"/>
                <w:sz w:val="16"/>
                <w:szCs w:val="16"/>
                <w:color w:val="auto"/>
              </w:rPr>
              <w:t>Antitakeover Statutes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4.26.</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5 Representations and Warranties of Parent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5.01.</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Existence and Power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5.02.</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5.03.</w:t>
            </w:r>
          </w:p>
        </w:tc>
        <w:tc>
          <w:tcPr>
            <w:tcW w:w="7320" w:type="dxa"/>
            <w:vAlign w:val="bottom"/>
          </w:tcPr>
          <w:p>
            <w:pPr>
              <w:ind w:left="500"/>
              <w:spacing w:after="0"/>
              <w:rPr>
                <w:sz w:val="20"/>
                <w:szCs w:val="20"/>
                <w:color w:val="auto"/>
              </w:rPr>
            </w:pPr>
            <w:r>
              <w:rPr>
                <w:rFonts w:ascii="Arial" w:cs="Arial" w:eastAsia="Arial" w:hAnsi="Arial"/>
                <w:sz w:val="16"/>
                <w:szCs w:val="16"/>
                <w:color w:val="auto"/>
              </w:rPr>
              <w:t>Governmental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5.04.</w:t>
            </w:r>
          </w:p>
        </w:tc>
        <w:tc>
          <w:tcPr>
            <w:tcW w:w="7320" w:type="dxa"/>
            <w:vAlign w:val="bottom"/>
          </w:tcPr>
          <w:p>
            <w:pPr>
              <w:ind w:left="500"/>
              <w:spacing w:after="0"/>
              <w:rPr>
                <w:sz w:val="20"/>
                <w:szCs w:val="20"/>
                <w:color w:val="auto"/>
              </w:rPr>
            </w:pPr>
            <w:r>
              <w:rPr>
                <w:rFonts w:ascii="Arial" w:cs="Arial" w:eastAsia="Arial" w:hAnsi="Arial"/>
                <w:sz w:val="16"/>
                <w:szCs w:val="16"/>
                <w:color w:val="auto"/>
              </w:rPr>
              <w:t>Non-contravention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5.05.</w:t>
            </w:r>
          </w:p>
        </w:tc>
        <w:tc>
          <w:tcPr>
            <w:tcW w:w="7320" w:type="dxa"/>
            <w:vAlign w:val="bottom"/>
          </w:tcPr>
          <w:p>
            <w:pPr>
              <w:ind w:left="500"/>
              <w:spacing w:after="0"/>
              <w:rPr>
                <w:sz w:val="20"/>
                <w:szCs w:val="20"/>
                <w:color w:val="auto"/>
              </w:rPr>
            </w:pPr>
            <w:r>
              <w:rPr>
                <w:rFonts w:ascii="Arial" w:cs="Arial" w:eastAsia="Arial" w:hAnsi="Arial"/>
                <w:sz w:val="16"/>
                <w:szCs w:val="16"/>
                <w:color w:val="auto"/>
              </w:rPr>
              <w:t>Capitalization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5.06.</w:t>
            </w:r>
          </w:p>
        </w:tc>
        <w:tc>
          <w:tcPr>
            <w:tcW w:w="7320" w:type="dxa"/>
            <w:vAlign w:val="bottom"/>
          </w:tcPr>
          <w:p>
            <w:pPr>
              <w:ind w:left="500"/>
              <w:spacing w:after="0"/>
              <w:rPr>
                <w:sz w:val="20"/>
                <w:szCs w:val="20"/>
                <w:color w:val="auto"/>
              </w:rPr>
            </w:pPr>
            <w:r>
              <w:rPr>
                <w:rFonts w:ascii="Arial" w:cs="Arial" w:eastAsia="Arial" w:hAnsi="Arial"/>
                <w:sz w:val="16"/>
                <w:szCs w:val="16"/>
                <w:color w:val="auto"/>
              </w:rPr>
              <w:t>Subsidiaries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5.07.</w:t>
            </w:r>
          </w:p>
        </w:tc>
        <w:tc>
          <w:tcPr>
            <w:tcW w:w="7320" w:type="dxa"/>
            <w:vAlign w:val="bottom"/>
          </w:tcPr>
          <w:p>
            <w:pPr>
              <w:ind w:left="500"/>
              <w:spacing w:after="0"/>
              <w:rPr>
                <w:sz w:val="20"/>
                <w:szCs w:val="20"/>
                <w:color w:val="auto"/>
              </w:rPr>
            </w:pPr>
            <w:r>
              <w:rPr>
                <w:rFonts w:ascii="Arial" w:cs="Arial" w:eastAsia="Arial" w:hAnsi="Arial"/>
                <w:sz w:val="16"/>
                <w:szCs w:val="16"/>
                <w:color w:val="auto"/>
              </w:rPr>
              <w:t>SEC Filings and the Sarbanes-Oxley Act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5.08.</w:t>
            </w:r>
          </w:p>
        </w:tc>
        <w:tc>
          <w:tcPr>
            <w:tcW w:w="7320" w:type="dxa"/>
            <w:vAlign w:val="bottom"/>
          </w:tcPr>
          <w:p>
            <w:pPr>
              <w:ind w:left="500"/>
              <w:spacing w:after="0"/>
              <w:rPr>
                <w:sz w:val="20"/>
                <w:szCs w:val="20"/>
                <w:color w:val="auto"/>
              </w:rPr>
            </w:pPr>
            <w:r>
              <w:rPr>
                <w:rFonts w:ascii="Arial" w:cs="Arial" w:eastAsia="Arial" w:hAnsi="Arial"/>
                <w:sz w:val="16"/>
                <w:szCs w:val="16"/>
                <w:color w:val="auto"/>
              </w:rPr>
              <w:t>Financial Statements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5.09.</w:t>
            </w:r>
          </w:p>
        </w:tc>
        <w:tc>
          <w:tcPr>
            <w:tcW w:w="7320" w:type="dxa"/>
            <w:vAlign w:val="bottom"/>
          </w:tcPr>
          <w:p>
            <w:pPr>
              <w:ind w:left="500"/>
              <w:spacing w:after="0"/>
              <w:rPr>
                <w:sz w:val="20"/>
                <w:szCs w:val="20"/>
                <w:color w:val="auto"/>
              </w:rPr>
            </w:pPr>
            <w:r>
              <w:rPr>
                <w:rFonts w:ascii="Arial" w:cs="Arial" w:eastAsia="Arial" w:hAnsi="Arial"/>
                <w:sz w:val="16"/>
                <w:szCs w:val="16"/>
                <w:color w:val="auto"/>
              </w:rPr>
              <w:t>Disclosure Documents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5.10.</w:t>
            </w:r>
          </w:p>
        </w:tc>
        <w:tc>
          <w:tcPr>
            <w:tcW w:w="7320" w:type="dxa"/>
            <w:vAlign w:val="bottom"/>
          </w:tcPr>
          <w:p>
            <w:pPr>
              <w:ind w:left="500"/>
              <w:spacing w:after="0"/>
              <w:rPr>
                <w:sz w:val="20"/>
                <w:szCs w:val="20"/>
                <w:color w:val="auto"/>
              </w:rPr>
            </w:pPr>
            <w:r>
              <w:rPr>
                <w:rFonts w:ascii="Arial" w:cs="Arial" w:eastAsia="Arial" w:hAnsi="Arial"/>
                <w:sz w:val="16"/>
                <w:szCs w:val="16"/>
                <w:color w:val="auto"/>
              </w:rPr>
              <w:t>Absence of Certain Changes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5.11.</w:t>
            </w:r>
          </w:p>
        </w:tc>
        <w:tc>
          <w:tcPr>
            <w:tcW w:w="7320" w:type="dxa"/>
            <w:vAlign w:val="bottom"/>
          </w:tcPr>
          <w:p>
            <w:pPr>
              <w:ind w:left="500"/>
              <w:spacing w:after="0"/>
              <w:rPr>
                <w:sz w:val="20"/>
                <w:szCs w:val="20"/>
                <w:color w:val="auto"/>
              </w:rPr>
            </w:pPr>
            <w:r>
              <w:rPr>
                <w:rFonts w:ascii="Arial" w:cs="Arial" w:eastAsia="Arial" w:hAnsi="Arial"/>
                <w:sz w:val="16"/>
                <w:szCs w:val="16"/>
                <w:color w:val="auto"/>
              </w:rPr>
              <w:t>No Undisclosed Material Liabilities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5.12.</w:t>
            </w:r>
          </w:p>
        </w:tc>
        <w:tc>
          <w:tcPr>
            <w:tcW w:w="7320" w:type="dxa"/>
            <w:vAlign w:val="bottom"/>
          </w:tcPr>
          <w:p>
            <w:pPr>
              <w:ind w:left="50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5.13.</w:t>
            </w:r>
          </w:p>
        </w:tc>
        <w:tc>
          <w:tcPr>
            <w:tcW w:w="7320" w:type="dxa"/>
            <w:vAlign w:val="bottom"/>
          </w:tcPr>
          <w:p>
            <w:pPr>
              <w:ind w:left="500"/>
              <w:spacing w:after="0"/>
              <w:rPr>
                <w:sz w:val="20"/>
                <w:szCs w:val="20"/>
                <w:color w:val="auto"/>
              </w:rPr>
            </w:pPr>
            <w:r>
              <w:rPr>
                <w:rFonts w:ascii="Arial" w:cs="Arial" w:eastAsia="Arial" w:hAnsi="Arial"/>
                <w:sz w:val="16"/>
                <w:szCs w:val="16"/>
                <w:color w:val="auto"/>
              </w:rPr>
              <w:t>Litigation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5.14.</w:t>
            </w:r>
          </w:p>
        </w:tc>
        <w:tc>
          <w:tcPr>
            <w:tcW w:w="7320" w:type="dxa"/>
            <w:vAlign w:val="bottom"/>
          </w:tcPr>
          <w:p>
            <w:pPr>
              <w:ind w:left="500"/>
              <w:spacing w:after="0"/>
              <w:rPr>
                <w:sz w:val="20"/>
                <w:szCs w:val="20"/>
                <w:color w:val="auto"/>
              </w:rPr>
            </w:pPr>
            <w:r>
              <w:rPr>
                <w:rFonts w:ascii="Arial" w:cs="Arial" w:eastAsia="Arial" w:hAnsi="Arial"/>
                <w:sz w:val="16"/>
                <w:szCs w:val="16"/>
                <w:color w:val="auto"/>
              </w:rPr>
              <w:t>Taxes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5.15.</w:t>
            </w:r>
          </w:p>
        </w:tc>
        <w:tc>
          <w:tcPr>
            <w:tcW w:w="7320" w:type="dxa"/>
            <w:vAlign w:val="bottom"/>
          </w:tcPr>
          <w:p>
            <w:pPr>
              <w:ind w:left="500"/>
              <w:spacing w:after="0"/>
              <w:rPr>
                <w:sz w:val="20"/>
                <w:szCs w:val="20"/>
                <w:color w:val="auto"/>
              </w:rPr>
            </w:pPr>
            <w:r>
              <w:rPr>
                <w:rFonts w:ascii="Arial" w:cs="Arial" w:eastAsia="Arial" w:hAnsi="Arial"/>
                <w:sz w:val="16"/>
                <w:szCs w:val="16"/>
                <w:color w:val="auto"/>
              </w:rPr>
              <w:t>Franchises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5.16.</w:t>
            </w:r>
          </w:p>
        </w:tc>
        <w:tc>
          <w:tcPr>
            <w:tcW w:w="7320" w:type="dxa"/>
            <w:vAlign w:val="bottom"/>
          </w:tcPr>
          <w:p>
            <w:pPr>
              <w:ind w:left="500"/>
              <w:spacing w:after="0"/>
              <w:rPr>
                <w:sz w:val="20"/>
                <w:szCs w:val="20"/>
                <w:color w:val="auto"/>
              </w:rPr>
            </w:pPr>
            <w:r>
              <w:rPr>
                <w:rFonts w:ascii="Arial" w:cs="Arial" w:eastAsia="Arial" w:hAnsi="Arial"/>
                <w:sz w:val="16"/>
                <w:szCs w:val="16"/>
                <w:color w:val="auto"/>
              </w:rPr>
              <w:t>Tax Treatment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5.17.</w:t>
            </w:r>
          </w:p>
        </w:tc>
        <w:tc>
          <w:tcPr>
            <w:tcW w:w="7320" w:type="dxa"/>
            <w:vAlign w:val="bottom"/>
          </w:tcPr>
          <w:p>
            <w:pPr>
              <w:ind w:left="500"/>
              <w:spacing w:after="0"/>
              <w:rPr>
                <w:sz w:val="20"/>
                <w:szCs w:val="20"/>
                <w:color w:val="auto"/>
              </w:rPr>
            </w:pPr>
            <w:r>
              <w:rPr>
                <w:rFonts w:ascii="Arial" w:cs="Arial" w:eastAsia="Arial" w:hAnsi="Arial"/>
                <w:sz w:val="16"/>
                <w:szCs w:val="16"/>
                <w:color w:val="auto"/>
              </w:rPr>
              <w:t>NBCUniversal Agreement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5.18.</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5.19.</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5.20.</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6 Covenants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6.02.</w:t>
            </w:r>
          </w:p>
        </w:tc>
        <w:tc>
          <w:tcPr>
            <w:tcW w:w="7320" w:type="dxa"/>
            <w:vAlign w:val="bottom"/>
          </w:tcPr>
          <w:p>
            <w:pPr>
              <w:ind w:left="500"/>
              <w:spacing w:after="0"/>
              <w:rPr>
                <w:sz w:val="20"/>
                <w:szCs w:val="20"/>
                <w:color w:val="auto"/>
              </w:rPr>
            </w:pPr>
            <w:r>
              <w:rPr>
                <w:rFonts w:ascii="Arial" w:cs="Arial" w:eastAsia="Arial" w:hAnsi="Arial"/>
                <w:sz w:val="16"/>
                <w:szCs w:val="16"/>
                <w:color w:val="auto"/>
              </w:rPr>
              <w:t>Company Stockholder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6.03.</w:t>
            </w:r>
          </w:p>
        </w:tc>
        <w:tc>
          <w:tcPr>
            <w:tcW w:w="7320" w:type="dxa"/>
            <w:vAlign w:val="bottom"/>
          </w:tcPr>
          <w:p>
            <w:pPr>
              <w:ind w:left="500"/>
              <w:spacing w:after="0"/>
              <w:rPr>
                <w:sz w:val="20"/>
                <w:szCs w:val="20"/>
                <w:color w:val="auto"/>
              </w:rPr>
            </w:pPr>
            <w:r>
              <w:rPr>
                <w:rFonts w:ascii="Arial" w:cs="Arial" w:eastAsia="Arial" w:hAnsi="Arial"/>
                <w:sz w:val="16"/>
                <w:szCs w:val="16"/>
                <w:color w:val="auto"/>
              </w:rPr>
              <w:t>No Solicitation; Other Offers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6.04.</w:t>
            </w:r>
          </w:p>
        </w:tc>
        <w:tc>
          <w:tcPr>
            <w:tcW w:w="7320" w:type="dxa"/>
            <w:vAlign w:val="bottom"/>
          </w:tcPr>
          <w:p>
            <w:pPr>
              <w:ind w:left="500"/>
              <w:spacing w:after="0"/>
              <w:rPr>
                <w:sz w:val="20"/>
                <w:szCs w:val="20"/>
                <w:color w:val="auto"/>
              </w:rPr>
            </w:pPr>
            <w:r>
              <w:rPr>
                <w:rFonts w:ascii="Arial" w:cs="Arial" w:eastAsia="Arial" w:hAnsi="Arial"/>
                <w:sz w:val="16"/>
                <w:szCs w:val="16"/>
                <w:color w:val="auto"/>
              </w:rPr>
              <w:t>Tax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6.05.</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7 Covenants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7.02.</w:t>
            </w:r>
          </w:p>
        </w:tc>
        <w:tc>
          <w:tcPr>
            <w:tcW w:w="7320" w:type="dxa"/>
            <w:vAlign w:val="bottom"/>
          </w:tcPr>
          <w:p>
            <w:pPr>
              <w:ind w:left="500"/>
              <w:spacing w:after="0"/>
              <w:rPr>
                <w:sz w:val="20"/>
                <w:szCs w:val="20"/>
                <w:color w:val="auto"/>
              </w:rPr>
            </w:pPr>
            <w:r>
              <w:rPr>
                <w:rFonts w:ascii="Arial" w:cs="Arial" w:eastAsia="Arial" w:hAnsi="Arial"/>
                <w:sz w:val="16"/>
                <w:szCs w:val="16"/>
                <w:color w:val="auto"/>
              </w:rPr>
              <w:t>Obligations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7.03.</w:t>
            </w:r>
          </w:p>
        </w:tc>
        <w:tc>
          <w:tcPr>
            <w:tcW w:w="7320" w:type="dxa"/>
            <w:vAlign w:val="bottom"/>
          </w:tcPr>
          <w:p>
            <w:pPr>
              <w:ind w:left="500"/>
              <w:spacing w:after="0"/>
              <w:rPr>
                <w:sz w:val="20"/>
                <w:szCs w:val="20"/>
                <w:color w:val="auto"/>
              </w:rPr>
            </w:pPr>
            <w:r>
              <w:rPr>
                <w:rFonts w:ascii="Arial" w:cs="Arial" w:eastAsia="Arial" w:hAnsi="Arial"/>
                <w:sz w:val="16"/>
                <w:szCs w:val="16"/>
                <w:color w:val="auto"/>
              </w:rPr>
              <w:t>Parent Shareholder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7.04.</w:t>
            </w:r>
          </w:p>
        </w:tc>
        <w:tc>
          <w:tcPr>
            <w:tcW w:w="7320" w:type="dxa"/>
            <w:vAlign w:val="bottom"/>
          </w:tcPr>
          <w:p>
            <w:pPr>
              <w:ind w:left="500"/>
              <w:spacing w:after="0"/>
              <w:rPr>
                <w:sz w:val="20"/>
                <w:szCs w:val="20"/>
                <w:color w:val="auto"/>
              </w:rPr>
            </w:pPr>
            <w:r>
              <w:rPr>
                <w:rFonts w:ascii="Arial" w:cs="Arial" w:eastAsia="Arial" w:hAnsi="Arial"/>
                <w:sz w:val="16"/>
                <w:szCs w:val="16"/>
                <w:color w:val="auto"/>
              </w:rPr>
              <w:t>Certain Prohibitions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7.05.</w:t>
            </w:r>
          </w:p>
        </w:tc>
        <w:tc>
          <w:tcPr>
            <w:tcW w:w="7320" w:type="dxa"/>
            <w:vAlign w:val="bottom"/>
          </w:tcPr>
          <w:p>
            <w:pPr>
              <w:ind w:left="500"/>
              <w:spacing w:after="0"/>
              <w:rPr>
                <w:sz w:val="20"/>
                <w:szCs w:val="20"/>
                <w:color w:val="auto"/>
              </w:rPr>
            </w:pPr>
            <w:r>
              <w:rPr>
                <w:rFonts w:ascii="Arial" w:cs="Arial" w:eastAsia="Arial" w:hAnsi="Arial"/>
                <w:sz w:val="16"/>
                <w:szCs w:val="16"/>
                <w:color w:val="auto"/>
              </w:rPr>
              <w:t>Approval by Sole Stockholder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7.06.</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7.07.</w:t>
            </w:r>
          </w:p>
        </w:tc>
        <w:tc>
          <w:tcPr>
            <w:tcW w:w="7320" w:type="dxa"/>
            <w:vAlign w:val="bottom"/>
          </w:tcPr>
          <w:p>
            <w:pPr>
              <w:ind w:left="500"/>
              <w:spacing w:after="0"/>
              <w:rPr>
                <w:sz w:val="20"/>
                <w:szCs w:val="20"/>
                <w:color w:val="auto"/>
              </w:rPr>
            </w:pPr>
            <w:r>
              <w:rPr>
                <w:rFonts w:ascii="Arial" w:cs="Arial" w:eastAsia="Arial" w:hAnsi="Arial"/>
                <w:sz w:val="16"/>
                <w:szCs w:val="16"/>
                <w:color w:val="auto"/>
              </w:rPr>
              <w:t>Director and Officer Indemnification</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7.08.</w:t>
            </w:r>
          </w:p>
        </w:tc>
        <w:tc>
          <w:tcPr>
            <w:tcW w:w="7320" w:type="dxa"/>
            <w:vAlign w:val="bottom"/>
          </w:tcPr>
          <w:p>
            <w:pPr>
              <w:ind w:left="500"/>
              <w:spacing w:after="0"/>
              <w:rPr>
                <w:sz w:val="20"/>
                <w:szCs w:val="20"/>
                <w:color w:val="auto"/>
              </w:rPr>
            </w:pPr>
            <w:r>
              <w:rPr>
                <w:rFonts w:ascii="Arial" w:cs="Arial" w:eastAsia="Arial" w:hAnsi="Arial"/>
                <w:sz w:val="16"/>
                <w:szCs w:val="16"/>
                <w:color w:val="auto"/>
              </w:rPr>
              <w:t>Stock Exchange Listing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Section 7.09.</w:t>
            </w:r>
          </w:p>
        </w:tc>
        <w:tc>
          <w:tcPr>
            <w:tcW w:w="7320" w:type="dxa"/>
            <w:vAlign w:val="bottom"/>
          </w:tcPr>
          <w:p>
            <w:pPr>
              <w:ind w:left="500"/>
              <w:spacing w:after="0"/>
              <w:rPr>
                <w:sz w:val="20"/>
                <w:szCs w:val="20"/>
                <w:color w:val="auto"/>
              </w:rPr>
            </w:pPr>
            <w:r>
              <w:rPr>
                <w:rFonts w:ascii="Arial" w:cs="Arial" w:eastAsia="Arial" w:hAnsi="Arial"/>
                <w:sz w:val="16"/>
                <w:szCs w:val="16"/>
                <w:color w:val="auto"/>
              </w:rPr>
              <w:t>Employee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60"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8 Covenants of Parent and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8.01.</w:t>
            </w:r>
          </w:p>
        </w:tc>
        <w:tc>
          <w:tcPr>
            <w:tcW w:w="6600" w:type="dxa"/>
            <w:vAlign w:val="bottom"/>
          </w:tcPr>
          <w:p>
            <w:pPr>
              <w:ind w:left="80"/>
              <w:spacing w:after="0"/>
              <w:rPr>
                <w:sz w:val="20"/>
                <w:szCs w:val="20"/>
                <w:color w:val="auto"/>
              </w:rPr>
            </w:pPr>
            <w:r>
              <w:rPr>
                <w:rFonts w:ascii="Arial" w:cs="Arial" w:eastAsia="Arial" w:hAnsi="Arial"/>
                <w:sz w:val="16"/>
                <w:szCs w:val="16"/>
                <w:color w:val="auto"/>
              </w:rPr>
              <w:t>Reasonable Best Efforts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8.02.</w:t>
            </w:r>
          </w:p>
        </w:tc>
        <w:tc>
          <w:tcPr>
            <w:tcW w:w="6600" w:type="dxa"/>
            <w:vAlign w:val="bottom"/>
          </w:tcPr>
          <w:p>
            <w:pPr>
              <w:ind w:left="80"/>
              <w:spacing w:after="0"/>
              <w:rPr>
                <w:sz w:val="20"/>
                <w:szCs w:val="20"/>
                <w:color w:val="auto"/>
              </w:rPr>
            </w:pPr>
            <w:r>
              <w:rPr>
                <w:rFonts w:ascii="Arial" w:cs="Arial" w:eastAsia="Arial" w:hAnsi="Arial"/>
                <w:sz w:val="16"/>
                <w:szCs w:val="16"/>
                <w:color w:val="auto"/>
              </w:rPr>
              <w:t>Joint Proxy Statement/Prospectus; Registration Statement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A-42</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8.03.</w:t>
            </w:r>
          </w:p>
        </w:tc>
        <w:tc>
          <w:tcPr>
            <w:tcW w:w="6600" w:type="dxa"/>
            <w:vAlign w:val="bottom"/>
          </w:tcPr>
          <w:p>
            <w:pPr>
              <w:ind w:left="80"/>
              <w:spacing w:after="0"/>
              <w:rPr>
                <w:sz w:val="20"/>
                <w:szCs w:val="20"/>
                <w:color w:val="auto"/>
              </w:rPr>
            </w:pPr>
            <w:r>
              <w:rPr>
                <w:rFonts w:ascii="Arial" w:cs="Arial" w:eastAsia="Arial" w:hAnsi="Arial"/>
                <w:sz w:val="16"/>
                <w:szCs w:val="16"/>
                <w:color w:val="auto"/>
              </w:rPr>
              <w:t>Public Announcements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8.04.</w:t>
            </w:r>
          </w:p>
        </w:tc>
        <w:tc>
          <w:tcPr>
            <w:tcW w:w="6600" w:type="dxa"/>
            <w:vAlign w:val="bottom"/>
          </w:tcPr>
          <w:p>
            <w:pPr>
              <w:ind w:left="80"/>
              <w:spacing w:after="0"/>
              <w:rPr>
                <w:sz w:val="20"/>
                <w:szCs w:val="20"/>
                <w:color w:val="auto"/>
              </w:rPr>
            </w:pPr>
            <w:r>
              <w:rPr>
                <w:rFonts w:ascii="Arial" w:cs="Arial" w:eastAsia="Arial" w:hAnsi="Arial"/>
                <w:sz w:val="16"/>
                <w:szCs w:val="16"/>
                <w:color w:val="auto"/>
              </w:rPr>
              <w:t>Further Assurances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8.05.</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 of Certain Events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8.06.</w:t>
            </w:r>
          </w:p>
        </w:tc>
        <w:tc>
          <w:tcPr>
            <w:tcW w:w="6600" w:type="dxa"/>
            <w:vAlign w:val="bottom"/>
          </w:tcPr>
          <w:p>
            <w:pPr>
              <w:ind w:left="80"/>
              <w:spacing w:after="0"/>
              <w:rPr>
                <w:sz w:val="20"/>
                <w:szCs w:val="20"/>
                <w:color w:val="auto"/>
              </w:rPr>
            </w:pPr>
            <w:r>
              <w:rPr>
                <w:rFonts w:ascii="Arial" w:cs="Arial" w:eastAsia="Arial" w:hAnsi="Arial"/>
                <w:sz w:val="16"/>
                <w:szCs w:val="16"/>
                <w:color w:val="auto"/>
              </w:rPr>
              <w:t>Access to Information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8.07.</w:t>
            </w:r>
          </w:p>
        </w:tc>
        <w:tc>
          <w:tcPr>
            <w:tcW w:w="6600" w:type="dxa"/>
            <w:vAlign w:val="bottom"/>
          </w:tcPr>
          <w:p>
            <w:pPr>
              <w:ind w:left="80"/>
              <w:spacing w:after="0"/>
              <w:rPr>
                <w:sz w:val="20"/>
                <w:szCs w:val="20"/>
                <w:color w:val="auto"/>
              </w:rPr>
            </w:pPr>
            <w:r>
              <w:rPr>
                <w:rFonts w:ascii="Arial" w:cs="Arial" w:eastAsia="Arial" w:hAnsi="Arial"/>
                <w:sz w:val="16"/>
                <w:szCs w:val="16"/>
                <w:color w:val="auto"/>
              </w:rPr>
              <w:t>Tax-free Reorganization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8.08.</w:t>
            </w:r>
          </w:p>
        </w:tc>
        <w:tc>
          <w:tcPr>
            <w:tcW w:w="6600" w:type="dxa"/>
            <w:vAlign w:val="bottom"/>
          </w:tcPr>
          <w:p>
            <w:pPr>
              <w:ind w:left="80"/>
              <w:spacing w:after="0"/>
              <w:rPr>
                <w:sz w:val="20"/>
                <w:szCs w:val="20"/>
                <w:color w:val="auto"/>
              </w:rPr>
            </w:pPr>
            <w:r>
              <w:rPr>
                <w:rFonts w:ascii="Arial" w:cs="Arial" w:eastAsia="Arial" w:hAnsi="Arial"/>
                <w:sz w:val="16"/>
                <w:szCs w:val="16"/>
                <w:color w:val="auto"/>
              </w:rPr>
              <w:t>Section 16 Matters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8.09.</w:t>
            </w:r>
          </w:p>
        </w:tc>
        <w:tc>
          <w:tcPr>
            <w:tcW w:w="6600" w:type="dxa"/>
            <w:vAlign w:val="bottom"/>
          </w:tcPr>
          <w:p>
            <w:pPr>
              <w:ind w:left="80"/>
              <w:spacing w:after="0"/>
              <w:rPr>
                <w:sz w:val="20"/>
                <w:szCs w:val="20"/>
                <w:color w:val="auto"/>
              </w:rPr>
            </w:pPr>
            <w:r>
              <w:rPr>
                <w:rFonts w:ascii="Arial" w:cs="Arial" w:eastAsia="Arial" w:hAnsi="Arial"/>
                <w:sz w:val="16"/>
                <w:szCs w:val="16"/>
                <w:color w:val="auto"/>
              </w:rPr>
              <w:t>Stock Exchange De-listing; 1934 Act Deregistration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8.10.</w:t>
            </w:r>
          </w:p>
        </w:tc>
        <w:tc>
          <w:tcPr>
            <w:tcW w:w="6600" w:type="dxa"/>
            <w:vAlign w:val="bottom"/>
          </w:tcPr>
          <w:p>
            <w:pPr>
              <w:ind w:left="80"/>
              <w:spacing w:after="0"/>
              <w:rPr>
                <w:sz w:val="20"/>
                <w:szCs w:val="20"/>
                <w:color w:val="auto"/>
              </w:rPr>
            </w:pPr>
            <w:r>
              <w:rPr>
                <w:rFonts w:ascii="Arial" w:cs="Arial" w:eastAsia="Arial" w:hAnsi="Arial"/>
                <w:sz w:val="16"/>
                <w:szCs w:val="16"/>
                <w:color w:val="auto"/>
              </w:rPr>
              <w:t>Dividends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8.11.</w:t>
            </w:r>
          </w:p>
        </w:tc>
        <w:tc>
          <w:tcPr>
            <w:tcW w:w="6600" w:type="dxa"/>
            <w:vAlign w:val="bottom"/>
          </w:tcPr>
          <w:p>
            <w:pPr>
              <w:ind w:left="80"/>
              <w:spacing w:after="0"/>
              <w:rPr>
                <w:sz w:val="20"/>
                <w:szCs w:val="20"/>
                <w:color w:val="auto"/>
              </w:rPr>
            </w:pPr>
            <w:r>
              <w:rPr>
                <w:rFonts w:ascii="Arial" w:cs="Arial" w:eastAsia="Arial" w:hAnsi="Arial"/>
                <w:sz w:val="16"/>
                <w:szCs w:val="16"/>
                <w:color w:val="auto"/>
              </w:rPr>
              <w:t>Stockholder Litigation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9 Conditions to the Merger</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9.01.</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Each Party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9.02.</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Parent and Merger Subsidiary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A-46</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9.03.</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ARTICLE 10 Termination</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10.01.</w:t>
            </w:r>
          </w:p>
        </w:tc>
        <w:tc>
          <w:tcPr>
            <w:tcW w:w="6600" w:type="dxa"/>
            <w:vAlign w:val="bottom"/>
          </w:tcPr>
          <w:p>
            <w:pPr>
              <w:ind w:left="80"/>
              <w:spacing w:after="0"/>
              <w:rPr>
                <w:sz w:val="20"/>
                <w:szCs w:val="20"/>
                <w:color w:val="auto"/>
              </w:rPr>
            </w:pPr>
            <w:r>
              <w:rPr>
                <w:rFonts w:ascii="Arial" w:cs="Arial" w:eastAsia="Arial" w:hAnsi="Arial"/>
                <w:sz w:val="16"/>
                <w:szCs w:val="16"/>
                <w:color w:val="auto"/>
              </w:rPr>
              <w:t>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10.02.</w:t>
            </w:r>
          </w:p>
        </w:tc>
        <w:tc>
          <w:tcPr>
            <w:tcW w:w="6600" w:type="dxa"/>
            <w:vAlign w:val="bottom"/>
          </w:tcPr>
          <w:p>
            <w:pPr>
              <w:ind w:left="80"/>
              <w:spacing w:after="0"/>
              <w:rPr>
                <w:sz w:val="20"/>
                <w:szCs w:val="20"/>
                <w:color w:val="auto"/>
              </w:rPr>
            </w:pPr>
            <w:r>
              <w:rPr>
                <w:rFonts w:ascii="Arial" w:cs="Arial" w:eastAsia="Arial" w:hAnsi="Arial"/>
                <w:sz w:val="16"/>
                <w:szCs w:val="16"/>
                <w:color w:val="auto"/>
              </w:rPr>
              <w:t>Effect of 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w w:val="99"/>
              </w:rPr>
              <w:t>ARTICLE 11 Miscellaneous</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11.01.</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11.02.</w:t>
            </w:r>
          </w:p>
        </w:tc>
        <w:tc>
          <w:tcPr>
            <w:tcW w:w="6600" w:type="dxa"/>
            <w:vAlign w:val="bottom"/>
          </w:tcPr>
          <w:p>
            <w:pPr>
              <w:ind w:left="80"/>
              <w:spacing w:after="0"/>
              <w:rPr>
                <w:sz w:val="20"/>
                <w:szCs w:val="20"/>
                <w:color w:val="auto"/>
              </w:rPr>
            </w:pPr>
            <w:r>
              <w:rPr>
                <w:rFonts w:ascii="Arial" w:cs="Arial" w:eastAsia="Arial" w:hAnsi="Arial"/>
                <w:sz w:val="16"/>
                <w:szCs w:val="16"/>
                <w:color w:val="auto"/>
              </w:rPr>
              <w:t>Survival of Representations and Warranties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11.03.</w:t>
            </w:r>
          </w:p>
        </w:tc>
        <w:tc>
          <w:tcPr>
            <w:tcW w:w="6600" w:type="dxa"/>
            <w:vAlign w:val="bottom"/>
          </w:tcPr>
          <w:p>
            <w:pPr>
              <w:ind w:left="80"/>
              <w:spacing w:after="0"/>
              <w:rPr>
                <w:sz w:val="20"/>
                <w:szCs w:val="20"/>
                <w:color w:val="auto"/>
              </w:rPr>
            </w:pPr>
            <w:r>
              <w:rPr>
                <w:rFonts w:ascii="Arial" w:cs="Arial" w:eastAsia="Arial" w:hAnsi="Arial"/>
                <w:sz w:val="16"/>
                <w:szCs w:val="16"/>
                <w:color w:val="auto"/>
              </w:rPr>
              <w:t>Amendments and Waivers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11.04.</w:t>
            </w:r>
          </w:p>
        </w:tc>
        <w:tc>
          <w:tcPr>
            <w:tcW w:w="6600" w:type="dxa"/>
            <w:vAlign w:val="bottom"/>
          </w:tcPr>
          <w:p>
            <w:pPr>
              <w:ind w:left="80"/>
              <w:spacing w:after="0"/>
              <w:rPr>
                <w:sz w:val="20"/>
                <w:szCs w:val="20"/>
                <w:color w:val="auto"/>
              </w:rPr>
            </w:pPr>
            <w:r>
              <w:rPr>
                <w:rFonts w:ascii="Arial" w:cs="Arial" w:eastAsia="Arial" w:hAnsi="Arial"/>
                <w:sz w:val="16"/>
                <w:szCs w:val="16"/>
                <w:color w:val="auto"/>
              </w:rPr>
              <w:t>Expenses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11.05.</w:t>
            </w:r>
          </w:p>
        </w:tc>
        <w:tc>
          <w:tcPr>
            <w:tcW w:w="6600" w:type="dxa"/>
            <w:vAlign w:val="bottom"/>
          </w:tcPr>
          <w:p>
            <w:pPr>
              <w:ind w:left="80"/>
              <w:spacing w:after="0"/>
              <w:rPr>
                <w:sz w:val="20"/>
                <w:szCs w:val="20"/>
                <w:color w:val="auto"/>
              </w:rPr>
            </w:pPr>
            <w:r>
              <w:rPr>
                <w:rFonts w:ascii="Arial" w:cs="Arial" w:eastAsia="Arial" w:hAnsi="Arial"/>
                <w:sz w:val="16"/>
                <w:szCs w:val="16"/>
                <w:color w:val="auto"/>
              </w:rPr>
              <w:t>Disclosure Schedule and SEC Document References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11.06.</w:t>
            </w:r>
          </w:p>
        </w:tc>
        <w:tc>
          <w:tcPr>
            <w:tcW w:w="6600" w:type="dxa"/>
            <w:vAlign w:val="bottom"/>
          </w:tcPr>
          <w:p>
            <w:pPr>
              <w:ind w:left="80"/>
              <w:spacing w:after="0"/>
              <w:rPr>
                <w:sz w:val="20"/>
                <w:szCs w:val="20"/>
                <w:color w:val="auto"/>
              </w:rPr>
            </w:pPr>
            <w:r>
              <w:rPr>
                <w:rFonts w:ascii="Arial" w:cs="Arial" w:eastAsia="Arial" w:hAnsi="Arial"/>
                <w:sz w:val="16"/>
                <w:szCs w:val="16"/>
                <w:color w:val="auto"/>
              </w:rPr>
              <w:t>Binding Effect; Benefit; Assignment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11.07.</w:t>
            </w:r>
          </w:p>
        </w:tc>
        <w:tc>
          <w:tcPr>
            <w:tcW w:w="6600" w:type="dxa"/>
            <w:vAlign w:val="bottom"/>
          </w:tcPr>
          <w:p>
            <w:pPr>
              <w:ind w:left="80"/>
              <w:spacing w:after="0"/>
              <w:rPr>
                <w:sz w:val="20"/>
                <w:szCs w:val="20"/>
                <w:color w:val="auto"/>
              </w:rPr>
            </w:pPr>
            <w:r>
              <w:rPr>
                <w:rFonts w:ascii="Arial" w:cs="Arial" w:eastAsia="Arial" w:hAnsi="Arial"/>
                <w:sz w:val="16"/>
                <w:szCs w:val="16"/>
                <w:color w:val="auto"/>
              </w:rPr>
              <w:t>Governing Law</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11.08.</w:t>
            </w:r>
          </w:p>
        </w:tc>
        <w:tc>
          <w:tcPr>
            <w:tcW w:w="6600" w:type="dxa"/>
            <w:vAlign w:val="bottom"/>
          </w:tcPr>
          <w:p>
            <w:pPr>
              <w:ind w:left="80"/>
              <w:spacing w:after="0"/>
              <w:rPr>
                <w:sz w:val="20"/>
                <w:szCs w:val="20"/>
                <w:color w:val="auto"/>
              </w:rPr>
            </w:pPr>
            <w:r>
              <w:rPr>
                <w:rFonts w:ascii="Arial" w:cs="Arial" w:eastAsia="Arial" w:hAnsi="Arial"/>
                <w:sz w:val="16"/>
                <w:szCs w:val="16"/>
                <w:color w:val="auto"/>
              </w:rPr>
              <w:t>Jurisdiction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11.09.</w:t>
            </w:r>
          </w:p>
        </w:tc>
        <w:tc>
          <w:tcPr>
            <w:tcW w:w="6600" w:type="dxa"/>
            <w:vAlign w:val="bottom"/>
          </w:tcPr>
          <w:p>
            <w:pPr>
              <w:ind w:left="80"/>
              <w:spacing w:after="0"/>
              <w:rPr>
                <w:sz w:val="20"/>
                <w:szCs w:val="20"/>
                <w:color w:val="auto"/>
              </w:rPr>
            </w:pPr>
            <w:r>
              <w:rPr>
                <w:rFonts w:ascii="Arial" w:cs="Arial" w:eastAsia="Arial" w:hAnsi="Arial"/>
                <w:sz w:val="16"/>
                <w:szCs w:val="16"/>
                <w:color w:val="auto"/>
              </w:rPr>
              <w:t>WAIVER OF JURY TRIAL</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11.10.</w:t>
            </w:r>
          </w:p>
        </w:tc>
        <w:tc>
          <w:tcPr>
            <w:tcW w:w="6600" w:type="dxa"/>
            <w:vAlign w:val="bottom"/>
          </w:tcPr>
          <w:p>
            <w:pPr>
              <w:ind w:left="80"/>
              <w:spacing w:after="0"/>
              <w:rPr>
                <w:sz w:val="20"/>
                <w:szCs w:val="20"/>
                <w:color w:val="auto"/>
              </w:rPr>
            </w:pPr>
            <w:r>
              <w:rPr>
                <w:rFonts w:ascii="Arial" w:cs="Arial" w:eastAsia="Arial" w:hAnsi="Arial"/>
                <w:sz w:val="16"/>
                <w:szCs w:val="16"/>
                <w:color w:val="auto"/>
              </w:rPr>
              <w:t>Counterparts; Effectiveness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11.11.</w:t>
            </w:r>
          </w:p>
        </w:tc>
        <w:tc>
          <w:tcPr>
            <w:tcW w:w="6600" w:type="dxa"/>
            <w:vAlign w:val="bottom"/>
          </w:tcPr>
          <w:p>
            <w:pPr>
              <w:ind w:left="80"/>
              <w:spacing w:after="0"/>
              <w:rPr>
                <w:sz w:val="20"/>
                <w:szCs w:val="20"/>
                <w:color w:val="auto"/>
              </w:rPr>
            </w:pPr>
            <w:r>
              <w:rPr>
                <w:rFonts w:ascii="Arial" w:cs="Arial" w:eastAsia="Arial" w:hAnsi="Arial"/>
                <w:sz w:val="16"/>
                <w:szCs w:val="16"/>
                <w:color w:val="auto"/>
              </w:rPr>
              <w:t>Entire Agreement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11.12.</w:t>
            </w:r>
          </w:p>
        </w:tc>
        <w:tc>
          <w:tcPr>
            <w:tcW w:w="6600" w:type="dxa"/>
            <w:vAlign w:val="bottom"/>
          </w:tcPr>
          <w:p>
            <w:pPr>
              <w:ind w:left="80"/>
              <w:spacing w:after="0"/>
              <w:rPr>
                <w:sz w:val="20"/>
                <w:szCs w:val="20"/>
                <w:color w:val="auto"/>
              </w:rPr>
            </w:pPr>
            <w:r>
              <w:rPr>
                <w:rFonts w:ascii="Arial" w:cs="Arial" w:eastAsia="Arial" w:hAnsi="Arial"/>
                <w:sz w:val="16"/>
                <w:szCs w:val="16"/>
                <w:color w:val="auto"/>
              </w:rPr>
              <w:t>Severability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Section 11.13.</w:t>
            </w:r>
          </w:p>
        </w:tc>
        <w:tc>
          <w:tcPr>
            <w:tcW w:w="6600" w:type="dxa"/>
            <w:vAlign w:val="bottom"/>
          </w:tcPr>
          <w:p>
            <w:pPr>
              <w:ind w:left="80"/>
              <w:spacing w:after="0"/>
              <w:rPr>
                <w:sz w:val="20"/>
                <w:szCs w:val="20"/>
                <w:color w:val="auto"/>
              </w:rPr>
            </w:pPr>
            <w:r>
              <w:rPr>
                <w:rFonts w:ascii="Arial" w:cs="Arial" w:eastAsia="Arial" w:hAnsi="Arial"/>
                <w:sz w:val="16"/>
                <w:szCs w:val="16"/>
                <w:color w:val="auto"/>
              </w:rPr>
              <w:t>Specific Performance</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SCHEDULES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Disclosure Schedule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Parent Disclosure Schedule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AGREEMENT AND PLAN OF MERGER</w:t>
      </w:r>
    </w:p>
    <w:p>
      <w:pPr>
        <w:spacing w:after="0" w:line="235" w:lineRule="exact"/>
        <w:rPr>
          <w:sz w:val="20"/>
          <w:szCs w:val="20"/>
          <w:color w:val="auto"/>
        </w:rPr>
      </w:pPr>
    </w:p>
    <w:p>
      <w:pPr>
        <w:jc w:val="both"/>
        <w:ind w:right="380" w:firstLine="799"/>
        <w:spacing w:after="0" w:line="281"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a wholly-owned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W I T N E S S E T H :</w:t>
      </w:r>
    </w:p>
    <w:p>
      <w:pPr>
        <w:spacing w:after="0" w:line="23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89"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5"/>
          <w:szCs w:val="15"/>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5"/>
          <w:szCs w:val="15"/>
          <w:b w:val="1"/>
          <w:bCs w:val="1"/>
          <w:color w:val="auto"/>
        </w:rPr>
        <w:t>Principal Parent Stockholders</w:t>
      </w:r>
      <w:r>
        <w:rPr>
          <w:rFonts w:ascii="Arial" w:cs="Arial" w:eastAsia="Arial" w:hAnsi="Arial"/>
          <w:sz w:val="15"/>
          <w:szCs w:val="15"/>
          <w:color w:val="auto"/>
        </w:rPr>
        <w:t>”) are entering into a voting agreement (the “</w:t>
      </w:r>
      <w:r>
        <w:rPr>
          <w:rFonts w:ascii="Arial" w:cs="Arial" w:eastAsia="Arial" w:hAnsi="Arial"/>
          <w:sz w:val="15"/>
          <w:szCs w:val="15"/>
          <w:b w:val="1"/>
          <w:bCs w:val="1"/>
          <w:color w:val="auto"/>
        </w:rPr>
        <w:t>Voting Agreement</w:t>
      </w:r>
      <w:r>
        <w:rPr>
          <w:rFonts w:ascii="Arial" w:cs="Arial" w:eastAsia="Arial" w:hAnsi="Arial"/>
          <w:sz w:val="15"/>
          <w:szCs w:val="15"/>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76" w:lineRule="exact"/>
        <w:rPr>
          <w:sz w:val="20"/>
          <w:szCs w:val="20"/>
          <w:color w:val="auto"/>
        </w:rPr>
      </w:pPr>
    </w:p>
    <w:p>
      <w:pPr>
        <w:jc w:val="both"/>
        <w:ind w:right="120" w:firstLine="799"/>
        <w:spacing w:after="0" w:line="278" w:lineRule="auto"/>
        <w:rPr>
          <w:sz w:val="20"/>
          <w:szCs w:val="20"/>
          <w:color w:val="auto"/>
        </w:rPr>
      </w:pPr>
      <w:r>
        <w:rPr>
          <w:rFonts w:ascii="Arial" w:cs="Arial" w:eastAsia="Arial" w:hAnsi="Arial"/>
          <w:sz w:val="16"/>
          <w:szCs w:val="16"/>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84"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NOW, THEREFORE, in consideration of the foregoing and the representations, warranties, covenants and agreements contained herein, the parties hereto agree as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Definitions</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(a) As used herein, the following terms have the following meanings: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1933 Act</w:t>
      </w:r>
      <w:r>
        <w:rPr>
          <w:rFonts w:ascii="Arial" w:cs="Arial" w:eastAsia="Arial" w:hAnsi="Arial"/>
          <w:sz w:val="16"/>
          <w:szCs w:val="16"/>
          <w:color w:val="auto"/>
        </w:rPr>
        <w:t>” means the Securities Act of 1933.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1934 Act</w:t>
      </w:r>
      <w:r>
        <w:rPr>
          <w:rFonts w:ascii="Arial" w:cs="Arial" w:eastAsia="Arial" w:hAnsi="Arial"/>
          <w:sz w:val="16"/>
          <w:szCs w:val="16"/>
          <w:color w:val="auto"/>
        </w:rPr>
        <w:t>” means the Securities Exchange Act of 1934.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Person, any other Person directly or indirectly controlling, controlled by, or under common control with such Person.</w:t>
      </w:r>
    </w:p>
    <w:p>
      <w:pPr>
        <w:spacing w:after="0" w:line="246" w:lineRule="exact"/>
        <w:rPr>
          <w:sz w:val="20"/>
          <w:szCs w:val="20"/>
          <w:color w:val="auto"/>
        </w:rPr>
      </w:pPr>
    </w:p>
    <w:p>
      <w:pPr>
        <w:ind w:right="4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459" w:right="2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Saturday, Sunday or other day on which commercial banks in New York, New York are authorized or required by Applicable Law to close.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Cable System</w:t>
      </w:r>
      <w:r>
        <w:rPr>
          <w:rFonts w:ascii="Arial" w:cs="Arial" w:eastAsia="Arial" w:hAnsi="Arial"/>
          <w:sz w:val="16"/>
          <w:szCs w:val="16"/>
          <w:color w:val="auto"/>
        </w:rPr>
        <w:t>” means a cable system, as such term is defined in 47 U.S.C. § 522(7).</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of the Closing.</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Collective Bargaining Agreements</w:t>
      </w:r>
      <w:r>
        <w:rPr>
          <w:rFonts w:ascii="Arial" w:cs="Arial" w:eastAsia="Arial" w:hAnsi="Arial"/>
          <w:sz w:val="16"/>
          <w:szCs w:val="16"/>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Communications Act</w:t>
      </w:r>
      <w:r>
        <w:rPr>
          <w:rFonts w:ascii="Arial" w:cs="Arial" w:eastAsia="Arial" w:hAnsi="Arial"/>
          <w:sz w:val="16"/>
          <w:szCs w:val="16"/>
          <w:color w:val="auto"/>
        </w:rPr>
        <w:t>” means the Communications Act of 1934, together with the written orders, policies and decisions of the FCC.</w:t>
      </w:r>
    </w:p>
    <w:p>
      <w:pPr>
        <w:spacing w:after="0" w:line="235" w:lineRule="exact"/>
        <w:rPr>
          <w:sz w:val="20"/>
          <w:szCs w:val="20"/>
          <w:color w:val="auto"/>
        </w:rPr>
      </w:pPr>
    </w:p>
    <w:p>
      <w:pPr>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Adverse Recommendation Change</w:t>
      </w:r>
      <w:r>
        <w:rPr>
          <w:rFonts w:ascii="Arial" w:cs="Arial" w:eastAsia="Arial" w:hAnsi="Arial"/>
          <w:sz w:val="16"/>
          <w:szCs w:val="16"/>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78" w:lineRule="exact"/>
        <w:rPr>
          <w:sz w:val="20"/>
          <w:szCs w:val="20"/>
          <w:color w:val="auto"/>
        </w:rPr>
      </w:pPr>
    </w:p>
    <w:p>
      <w:pPr>
        <w:ind w:right="100" w:firstLine="79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Acquisition Proposal</w:t>
      </w:r>
      <w:r>
        <w:rPr>
          <w:rFonts w:ascii="Arial" w:cs="Arial" w:eastAsia="Arial" w:hAnsi="Arial"/>
          <w:sz w:val="16"/>
          <w:szCs w:val="16"/>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Balance Sheet</w:t>
      </w:r>
      <w:r>
        <w:rPr>
          <w:rFonts w:ascii="Arial" w:cs="Arial" w:eastAsia="Arial" w:hAnsi="Arial"/>
          <w:sz w:val="14"/>
          <w:szCs w:val="14"/>
          <w:color w:val="auto"/>
        </w:rPr>
        <w:t>” means the consolidated balance sheet of the Company as of December 31, 2013 and the footnotes thereto set forth in the Company 10-</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K.</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means the disclosure schedule dated the date hereof regarding this Agreement that has been provided by the Company to Parent and Merger Subsidiary.</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Intervening Event</w:t>
      </w:r>
      <w:r>
        <w:rPr>
          <w:rFonts w:ascii="Arial" w:cs="Arial" w:eastAsia="Arial" w:hAnsi="Arial"/>
          <w:sz w:val="15"/>
          <w:szCs w:val="15"/>
          <w:color w:val="auto"/>
        </w:rPr>
        <w:t>” means any material event, change, effect, development or occurrence occurring or arising after the date of this Agreement that</w:t>
      </w:r>
    </w:p>
    <w:p>
      <w:pPr>
        <w:spacing w:after="0" w:line="38" w:lineRule="exact"/>
        <w:rPr>
          <w:sz w:val="20"/>
          <w:szCs w:val="20"/>
          <w:color w:val="auto"/>
        </w:rPr>
      </w:pPr>
    </w:p>
    <w:p>
      <w:pPr>
        <w:ind w:right="100" w:firstLine="8"/>
        <w:spacing w:after="0" w:line="281" w:lineRule="auto"/>
        <w:tabs>
          <w:tab w:leader="none" w:pos="194" w:val="left"/>
        </w:tabs>
        <w:numPr>
          <w:ilvl w:val="0"/>
          <w:numId w:val="254"/>
        </w:numPr>
        <w:rPr>
          <w:rFonts w:ascii="Arial" w:cs="Arial" w:eastAsia="Arial" w:hAnsi="Arial"/>
          <w:sz w:val="15"/>
          <w:szCs w:val="15"/>
          <w:color w:val="auto"/>
        </w:rPr>
      </w:pPr>
      <w:r>
        <w:rPr>
          <w:rFonts w:ascii="Arial" w:cs="Arial" w:eastAsia="Arial" w:hAnsi="Arial"/>
          <w:sz w:val="15"/>
          <w:szCs w:val="15"/>
          <w:color w:val="auto"/>
        </w:rPr>
        <w:t>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w:t>
      </w:r>
    </w:p>
    <w:p>
      <w:pPr>
        <w:spacing w:after="0" w:line="1" w:lineRule="exact"/>
        <w:rPr>
          <w:rFonts w:ascii="Arial" w:cs="Arial" w:eastAsia="Arial" w:hAnsi="Arial"/>
          <w:sz w:val="15"/>
          <w:szCs w:val="15"/>
          <w:color w:val="auto"/>
        </w:rPr>
      </w:pPr>
    </w:p>
    <w:p>
      <w:pPr>
        <w:ind w:right="240"/>
        <w:spacing w:after="0" w:line="272" w:lineRule="auto"/>
        <w:rPr>
          <w:rFonts w:ascii="Arial" w:cs="Arial" w:eastAsia="Arial" w:hAnsi="Arial"/>
          <w:sz w:val="15"/>
          <w:szCs w:val="15"/>
          <w:color w:val="auto"/>
        </w:rPr>
      </w:pPr>
      <w:r>
        <w:rPr>
          <w:rFonts w:ascii="Arial" w:cs="Arial" w:eastAsia="Arial" w:hAnsi="Arial"/>
          <w:sz w:val="16"/>
          <w:szCs w:val="16"/>
          <w:color w:val="auto"/>
        </w:rPr>
        <w:t>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constitute, be deemed to contribute to or otherwise be taken into account in determining whether there has been a Company Intervening Event.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Licenses</w:t>
      </w:r>
      <w:r>
        <w:rPr>
          <w:rFonts w:ascii="Arial" w:cs="Arial" w:eastAsia="Arial" w:hAnsi="Arial"/>
          <w:sz w:val="16"/>
          <w:szCs w:val="16"/>
          <w:color w:val="auto"/>
        </w:rPr>
        <w:t>” means Governmental Authorizations issued by the FCC to the Company or any of its Subsidiaries or Affiliates</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9.02(a)(ii)(C) 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w:t>
      </w:r>
    </w:p>
    <w:p>
      <w:pPr>
        <w:spacing w:after="0" w:line="4" w:lineRule="exact"/>
        <w:rPr>
          <w:sz w:val="20"/>
          <w:szCs w:val="20"/>
          <w:color w:val="auto"/>
        </w:rPr>
      </w:pPr>
    </w:p>
    <w:p>
      <w:pPr>
        <w:ind w:right="60" w:firstLine="8"/>
        <w:spacing w:after="0" w:line="270" w:lineRule="auto"/>
        <w:tabs>
          <w:tab w:leader="none" w:pos="23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Operating Plan</w:t>
      </w:r>
      <w:r>
        <w:rPr>
          <w:rFonts w:ascii="Arial" w:cs="Arial" w:eastAsia="Arial" w:hAnsi="Arial"/>
          <w:sz w:val="15"/>
          <w:szCs w:val="15"/>
          <w:color w:val="auto"/>
        </w:rPr>
        <w:t>” means the Operating Plan of the Company and its Subsidiaries for fiscal years 2014 to 2016 previously disclosed to Parent.</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w:t>
      </w:r>
      <w:r>
        <w:rPr>
          <w:rFonts w:ascii="Arial" w:cs="Arial" w:eastAsia="Arial" w:hAnsi="Arial"/>
          <w:sz w:val="16"/>
          <w:szCs w:val="16"/>
          <w:color w:val="auto"/>
        </w:rPr>
        <w:t>” means the common stock, $0.01 par value, of the Company.</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10-K</w:t>
      </w:r>
      <w:r>
        <w:rPr>
          <w:rFonts w:ascii="Arial" w:cs="Arial" w:eastAsia="Arial" w:hAnsi="Arial"/>
          <w:sz w:val="15"/>
          <w:szCs w:val="15"/>
          <w:color w:val="auto"/>
        </w:rPr>
        <w:t>” means the Company’s annual report on Form 10-K for the fiscal year ended December 31, 2013, in the form previously delivered to Parent.</w:t>
      </w:r>
    </w:p>
    <w:p>
      <w:pPr>
        <w:spacing w:after="0" w:line="246" w:lineRule="exact"/>
        <w:rPr>
          <w:sz w:val="20"/>
          <w:szCs w:val="20"/>
          <w:color w:val="auto"/>
        </w:rPr>
      </w:pPr>
    </w:p>
    <w:p>
      <w:pPr>
        <w:ind w:right="4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Delaware Law</w:t>
      </w:r>
      <w:r>
        <w:rPr>
          <w:rFonts w:ascii="Arial" w:cs="Arial" w:eastAsia="Arial" w:hAnsi="Arial"/>
          <w:sz w:val="16"/>
          <w:szCs w:val="16"/>
          <w:color w:val="auto"/>
        </w:rPr>
        <w:t>” means the General Corporation Law of the State of Delaware.</w:t>
      </w:r>
    </w:p>
    <w:p>
      <w:pPr>
        <w:spacing w:after="0" w:line="235" w:lineRule="exact"/>
        <w:rPr>
          <w:sz w:val="20"/>
          <w:szCs w:val="20"/>
          <w:color w:val="auto"/>
        </w:rPr>
      </w:pPr>
    </w:p>
    <w:p>
      <w:pPr>
        <w:ind w:right="4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Applicable Law or any agreement with any Person relating to human health and safety, the environment or any pollutants, contaminants or hazardous or toxic substances, materials or wastes.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all Governmental Authorizations relating to or required by Environmental Laws.</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of any entity means any other entity that, together with such entity, would be treated as a single employer under Section 414 of the Code.</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w:t>
      </w:r>
      <w:r>
        <w:rPr>
          <w:rFonts w:ascii="Arial" w:cs="Arial" w:eastAsia="Arial" w:hAnsi="Arial"/>
          <w:sz w:val="16"/>
          <w:szCs w:val="16"/>
          <w:color w:val="auto"/>
        </w:rPr>
        <w:t>” means the Federal Communications Commission.</w:t>
      </w:r>
    </w:p>
    <w:p>
      <w:pPr>
        <w:spacing w:after="0" w:line="235"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35"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transnational, domestic or foreign federal, state or local governmental, regulatory or administrative authority, department, court, agency, commission or official, including any political subdivision thereof.</w:t>
      </w:r>
    </w:p>
    <w:p>
      <w:pPr>
        <w:spacing w:after="0" w:line="164" w:lineRule="exact"/>
        <w:rPr>
          <w:sz w:val="20"/>
          <w:szCs w:val="20"/>
          <w:color w:val="auto"/>
        </w:rPr>
      </w:pPr>
    </w:p>
    <w:p>
      <w:pPr>
        <w:ind w:right="20" w:firstLine="79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83" w:lineRule="exact"/>
        <w:rPr>
          <w:sz w:val="20"/>
          <w:szCs w:val="20"/>
          <w:color w:val="auto"/>
        </w:rPr>
      </w:pPr>
    </w:p>
    <w:p>
      <w:pPr>
        <w:jc w:val="both"/>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means the Hart-Scott-Rodino Antitrust Improvements Act of 1976.</w:t>
      </w:r>
    </w:p>
    <w:p>
      <w:pPr>
        <w:spacing w:after="0" w:line="235"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76"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Assets</w:t>
      </w:r>
      <w:r>
        <w:rPr>
          <w:rFonts w:ascii="Arial" w:cs="Arial" w:eastAsia="Arial" w:hAnsi="Arial"/>
          <w:sz w:val="16"/>
          <w:szCs w:val="16"/>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78" w:lineRule="exact"/>
        <w:rPr>
          <w:sz w:val="20"/>
          <w:szCs w:val="20"/>
          <w:color w:val="auto"/>
        </w:rPr>
      </w:pPr>
    </w:p>
    <w:p>
      <w:pPr>
        <w:ind w:right="2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64" w:lineRule="exact"/>
        <w:rPr>
          <w:sz w:val="20"/>
          <w:szCs w:val="20"/>
          <w:color w:val="auto"/>
        </w:rPr>
      </w:pPr>
    </w:p>
    <w:p>
      <w:pPr>
        <w:ind w:right="2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Intellectual Property Rights</w:t>
      </w:r>
      <w:r>
        <w:rPr>
          <w:rFonts w:ascii="Arial" w:cs="Arial" w:eastAsia="Arial" w:hAnsi="Arial"/>
          <w:sz w:val="16"/>
          <w:szCs w:val="16"/>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64" w:lineRule="exact"/>
        <w:rPr>
          <w:sz w:val="20"/>
          <w:szCs w:val="20"/>
          <w:color w:val="auto"/>
        </w:rPr>
      </w:pPr>
    </w:p>
    <w:p>
      <w:pPr>
        <w:ind w:right="140" w:firstLine="799"/>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means the NASDAQ Global Select Market.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NBCUniversal Agreement</w:t>
      </w:r>
      <w:r>
        <w:rPr>
          <w:rFonts w:ascii="Arial" w:cs="Arial" w:eastAsia="Arial" w:hAnsi="Arial"/>
          <w:sz w:val="16"/>
          <w:szCs w:val="16"/>
          <w:color w:val="auto"/>
        </w:rPr>
        <w:t>” means the Transaction Agreement, dated as of February 12, 2013, by and among General Electric Company, Parent, National Broadcasting Company Holding, Inc., Navy Holdings, Inc., NBCUniversal, LLC and NBCUniversal Media, LLC.</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Owned Intellectual Property Rights</w:t>
      </w:r>
      <w:r>
        <w:rPr>
          <w:rFonts w:ascii="Arial" w:cs="Arial" w:eastAsia="Arial" w:hAnsi="Arial"/>
          <w:sz w:val="14"/>
          <w:szCs w:val="14"/>
          <w:color w:val="auto"/>
        </w:rPr>
        <w:t>” means any and all Intellectual Property Rights owned or purported to be owned by the Company or any of its Subsidiaries.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Balance Sheet</w:t>
      </w:r>
      <w:r>
        <w:rPr>
          <w:rFonts w:ascii="Arial" w:cs="Arial" w:eastAsia="Arial" w:hAnsi="Arial"/>
          <w:sz w:val="15"/>
          <w:szCs w:val="15"/>
          <w:color w:val="auto"/>
        </w:rPr>
        <w:t>” means the consolidated balance sheet of Parent as of December 31, 2013, and the footnotes thereto set forth in the Parent 10-K.</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Common Stock</w:t>
      </w:r>
      <w:r>
        <w:rPr>
          <w:rFonts w:ascii="Arial" w:cs="Arial" w:eastAsia="Arial" w:hAnsi="Arial"/>
          <w:sz w:val="16"/>
          <w:szCs w:val="16"/>
          <w:color w:val="auto"/>
        </w:rPr>
        <w:t>” means the Class A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Special Common Stock</w:t>
      </w:r>
      <w:r>
        <w:rPr>
          <w:rFonts w:ascii="Arial" w:cs="Arial" w:eastAsia="Arial" w:hAnsi="Arial"/>
          <w:sz w:val="16"/>
          <w:szCs w:val="16"/>
          <w:color w:val="auto"/>
        </w:rPr>
        <w:t>” means the Class A Special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B Common Stock</w:t>
      </w:r>
      <w:r>
        <w:rPr>
          <w:rFonts w:ascii="Arial" w:cs="Arial" w:eastAsia="Arial" w:hAnsi="Arial"/>
          <w:sz w:val="16"/>
          <w:szCs w:val="16"/>
          <w:color w:val="auto"/>
        </w:rPr>
        <w:t>” means the Class B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Disclosure Schedule</w:t>
      </w:r>
      <w:r>
        <w:rPr>
          <w:rFonts w:ascii="Arial" w:cs="Arial" w:eastAsia="Arial" w:hAnsi="Arial"/>
          <w:sz w:val="14"/>
          <w:szCs w:val="14"/>
          <w:color w:val="auto"/>
        </w:rPr>
        <w:t>” means the disclosure schedule dated the date hereof regarding this Agreement that has been provided by Parent to the Company.</w:t>
      </w:r>
    </w:p>
    <w:p>
      <w:pPr>
        <w:spacing w:after="0" w:line="258" w:lineRule="exact"/>
        <w:rPr>
          <w:sz w:val="20"/>
          <w:szCs w:val="20"/>
          <w:color w:val="auto"/>
        </w:rPr>
      </w:pPr>
    </w:p>
    <w:p>
      <w:pPr>
        <w:ind w:right="20" w:firstLine="799"/>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Material Adverse Effect</w:t>
      </w:r>
      <w:r>
        <w:rPr>
          <w:rFonts w:ascii="Arial" w:cs="Arial" w:eastAsia="Arial" w:hAnsi="Arial"/>
          <w:sz w:val="14"/>
          <w:szCs w:val="14"/>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3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10-K</w:t>
      </w:r>
      <w:r>
        <w:rPr>
          <w:rFonts w:ascii="Arial" w:cs="Arial" w:eastAsia="Arial" w:hAnsi="Arial"/>
          <w:sz w:val="16"/>
          <w:szCs w:val="16"/>
          <w:color w:val="auto"/>
        </w:rPr>
        <w:t>” means Parent’s annual report on Form 10-K for the fiscal year ended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Pennsylvania Law</w:t>
      </w:r>
      <w:r>
        <w:rPr>
          <w:rFonts w:ascii="Arial" w:cs="Arial" w:eastAsia="Arial" w:hAnsi="Arial"/>
          <w:sz w:val="16"/>
          <w:szCs w:val="16"/>
          <w:color w:val="auto"/>
        </w:rPr>
        <w:t>” means the Pennsylvania Business Corporation law of 1988.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30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w:t>
      </w:r>
    </w:p>
    <w:p>
      <w:pPr>
        <w:spacing w:after="0" w:line="1" w:lineRule="exact"/>
        <w:rPr>
          <w:sz w:val="20"/>
          <w:szCs w:val="20"/>
          <w:color w:val="auto"/>
        </w:rPr>
      </w:pPr>
    </w:p>
    <w:p>
      <w:pPr>
        <w:ind w:firstLine="8"/>
        <w:spacing w:after="0" w:line="290" w:lineRule="auto"/>
        <w:tabs>
          <w:tab w:leader="none" w:pos="284" w:val="left"/>
        </w:tabs>
        <w:numPr>
          <w:ilvl w:val="0"/>
          <w:numId w:val="256"/>
        </w:numPr>
        <w:rPr>
          <w:rFonts w:ascii="Arial" w:cs="Arial" w:eastAsia="Arial" w:hAnsi="Arial"/>
          <w:sz w:val="15"/>
          <w:szCs w:val="15"/>
          <w:color w:val="auto"/>
        </w:rPr>
      </w:pPr>
      <w:r>
        <w:rPr>
          <w:rFonts w:ascii="Arial" w:cs="Arial" w:eastAsia="Arial" w:hAnsi="Arial"/>
          <w:sz w:val="15"/>
          <w:szCs w:val="15"/>
          <w:color w:val="auto"/>
        </w:rPr>
        <w:t>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73" w:lineRule="exact"/>
        <w:rPr>
          <w:sz w:val="20"/>
          <w:szCs w:val="20"/>
          <w:color w:val="auto"/>
        </w:rPr>
      </w:pPr>
    </w:p>
    <w:p>
      <w:pPr>
        <w:ind w:right="3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Sarbanes-Oxley Act</w:t>
      </w:r>
      <w:r>
        <w:rPr>
          <w:rFonts w:ascii="Arial" w:cs="Arial" w:eastAsia="Arial" w:hAnsi="Arial"/>
          <w:sz w:val="16"/>
          <w:szCs w:val="16"/>
          <w:color w:val="auto"/>
        </w:rPr>
        <w:t>” means the Sarbanes-Oxley Act of 2002.</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64"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5"/>
          <w:szCs w:val="15"/>
          <w:b w:val="1"/>
          <w:bCs w:val="1"/>
          <w:color w:val="auto"/>
        </w:rPr>
        <w:t>Taxing Authority</w:t>
      </w:r>
      <w:r>
        <w:rPr>
          <w:rFonts w:ascii="Arial" w:cs="Arial" w:eastAsia="Arial" w:hAnsi="Arial"/>
          <w:sz w:val="15"/>
          <w:szCs w:val="15"/>
          <w:color w:val="auto"/>
        </w:rPr>
        <w:t>”) responsible for the imposition of any such tax (domestic or foreign), and any liability for any of the foregoing as transferee, (ii) liability for the payment of any amount of the type described in clause (i) 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5" w:lineRule="exact"/>
        <w:rPr>
          <w:sz w:val="20"/>
          <w:szCs w:val="20"/>
          <w:color w:val="auto"/>
        </w:rPr>
      </w:pPr>
    </w:p>
    <w:p>
      <w:pPr>
        <w:ind w:right="18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Representation Letters</w:t>
      </w:r>
      <w:r>
        <w:rPr>
          <w:rFonts w:ascii="Arial" w:cs="Arial" w:eastAsia="Arial" w:hAnsi="Arial"/>
          <w:sz w:val="15"/>
          <w:szCs w:val="15"/>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67"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78" w:lineRule="exact"/>
        <w:rPr>
          <w:sz w:val="20"/>
          <w:szCs w:val="20"/>
          <w:color w:val="auto"/>
        </w:rPr>
      </w:pPr>
    </w:p>
    <w:p>
      <w:pPr>
        <w:ind w:right="6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Sharing Agreements</w:t>
      </w:r>
      <w:r>
        <w:rPr>
          <w:rFonts w:ascii="Arial" w:cs="Arial" w:eastAsia="Arial" w:hAnsi="Arial"/>
          <w:sz w:val="15"/>
          <w:szCs w:val="15"/>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including as defined in Section 13(d) of the 1934 Act, other than Parent or any of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Regulations</w:t>
      </w:r>
      <w:r>
        <w:rPr>
          <w:rFonts w:ascii="Arial" w:cs="Arial" w:eastAsia="Arial" w:hAnsi="Arial"/>
          <w:sz w:val="16"/>
          <w:szCs w:val="16"/>
          <w:color w:val="auto"/>
        </w:rPr>
        <w:t>” means the regulations promulgated under the Code.</w:t>
      </w:r>
    </w:p>
    <w:p>
      <w:pPr>
        <w:spacing w:after="0" w:line="239" w:lineRule="exact"/>
        <w:rPr>
          <w:sz w:val="20"/>
          <w:szCs w:val="20"/>
          <w:color w:val="auto"/>
        </w:rPr>
      </w:pPr>
    </w:p>
    <w:p>
      <w:pPr>
        <w:ind w:left="2160" w:hanging="440"/>
        <w:spacing w:after="0"/>
        <w:tabs>
          <w:tab w:leader="none" w:pos="216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Each of the following terms is defined in the Section set forth opposite such term:</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Term</w:t>
            </w:r>
          </w:p>
        </w:tc>
        <w:tc>
          <w:tcPr>
            <w:tcW w:w="2600" w:type="dxa"/>
            <w:vAlign w:val="bottom"/>
          </w:tcPr>
          <w:p>
            <w:pPr>
              <w:ind w:left="1900"/>
              <w:spacing w:after="0"/>
              <w:rPr>
                <w:sz w:val="20"/>
                <w:szCs w:val="20"/>
                <w:color w:val="auto"/>
              </w:rPr>
            </w:pPr>
            <w:r>
              <w:rPr>
                <w:rFonts w:ascii="Arial" w:cs="Arial" w:eastAsia="Arial" w:hAnsi="Arial"/>
                <w:sz w:val="16"/>
                <w:szCs w:val="16"/>
                <w:color w:val="auto"/>
              </w:rPr>
              <w:t>Section</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368 Reorganization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4.22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Agreement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Burdensome Condition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Certificates</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Closing</w:t>
            </w:r>
          </w:p>
        </w:tc>
        <w:tc>
          <w:tcPr>
            <w:tcW w:w="2600" w:type="dxa"/>
            <w:vAlign w:val="bottom"/>
          </w:tcPr>
          <w:p>
            <w:pPr>
              <w:ind w:left="1900"/>
              <w:spacing w:after="0"/>
              <w:rPr>
                <w:sz w:val="20"/>
                <w:szCs w:val="20"/>
                <w:color w:val="auto"/>
              </w:rPr>
            </w:pPr>
            <w:r>
              <w:rPr>
                <w:rFonts w:ascii="Arial" w:cs="Arial" w:eastAsia="Arial" w:hAnsi="Arial"/>
                <w:sz w:val="16"/>
                <w:szCs w:val="16"/>
                <w:color w:val="auto"/>
              </w:rPr>
              <w:t>2.01(b)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International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Investment</w:t>
            </w:r>
          </w:p>
        </w:tc>
        <w:tc>
          <w:tcPr>
            <w:tcW w:w="2600" w:type="dxa"/>
            <w:vAlign w:val="bottom"/>
          </w:tcPr>
          <w:p>
            <w:pPr>
              <w:ind w:left="1900"/>
              <w:spacing w:after="0"/>
              <w:rPr>
                <w:sz w:val="20"/>
                <w:szCs w:val="20"/>
                <w:color w:val="auto"/>
              </w:rPr>
            </w:pPr>
            <w:r>
              <w:rPr>
                <w:rFonts w:ascii="Arial" w:cs="Arial" w:eastAsia="Arial" w:hAnsi="Arial"/>
                <w:sz w:val="16"/>
                <w:szCs w:val="16"/>
                <w:color w:val="auto"/>
              </w:rPr>
              <w:t>4.06(c)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Material Contract</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4.17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4.07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4.05(b)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4.02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Meeting</w:t>
            </w:r>
          </w:p>
        </w:tc>
        <w:tc>
          <w:tcPr>
            <w:tcW w:w="2600" w:type="dxa"/>
            <w:vAlign w:val="bottom"/>
          </w:tcPr>
          <w:p>
            <w:pPr>
              <w:ind w:left="1900"/>
              <w:spacing w:after="0"/>
              <w:rPr>
                <w:sz w:val="20"/>
                <w:szCs w:val="20"/>
                <w:color w:val="auto"/>
              </w:rPr>
            </w:pPr>
            <w:r>
              <w:rPr>
                <w:rFonts w:ascii="Arial" w:cs="Arial" w:eastAsia="Arial" w:hAnsi="Arial"/>
                <w:sz w:val="16"/>
                <w:szCs w:val="16"/>
                <w:color w:val="auto"/>
              </w:rPr>
              <w:t>6.02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Subsidiary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4.06(b)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Superior Proposal</w:t>
            </w:r>
          </w:p>
        </w:tc>
        <w:tc>
          <w:tcPr>
            <w:tcW w:w="2600" w:type="dxa"/>
            <w:vAlign w:val="bottom"/>
          </w:tcPr>
          <w:p>
            <w:pPr>
              <w:ind w:left="1900"/>
              <w:spacing w:after="0"/>
              <w:rPr>
                <w:sz w:val="20"/>
                <w:szCs w:val="20"/>
                <w:color w:val="auto"/>
              </w:rPr>
            </w:pPr>
            <w:r>
              <w:rPr>
                <w:rFonts w:ascii="Arial" w:cs="Arial" w:eastAsia="Arial" w:hAnsi="Arial"/>
                <w:sz w:val="16"/>
                <w:szCs w:val="16"/>
                <w:color w:val="auto"/>
              </w:rPr>
              <w:t>6.03(e)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Confidentiality Agreement</w:t>
            </w:r>
          </w:p>
        </w:tc>
        <w:tc>
          <w:tcPr>
            <w:tcW w:w="2600" w:type="dxa"/>
            <w:vAlign w:val="bottom"/>
          </w:tcPr>
          <w:p>
            <w:pPr>
              <w:ind w:left="1900"/>
              <w:spacing w:after="0"/>
              <w:rPr>
                <w:sz w:val="20"/>
                <w:szCs w:val="20"/>
                <w:color w:val="auto"/>
              </w:rPr>
            </w:pPr>
            <w:r>
              <w:rPr>
                <w:rFonts w:ascii="Arial" w:cs="Arial" w:eastAsia="Arial" w:hAnsi="Arial"/>
                <w:sz w:val="16"/>
                <w:szCs w:val="16"/>
                <w:color w:val="auto"/>
              </w:rPr>
              <w:t>6.03(b)(i)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Continuing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7.09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D&amp;O Insurance</w:t>
            </w:r>
          </w:p>
        </w:tc>
        <w:tc>
          <w:tcPr>
            <w:tcW w:w="2600" w:type="dxa"/>
            <w:vAlign w:val="bottom"/>
          </w:tcPr>
          <w:p>
            <w:pPr>
              <w:ind w:left="1900"/>
              <w:spacing w:after="0"/>
              <w:rPr>
                <w:sz w:val="20"/>
                <w:szCs w:val="20"/>
                <w:color w:val="auto"/>
              </w:rPr>
            </w:pPr>
            <w:r>
              <w:rPr>
                <w:rFonts w:ascii="Arial" w:cs="Arial" w:eastAsia="Arial" w:hAnsi="Arial"/>
                <w:sz w:val="16"/>
                <w:szCs w:val="16"/>
                <w:color w:val="auto"/>
              </w:rPr>
              <w:t>7.07(c)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Effective Time</w:t>
            </w:r>
          </w:p>
        </w:tc>
        <w:tc>
          <w:tcPr>
            <w:tcW w:w="2600" w:type="dxa"/>
            <w:vAlign w:val="bottom"/>
          </w:tcPr>
          <w:p>
            <w:pPr>
              <w:ind w:left="1900"/>
              <w:spacing w:after="0"/>
              <w:rPr>
                <w:sz w:val="20"/>
                <w:szCs w:val="20"/>
                <w:color w:val="auto"/>
              </w:rPr>
            </w:pPr>
            <w:r>
              <w:rPr>
                <w:rFonts w:ascii="Arial" w:cs="Arial" w:eastAsia="Arial" w:hAnsi="Arial"/>
                <w:sz w:val="16"/>
                <w:szCs w:val="16"/>
                <w:color w:val="auto"/>
              </w:rPr>
              <w:t>2.01(c)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End Date</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Agent</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Ratio</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RSU</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2.04(d)(ii)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Indemnified Person</w:t>
            </w:r>
          </w:p>
        </w:tc>
        <w:tc>
          <w:tcPr>
            <w:tcW w:w="2600" w:type="dxa"/>
            <w:vAlign w:val="bottom"/>
          </w:tcPr>
          <w:p>
            <w:pPr>
              <w:ind w:left="1900"/>
              <w:spacing w:after="0"/>
              <w:rPr>
                <w:sz w:val="20"/>
                <w:szCs w:val="20"/>
                <w:color w:val="auto"/>
              </w:rPr>
            </w:pPr>
            <w:r>
              <w:rPr>
                <w:rFonts w:ascii="Arial" w:cs="Arial" w:eastAsia="Arial" w:hAnsi="Arial"/>
                <w:sz w:val="16"/>
                <w:szCs w:val="16"/>
                <w:color w:val="auto"/>
              </w:rPr>
              <w:t>7.07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internal controls</w:t>
            </w:r>
          </w:p>
        </w:tc>
        <w:tc>
          <w:tcPr>
            <w:tcW w:w="2600" w:type="dxa"/>
            <w:vAlign w:val="bottom"/>
          </w:tcPr>
          <w:p>
            <w:pPr>
              <w:ind w:left="1900"/>
              <w:spacing w:after="0"/>
              <w:rPr>
                <w:sz w:val="20"/>
                <w:szCs w:val="20"/>
                <w:color w:val="auto"/>
              </w:rPr>
            </w:pPr>
            <w:r>
              <w:rPr>
                <w:rFonts w:ascii="Arial" w:cs="Arial" w:eastAsia="Arial" w:hAnsi="Arial"/>
                <w:sz w:val="16"/>
                <w:szCs w:val="16"/>
                <w:color w:val="auto"/>
              </w:rPr>
              <w:t>4.07(f)</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Joint Proxy Statement/Prospectus</w:t>
            </w:r>
          </w:p>
        </w:tc>
        <w:tc>
          <w:tcPr>
            <w:tcW w:w="2600" w:type="dxa"/>
            <w:vAlign w:val="bottom"/>
          </w:tcPr>
          <w:p>
            <w:pPr>
              <w:ind w:left="1900"/>
              <w:spacing w:after="0"/>
              <w:rPr>
                <w:sz w:val="20"/>
                <w:szCs w:val="20"/>
                <w:color w:val="auto"/>
              </w:rPr>
            </w:pPr>
            <w:r>
              <w:rPr>
                <w:rFonts w:ascii="Arial" w:cs="Arial" w:eastAsia="Arial" w:hAnsi="Arial"/>
                <w:sz w:val="16"/>
                <w:szCs w:val="16"/>
                <w:color w:val="auto"/>
              </w:rPr>
              <w:t>4.09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Lease</w:t>
            </w:r>
          </w:p>
        </w:tc>
        <w:tc>
          <w:tcPr>
            <w:tcW w:w="2600" w:type="dxa"/>
            <w:vAlign w:val="bottom"/>
          </w:tcPr>
          <w:p>
            <w:pPr>
              <w:ind w:left="1900"/>
              <w:spacing w:after="0"/>
              <w:rPr>
                <w:sz w:val="20"/>
                <w:szCs w:val="20"/>
                <w:color w:val="auto"/>
              </w:rPr>
            </w:pPr>
            <w:r>
              <w:rPr>
                <w:rFonts w:ascii="Arial" w:cs="Arial" w:eastAsia="Arial" w:hAnsi="Arial"/>
                <w:sz w:val="16"/>
                <w:szCs w:val="16"/>
                <w:color w:val="auto"/>
              </w:rPr>
              <w:t>4.14(b)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w:t>
            </w:r>
          </w:p>
        </w:tc>
        <w:tc>
          <w:tcPr>
            <w:tcW w:w="2600" w:type="dxa"/>
            <w:vAlign w:val="bottom"/>
          </w:tcPr>
          <w:p>
            <w:pPr>
              <w:ind w:left="1900"/>
              <w:spacing w:after="0"/>
              <w:rPr>
                <w:sz w:val="20"/>
                <w:szCs w:val="20"/>
                <w:color w:val="auto"/>
              </w:rPr>
            </w:pPr>
            <w:r>
              <w:rPr>
                <w:rFonts w:ascii="Arial" w:cs="Arial" w:eastAsia="Arial" w:hAnsi="Arial"/>
                <w:sz w:val="16"/>
                <w:szCs w:val="16"/>
                <w:color w:val="auto"/>
              </w:rPr>
              <w:t>2.01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Communication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8.03(b)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Consideration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Subsidiary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Multiemployer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NYSE</w:t>
            </w:r>
          </w:p>
        </w:tc>
        <w:tc>
          <w:tcPr>
            <w:tcW w:w="2600" w:type="dxa"/>
            <w:vAlign w:val="bottom"/>
          </w:tcPr>
          <w:p>
            <w:pPr>
              <w:ind w:left="1900"/>
              <w:spacing w:after="0"/>
              <w:rPr>
                <w:sz w:val="20"/>
                <w:szCs w:val="20"/>
                <w:color w:val="auto"/>
              </w:rPr>
            </w:pPr>
            <w:r>
              <w:rPr>
                <w:rFonts w:ascii="Arial" w:cs="Arial" w:eastAsia="Arial" w:hAnsi="Arial"/>
                <w:sz w:val="16"/>
                <w:szCs w:val="16"/>
                <w:color w:val="auto"/>
              </w:rPr>
              <w:t>4.03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5.02(b)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7.09(c)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5.07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5.05(b)</w:t>
            </w: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Parent Shareholder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5.02</w:t>
            </w:r>
          </w:p>
        </w:tc>
      </w:tr>
    </w:tbl>
    <w:p>
      <w:pPr>
        <w:spacing w:after="0" w:line="1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460" w:right="1440"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Shareholder Meeting</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Stock Issuance</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Principal Parent Stockholders</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Registration Statement</w:t>
            </w:r>
          </w:p>
        </w:tc>
        <w:tc>
          <w:tcPr>
            <w:tcW w:w="2400" w:type="dxa"/>
            <w:vAlign w:val="bottom"/>
          </w:tcPr>
          <w:p>
            <w:pPr>
              <w:ind w:left="1820"/>
              <w:spacing w:after="0"/>
              <w:rPr>
                <w:sz w:val="20"/>
                <w:szCs w:val="20"/>
                <w:color w:val="auto"/>
              </w:rPr>
            </w:pPr>
            <w:r>
              <w:rPr>
                <w:rFonts w:ascii="Arial" w:cs="Arial" w:eastAsia="Arial" w:hAnsi="Arial"/>
                <w:sz w:val="16"/>
                <w:szCs w:val="16"/>
                <w:color w:val="auto"/>
              </w:rPr>
              <w:t>4.09</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Representatives</w:t>
            </w:r>
          </w:p>
        </w:tc>
        <w:tc>
          <w:tcPr>
            <w:tcW w:w="2400" w:type="dxa"/>
            <w:vAlign w:val="bottom"/>
          </w:tcPr>
          <w:p>
            <w:pPr>
              <w:ind w:left="1820"/>
              <w:spacing w:after="0"/>
              <w:rPr>
                <w:sz w:val="20"/>
                <w:szCs w:val="20"/>
                <w:color w:val="auto"/>
              </w:rPr>
            </w:pPr>
            <w:r>
              <w:rPr>
                <w:rFonts w:ascii="Arial" w:cs="Arial" w:eastAsia="Arial" w:hAnsi="Arial"/>
                <w:sz w:val="16"/>
                <w:szCs w:val="16"/>
                <w:color w:val="auto"/>
              </w:rPr>
              <w:t>6.03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Significant Subsidiary</w:t>
            </w:r>
          </w:p>
        </w:tc>
        <w:tc>
          <w:tcPr>
            <w:tcW w:w="2400" w:type="dxa"/>
            <w:vAlign w:val="bottom"/>
          </w:tcPr>
          <w:p>
            <w:pPr>
              <w:ind w:left="1820"/>
              <w:spacing w:after="0"/>
              <w:rPr>
                <w:sz w:val="20"/>
                <w:szCs w:val="20"/>
                <w:color w:val="auto"/>
              </w:rPr>
            </w:pPr>
            <w:r>
              <w:rPr>
                <w:rFonts w:ascii="Arial" w:cs="Arial" w:eastAsia="Arial" w:hAnsi="Arial"/>
                <w:sz w:val="16"/>
                <w:szCs w:val="16"/>
                <w:color w:val="auto"/>
              </w:rPr>
              <w:t>4.06</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Company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4</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Parent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5</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Surviving Corporation</w:t>
            </w:r>
          </w:p>
        </w:tc>
        <w:tc>
          <w:tcPr>
            <w:tcW w:w="2400" w:type="dxa"/>
            <w:vAlign w:val="bottom"/>
          </w:tcPr>
          <w:p>
            <w:pPr>
              <w:ind w:left="1820"/>
              <w:spacing w:after="0"/>
              <w:rPr>
                <w:sz w:val="20"/>
                <w:szCs w:val="20"/>
                <w:color w:val="auto"/>
              </w:rPr>
            </w:pPr>
            <w:r>
              <w:rPr>
                <w:rFonts w:ascii="Arial" w:cs="Arial" w:eastAsia="Arial" w:hAnsi="Arial"/>
                <w:sz w:val="16"/>
                <w:szCs w:val="16"/>
                <w:color w:val="auto"/>
              </w:rPr>
              <w:t>2.01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Taxing Authority</w:t>
            </w:r>
          </w:p>
        </w:tc>
        <w:tc>
          <w:tcPr>
            <w:tcW w:w="2400" w:type="dxa"/>
            <w:vAlign w:val="bottom"/>
          </w:tcPr>
          <w:p>
            <w:pPr>
              <w:ind w:left="1820"/>
              <w:spacing w:after="0"/>
              <w:rPr>
                <w:sz w:val="20"/>
                <w:szCs w:val="20"/>
                <w:color w:val="auto"/>
              </w:rPr>
            </w:pPr>
            <w:r>
              <w:rPr>
                <w:rFonts w:ascii="Arial" w:cs="Arial" w:eastAsia="Arial" w:hAnsi="Arial"/>
                <w:sz w:val="16"/>
                <w:szCs w:val="16"/>
                <w:color w:val="auto"/>
              </w:rPr>
              <w:t>1.01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Title IV Plan</w:t>
            </w:r>
          </w:p>
        </w:tc>
        <w:tc>
          <w:tcPr>
            <w:tcW w:w="2400" w:type="dxa"/>
            <w:vAlign w:val="bottom"/>
          </w:tcPr>
          <w:p>
            <w:pPr>
              <w:ind w:left="1820"/>
              <w:spacing w:after="0"/>
              <w:rPr>
                <w:sz w:val="20"/>
                <w:szCs w:val="20"/>
                <w:color w:val="auto"/>
              </w:rPr>
            </w:pPr>
            <w:r>
              <w:rPr>
                <w:rFonts w:ascii="Arial" w:cs="Arial" w:eastAsia="Arial" w:hAnsi="Arial"/>
                <w:sz w:val="16"/>
                <w:szCs w:val="16"/>
                <w:color w:val="auto"/>
              </w:rPr>
              <w:t>4.17(b)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TWX</w:t>
            </w:r>
          </w:p>
        </w:tc>
        <w:tc>
          <w:tcPr>
            <w:tcW w:w="2400" w:type="dxa"/>
            <w:vAlign w:val="bottom"/>
          </w:tcPr>
          <w:p>
            <w:pPr>
              <w:ind w:left="1820"/>
              <w:spacing w:after="0"/>
              <w:rPr>
                <w:sz w:val="20"/>
                <w:szCs w:val="20"/>
                <w:color w:val="auto"/>
              </w:rPr>
            </w:pPr>
            <w:r>
              <w:rPr>
                <w:rFonts w:ascii="Arial" w:cs="Arial" w:eastAsia="Arial" w:hAnsi="Arial"/>
                <w:sz w:val="16"/>
                <w:szCs w:val="16"/>
                <w:color w:val="auto"/>
              </w:rPr>
              <w:t>4.16(b)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Uncertificated Shares</w:t>
            </w:r>
          </w:p>
        </w:tc>
        <w:tc>
          <w:tcPr>
            <w:tcW w:w="2400" w:type="dxa"/>
            <w:vAlign w:val="bottom"/>
          </w:tcPr>
          <w:p>
            <w:pPr>
              <w:ind w:left="1820"/>
              <w:spacing w:after="0"/>
              <w:rPr>
                <w:sz w:val="20"/>
                <w:szCs w:val="20"/>
                <w:color w:val="auto"/>
              </w:rPr>
            </w:pPr>
            <w:r>
              <w:rPr>
                <w:rFonts w:ascii="Arial" w:cs="Arial" w:eastAsia="Arial" w:hAnsi="Arial"/>
                <w:sz w:val="16"/>
                <w:szCs w:val="16"/>
                <w:color w:val="auto"/>
              </w:rPr>
              <w:t>2.03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Union Employee</w:t>
            </w:r>
          </w:p>
        </w:tc>
        <w:tc>
          <w:tcPr>
            <w:tcW w:w="2400" w:type="dxa"/>
            <w:vAlign w:val="bottom"/>
          </w:tcPr>
          <w:p>
            <w:pPr>
              <w:ind w:left="1820"/>
              <w:spacing w:after="0"/>
              <w:rPr>
                <w:sz w:val="20"/>
                <w:szCs w:val="20"/>
                <w:color w:val="auto"/>
              </w:rPr>
            </w:pPr>
            <w:r>
              <w:rPr>
                <w:rFonts w:ascii="Arial" w:cs="Arial" w:eastAsia="Arial" w:hAnsi="Arial"/>
                <w:sz w:val="16"/>
                <w:szCs w:val="16"/>
                <w:color w:val="auto"/>
              </w:rPr>
              <w:t>7.09</w:t>
            </w:r>
          </w:p>
        </w:tc>
      </w:tr>
      <w:tr>
        <w:trPr>
          <w:trHeight w:val="206"/>
        </w:trPr>
        <w:tc>
          <w:tcPr>
            <w:tcW w:w="4240" w:type="dxa"/>
            <w:vAlign w:val="bottom"/>
          </w:tcPr>
          <w:p>
            <w:pPr>
              <w:spacing w:after="0"/>
              <w:rPr>
                <w:sz w:val="20"/>
                <w:szCs w:val="20"/>
                <w:color w:val="auto"/>
              </w:rPr>
            </w:pPr>
            <w:r>
              <w:rPr>
                <w:rFonts w:ascii="Arial" w:cs="Arial" w:eastAsia="Arial" w:hAnsi="Arial"/>
                <w:sz w:val="16"/>
                <w:szCs w:val="16"/>
                <w:color w:val="auto"/>
              </w:rPr>
              <w:t>Voting Agreement</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bl>
    <w:p>
      <w:pPr>
        <w:spacing w:after="0" w:line="20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The words “</w:t>
      </w:r>
      <w:r>
        <w:rPr>
          <w:rFonts w:ascii="Arial" w:cs="Arial" w:eastAsia="Arial" w:hAnsi="Arial"/>
          <w:sz w:val="15"/>
          <w:szCs w:val="15"/>
          <w:b w:val="1"/>
          <w:bCs w:val="1"/>
          <w:color w:val="auto"/>
        </w:rPr>
        <w:t>hereof</w:t>
      </w:r>
      <w:r>
        <w:rPr>
          <w:rFonts w:ascii="Arial" w:cs="Arial" w:eastAsia="Arial" w:hAnsi="Arial"/>
          <w:sz w:val="15"/>
          <w:szCs w:val="15"/>
          <w:color w:val="auto"/>
        </w:rPr>
        <w:t>”, “</w:t>
      </w:r>
      <w:r>
        <w:rPr>
          <w:rFonts w:ascii="Arial" w:cs="Arial" w:eastAsia="Arial" w:hAnsi="Arial"/>
          <w:sz w:val="15"/>
          <w:szCs w:val="15"/>
          <w:b w:val="1"/>
          <w:bCs w:val="1"/>
          <w:color w:val="auto"/>
        </w:rPr>
        <w:t>herein</w:t>
      </w:r>
      <w:r>
        <w:rPr>
          <w:rFonts w:ascii="Arial" w:cs="Arial" w:eastAsia="Arial" w:hAnsi="Arial"/>
          <w:sz w:val="15"/>
          <w:szCs w:val="15"/>
          <w:color w:val="auto"/>
        </w:rPr>
        <w:t>” and “</w:t>
      </w:r>
      <w:r>
        <w:rPr>
          <w:rFonts w:ascii="Arial" w:cs="Arial" w:eastAsia="Arial" w:hAnsi="Arial"/>
          <w:sz w:val="15"/>
          <w:szCs w:val="15"/>
          <w:b w:val="1"/>
          <w:bCs w:val="1"/>
          <w:color w:val="auto"/>
        </w:rPr>
        <w:t>hereunder</w:t>
      </w:r>
      <w:r>
        <w:rPr>
          <w:rFonts w:ascii="Arial" w:cs="Arial" w:eastAsia="Arial" w:hAnsi="Arial"/>
          <w:sz w:val="15"/>
          <w:szCs w:val="15"/>
          <w:color w:val="auto"/>
        </w:rPr>
        <w:t>” and words of like import used in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shall refer to this Agreement as a whole and not to any particular provision of this Agreement. The captions herein are included for convenience of reference only and shall be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ignored in the construction or interpretation hereof. References to Articles, Sections, Exhibits and Schedules are to Articles, Sections, Exhibits and Schedules of this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Agreement unless otherwise specified. All Exhibits and Schedules annexed hereto or referred to herein are hereby incorporated in and made a part of this Agreement as if set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forth in full herein. Any capitalized terms used in any Exhibit or Schedule but not otherwise defined therein, shall have the meaning as defined in this Agreement. Any singular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term in this Agreement shall be deemed to include the plural, and any plural term the singular. Whenever the words “</w:t>
      </w:r>
      <w:r>
        <w:rPr>
          <w:rFonts w:ascii="Arial" w:cs="Arial" w:eastAsia="Arial" w:hAnsi="Arial"/>
          <w:sz w:val="15"/>
          <w:szCs w:val="15"/>
          <w:b w:val="1"/>
          <w:bCs w:val="1"/>
          <w:color w:val="auto"/>
        </w:rPr>
        <w:t>include</w:t>
      </w:r>
      <w:r>
        <w:rPr>
          <w:rFonts w:ascii="Arial" w:cs="Arial" w:eastAsia="Arial" w:hAnsi="Arial"/>
          <w:sz w:val="15"/>
          <w:szCs w:val="15"/>
          <w:color w:val="auto"/>
        </w:rPr>
        <w:t>”, “</w:t>
      </w:r>
      <w:r>
        <w:rPr>
          <w:rFonts w:ascii="Arial" w:cs="Arial" w:eastAsia="Arial" w:hAnsi="Arial"/>
          <w:sz w:val="15"/>
          <w:szCs w:val="15"/>
          <w:b w:val="1"/>
          <w:bCs w:val="1"/>
          <w:color w:val="auto"/>
        </w:rPr>
        <w:t>includes</w:t>
      </w:r>
      <w:r>
        <w:rPr>
          <w:rFonts w:ascii="Arial" w:cs="Arial" w:eastAsia="Arial" w:hAnsi="Arial"/>
          <w:sz w:val="15"/>
          <w:szCs w:val="15"/>
          <w:color w:val="auto"/>
        </w:rPr>
        <w:t>” or “</w:t>
      </w:r>
      <w:r>
        <w:rPr>
          <w:rFonts w:ascii="Arial" w:cs="Arial" w:eastAsia="Arial" w:hAnsi="Arial"/>
          <w:sz w:val="15"/>
          <w:szCs w:val="15"/>
          <w:b w:val="1"/>
          <w:bCs w:val="1"/>
          <w:color w:val="auto"/>
        </w:rPr>
        <w:t>including</w:t>
      </w:r>
      <w:r>
        <w:rPr>
          <w:rFonts w:ascii="Arial" w:cs="Arial" w:eastAsia="Arial" w:hAnsi="Arial"/>
          <w:sz w:val="15"/>
          <w:szCs w:val="15"/>
          <w:color w:val="auto"/>
        </w:rPr>
        <w:t>” are used in this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Agreement, they shall be deemed to be followed by the words “</w:t>
      </w:r>
      <w:r>
        <w:rPr>
          <w:rFonts w:ascii="Arial" w:cs="Arial" w:eastAsia="Arial" w:hAnsi="Arial"/>
          <w:sz w:val="15"/>
          <w:szCs w:val="15"/>
          <w:b w:val="1"/>
          <w:bCs w:val="1"/>
          <w:color w:val="auto"/>
        </w:rPr>
        <w:t>without limitation</w:t>
      </w:r>
      <w:r>
        <w:rPr>
          <w:rFonts w:ascii="Arial" w:cs="Arial" w:eastAsia="Arial" w:hAnsi="Arial"/>
          <w:sz w:val="15"/>
          <w:szCs w:val="15"/>
          <w:color w:val="auto"/>
        </w:rPr>
        <w:t>”, whether or not they are in fact followed by those words or words of like import.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Writing</w:t>
      </w:r>
      <w:r>
        <w:rPr>
          <w:rFonts w:ascii="Arial" w:cs="Arial" w:eastAsia="Arial" w:hAnsi="Arial"/>
          <w:sz w:val="15"/>
          <w:szCs w:val="15"/>
          <w:color w:val="auto"/>
        </w:rPr>
        <w:t>”, “</w:t>
      </w:r>
      <w:r>
        <w:rPr>
          <w:rFonts w:ascii="Arial" w:cs="Arial" w:eastAsia="Arial" w:hAnsi="Arial"/>
          <w:sz w:val="15"/>
          <w:szCs w:val="15"/>
          <w:b w:val="1"/>
          <w:bCs w:val="1"/>
          <w:color w:val="auto"/>
        </w:rPr>
        <w:t>written</w:t>
      </w:r>
      <w:r>
        <w:rPr>
          <w:rFonts w:ascii="Arial" w:cs="Arial" w:eastAsia="Arial" w:hAnsi="Arial"/>
          <w:sz w:val="15"/>
          <w:szCs w:val="15"/>
          <w:color w:val="auto"/>
        </w:rPr>
        <w:t>” and comparable terms refer to printing, typing and other means of reproducing words (including electronic media) in a visible form. References to any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statute shall be deemed to refer to such statute as amended from time to time and to any rules or regulations promulgated thereunder. References to any agreement or contract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are to that agreement or contract as amended, modified or supplemented from time to time in accordance with the terms hereof and thereof. References to any Person include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the successors and permitted assigns of that Person. References from or through any date mean, unless otherwise specified, from and including or through and including,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respectively. References to “</w:t>
      </w:r>
      <w:r>
        <w:rPr>
          <w:rFonts w:ascii="Arial" w:cs="Arial" w:eastAsia="Arial" w:hAnsi="Arial"/>
          <w:sz w:val="14"/>
          <w:szCs w:val="14"/>
          <w:b w:val="1"/>
          <w:bCs w:val="1"/>
          <w:color w:val="auto"/>
        </w:rPr>
        <w:t>law</w:t>
      </w:r>
      <w:r>
        <w:rPr>
          <w:rFonts w:ascii="Arial" w:cs="Arial" w:eastAsia="Arial" w:hAnsi="Arial"/>
          <w:sz w:val="14"/>
          <w:szCs w:val="14"/>
          <w:color w:val="auto"/>
        </w:rPr>
        <w:t>”, “</w:t>
      </w:r>
      <w:r>
        <w:rPr>
          <w:rFonts w:ascii="Arial" w:cs="Arial" w:eastAsia="Arial" w:hAnsi="Arial"/>
          <w:sz w:val="14"/>
          <w:szCs w:val="14"/>
          <w:b w:val="1"/>
          <w:bCs w:val="1"/>
          <w:color w:val="auto"/>
        </w:rPr>
        <w:t>laws</w:t>
      </w:r>
      <w:r>
        <w:rPr>
          <w:rFonts w:ascii="Arial" w:cs="Arial" w:eastAsia="Arial" w:hAnsi="Arial"/>
          <w:sz w:val="14"/>
          <w:szCs w:val="14"/>
          <w:color w:val="auto"/>
        </w:rPr>
        <w:t>” or to a particular statute or law shall be deemed also to include any Applicable Law. The phrase “</w:t>
      </w:r>
      <w:r>
        <w:rPr>
          <w:rFonts w:ascii="Arial" w:cs="Arial" w:eastAsia="Arial" w:hAnsi="Arial"/>
          <w:sz w:val="14"/>
          <w:szCs w:val="14"/>
          <w:b w:val="1"/>
          <w:bCs w:val="1"/>
          <w:color w:val="auto"/>
        </w:rPr>
        <w:t>made available</w:t>
      </w:r>
      <w:r>
        <w:rPr>
          <w:rFonts w:ascii="Arial" w:cs="Arial" w:eastAsia="Arial" w:hAnsi="Arial"/>
          <w:sz w:val="14"/>
          <w:szCs w:val="14"/>
          <w:color w:val="auto"/>
        </w:rPr>
        <w:t>” shall be deemed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to include any documents filed or furnished with the SEC.</w:t>
      </w: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2</w:t>
      </w:r>
    </w:p>
    <w:p>
      <w:pPr>
        <w:spacing w:after="0" w:line="2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The Merger</w:t>
      </w:r>
    </w:p>
    <w:p>
      <w:pPr>
        <w:spacing w:after="0" w:line="227"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The Merger</w:t>
      </w:r>
      <w:r>
        <w:rPr>
          <w:rFonts w:ascii="Arial" w:cs="Arial" w:eastAsia="Arial" w:hAnsi="Arial"/>
          <w:sz w:val="16"/>
          <w:szCs w:val="16"/>
          <w:color w:val="auto"/>
        </w:rPr>
        <w:t>. (a) At the Effective Time, Merger Subsidiary shall be merged (the “</w:t>
      </w:r>
      <w:r>
        <w:rPr>
          <w:rFonts w:ascii="Arial" w:cs="Arial" w:eastAsia="Arial" w:hAnsi="Arial"/>
          <w:sz w:val="16"/>
          <w:szCs w:val="16"/>
          <w:b w:val="1"/>
          <w:bCs w:val="1"/>
          <w:color w:val="auto"/>
        </w:rPr>
        <w:t>Merger</w:t>
      </w:r>
      <w:r>
        <w:rPr>
          <w:rFonts w:ascii="Arial" w:cs="Arial" w:eastAsia="Arial" w:hAnsi="Arial"/>
          <w:sz w:val="16"/>
          <w:szCs w:val="16"/>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and a wholly-owned subsidiary of Parent.</w:t>
      </w:r>
    </w:p>
    <w:p>
      <w:pPr>
        <w:spacing w:after="0" w:line="178" w:lineRule="exact"/>
        <w:rPr>
          <w:sz w:val="20"/>
          <w:szCs w:val="20"/>
          <w:color w:val="auto"/>
        </w:rPr>
      </w:pPr>
    </w:p>
    <w:p>
      <w:pPr>
        <w:ind w:right="60" w:firstLine="1720"/>
        <w:spacing w:after="0" w:line="272" w:lineRule="auto"/>
        <w:tabs>
          <w:tab w:leader="none" w:pos="2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Subject to the provisions of Article 9,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90" w:lineRule="exact"/>
        <w:rPr>
          <w:rFonts w:ascii="Arial" w:cs="Arial" w:eastAsia="Arial" w:hAnsi="Arial"/>
          <w:sz w:val="16"/>
          <w:szCs w:val="16"/>
          <w:color w:val="auto"/>
        </w:rPr>
      </w:pPr>
    </w:p>
    <w:p>
      <w:pPr>
        <w:ind w:right="100" w:firstLine="1720"/>
        <w:spacing w:after="0" w:line="305" w:lineRule="auto"/>
        <w:tabs>
          <w:tab w:leader="none" w:pos="212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5"/>
          <w:szCs w:val="15"/>
          <w:b w:val="1"/>
          <w:bCs w:val="1"/>
          <w:color w:val="auto"/>
        </w:rPr>
        <w:t>Effective Time</w:t>
      </w:r>
      <w:r>
        <w:rPr>
          <w:rFonts w:ascii="Arial" w:cs="Arial" w:eastAsia="Arial" w:hAnsi="Arial"/>
          <w:sz w:val="15"/>
          <w:szCs w:val="15"/>
          <w:color w:val="auto"/>
        </w:rPr>
        <w:t>”) as the certificate of merger is duly filed with the Delaware Secretary of State (or at such later time as may be agreed to by the parties and specified in the certificate of merger).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firstLine="1720"/>
        <w:spacing w:after="0" w:line="293" w:lineRule="auto"/>
        <w:tabs>
          <w:tab w:leader="none" w:pos="2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80"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 Company Stock or any holder of shares of common stock of Merger Subsidiary:</w:t>
      </w:r>
    </w:p>
    <w:p>
      <w:pPr>
        <w:spacing w:after="0" w:line="172" w:lineRule="exact"/>
        <w:rPr>
          <w:sz w:val="20"/>
          <w:szCs w:val="20"/>
          <w:color w:val="auto"/>
        </w:rPr>
      </w:pPr>
    </w:p>
    <w:p>
      <w:pPr>
        <w:ind w:right="20" w:firstLine="1720"/>
        <w:spacing w:after="0" w:line="293" w:lineRule="auto"/>
        <w:tabs>
          <w:tab w:leader="none" w:pos="2135" w:val="left"/>
        </w:tabs>
        <w:numPr>
          <w:ilvl w:val="0"/>
          <w:numId w:val="260"/>
        </w:numPr>
        <w:rPr>
          <w:rFonts w:ascii="Arial" w:cs="Arial" w:eastAsia="Arial" w:hAnsi="Arial"/>
          <w:sz w:val="15"/>
          <w:szCs w:val="15"/>
          <w:color w:val="auto"/>
        </w:rPr>
      </w:pPr>
      <w:r>
        <w:rPr>
          <w:rFonts w:ascii="Arial" w:cs="Arial" w:eastAsia="Arial" w:hAnsi="Arial"/>
          <w:sz w:val="15"/>
          <w:szCs w:val="15"/>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5"/>
          <w:szCs w:val="15"/>
          <w:b w:val="1"/>
          <w:bCs w:val="1"/>
          <w:color w:val="auto"/>
        </w:rPr>
        <w:t>Exchange Ratio</w:t>
      </w:r>
      <w:r>
        <w:rPr>
          <w:rFonts w:ascii="Arial" w:cs="Arial" w:eastAsia="Arial" w:hAnsi="Arial"/>
          <w:sz w:val="15"/>
          <w:szCs w:val="15"/>
          <w:color w:val="auto"/>
        </w:rPr>
        <w:t>”) shares of Parent Class A Common Stock (together with the cash in lieu of fractional shares of Parent Class A Common Stock as specified below, the “</w:t>
      </w:r>
      <w:r>
        <w:rPr>
          <w:rFonts w:ascii="Arial" w:cs="Arial" w:eastAsia="Arial" w:hAnsi="Arial"/>
          <w:sz w:val="15"/>
          <w:szCs w:val="15"/>
          <w:b w:val="1"/>
          <w:bCs w:val="1"/>
          <w:color w:val="auto"/>
        </w:rPr>
        <w:t>Merger Consideration</w:t>
      </w:r>
      <w:r>
        <w:rPr>
          <w:rFonts w:ascii="Arial" w:cs="Arial" w:eastAsia="Arial" w:hAnsi="Arial"/>
          <w:sz w:val="15"/>
          <w:szCs w:val="15"/>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76" w:lineRule="exact"/>
        <w:rPr>
          <w:rFonts w:ascii="Arial" w:cs="Arial" w:eastAsia="Arial" w:hAnsi="Arial"/>
          <w:sz w:val="15"/>
          <w:szCs w:val="15"/>
          <w:color w:val="auto"/>
        </w:rPr>
      </w:pPr>
    </w:p>
    <w:p>
      <w:pPr>
        <w:ind w:right="40" w:firstLine="1720"/>
        <w:spacing w:after="0" w:line="278" w:lineRule="auto"/>
        <w:tabs>
          <w:tab w:leader="none" w:pos="2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84" w:lineRule="exact"/>
        <w:rPr>
          <w:rFonts w:ascii="Arial" w:cs="Arial" w:eastAsia="Arial" w:hAnsi="Arial"/>
          <w:sz w:val="16"/>
          <w:szCs w:val="16"/>
          <w:color w:val="auto"/>
        </w:rPr>
      </w:pPr>
    </w:p>
    <w:p>
      <w:pPr>
        <w:ind w:right="300" w:firstLine="1720"/>
        <w:spacing w:after="0" w:line="293" w:lineRule="auto"/>
        <w:tabs>
          <w:tab w:leader="none" w:pos="213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Company Stock held by the Company as treasury stock or owned by Parent immediately prior to the Effective Time shall be canceled, and no payment shall be made with respect thereto.</w:t>
      </w:r>
    </w:p>
    <w:p>
      <w:pPr>
        <w:spacing w:after="0" w:line="276" w:lineRule="exact"/>
        <w:rPr>
          <w:sz w:val="20"/>
          <w:szCs w:val="20"/>
          <w:color w:val="auto"/>
        </w:rPr>
      </w:pPr>
    </w:p>
    <w:p>
      <w:pPr>
        <w:ind w:right="60" w:firstLine="799"/>
        <w:spacing w:after="0" w:line="288"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Surrender and Payment</w:t>
      </w:r>
      <w:r>
        <w:rPr>
          <w:rFonts w:ascii="Arial" w:cs="Arial" w:eastAsia="Arial" w:hAnsi="Arial"/>
          <w:sz w:val="15"/>
          <w:szCs w:val="15"/>
          <w:color w:val="auto"/>
        </w:rPr>
        <w:t>. (a) Prior to the Effective Time, Parent shall appoint an agent reasonably acceptable to the Company (the “</w:t>
      </w:r>
      <w:r>
        <w:rPr>
          <w:rFonts w:ascii="Arial" w:cs="Arial" w:eastAsia="Arial" w:hAnsi="Arial"/>
          <w:sz w:val="15"/>
          <w:szCs w:val="15"/>
          <w:b w:val="1"/>
          <w:b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for the purpose of exchanging for the Merger Consideration (i) certificates representing shares of Company Stock (the “</w:t>
      </w:r>
      <w:r>
        <w:rPr>
          <w:rFonts w:ascii="Arial" w:cs="Arial" w:eastAsia="Arial" w:hAnsi="Arial"/>
          <w:sz w:val="15"/>
          <w:szCs w:val="15"/>
          <w:b w:val="1"/>
          <w:bCs w:val="1"/>
          <w:color w:val="auto"/>
        </w:rPr>
        <w:t>Certificates</w:t>
      </w:r>
      <w:r>
        <w:rPr>
          <w:rFonts w:ascii="Arial" w:cs="Arial" w:eastAsia="Arial" w:hAnsi="Arial"/>
          <w:sz w:val="15"/>
          <w:szCs w:val="15"/>
          <w:color w:val="auto"/>
        </w:rPr>
        <w:t>”) and (ii) uncertificated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Stock (the “</w:t>
      </w:r>
      <w:r>
        <w:rPr>
          <w:rFonts w:ascii="Arial" w:cs="Arial" w:eastAsia="Arial" w:hAnsi="Arial"/>
          <w:sz w:val="15"/>
          <w:szCs w:val="15"/>
          <w:b w:val="1"/>
          <w:bCs w:val="1"/>
          <w:color w:val="auto"/>
        </w:rPr>
        <w:t>Uncertificated Shares</w:t>
      </w:r>
      <w:r>
        <w:rPr>
          <w:rFonts w:ascii="Arial" w:cs="Arial" w:eastAsia="Arial" w:hAnsi="Arial"/>
          <w:sz w:val="15"/>
          <w:szCs w:val="15"/>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5"/>
          <w:szCs w:val="15"/>
          <w:b w:val="1"/>
          <w:bCs w:val="1"/>
          <w:color w:val="auto"/>
        </w:rPr>
        <w:t>agent’s message</w:t>
      </w:r>
      <w:r>
        <w:rPr>
          <w:rFonts w:ascii="Arial" w:cs="Arial" w:eastAsia="Arial" w:hAnsi="Arial"/>
          <w:sz w:val="15"/>
          <w:szCs w:val="15"/>
          <w:color w:val="auto"/>
        </w:rPr>
        <w:t>” regarding the book-entry transfer of Uncertificated Shares) for use in such exchange.</w:t>
      </w:r>
    </w:p>
    <w:p>
      <w:pPr>
        <w:spacing w:after="0" w:line="180" w:lineRule="exact"/>
        <w:rPr>
          <w:sz w:val="20"/>
          <w:szCs w:val="20"/>
          <w:color w:val="auto"/>
        </w:rPr>
      </w:pPr>
    </w:p>
    <w:p>
      <w:pPr>
        <w:ind w:right="160" w:firstLine="1720"/>
        <w:spacing w:after="0" w:line="289" w:lineRule="auto"/>
        <w:tabs>
          <w:tab w:leader="none" w:pos="2144"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15"/>
          <w:szCs w:val="15"/>
          <w:b w:val="1"/>
          <w:bCs w:val="1"/>
          <w:color w:val="auto"/>
        </w:rPr>
        <w:t>agent’s message</w:t>
      </w:r>
      <w:r>
        <w:rPr>
          <w:rFonts w:ascii="Arial" w:cs="Arial" w:eastAsia="Arial" w:hAnsi="Arial"/>
          <w:sz w:val="15"/>
          <w:szCs w:val="15"/>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80" w:lineRule="exact"/>
        <w:rPr>
          <w:rFonts w:ascii="Arial" w:cs="Arial" w:eastAsia="Arial" w:hAnsi="Arial"/>
          <w:sz w:val="15"/>
          <w:szCs w:val="15"/>
          <w:color w:val="auto"/>
        </w:rPr>
      </w:pPr>
    </w:p>
    <w:p>
      <w:pPr>
        <w:ind w:right="20" w:firstLine="1720"/>
        <w:spacing w:after="0" w:line="271" w:lineRule="auto"/>
        <w:tabs>
          <w:tab w:leader="none" w:pos="213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firstLine="1720"/>
        <w:spacing w:after="0" w:line="278" w:lineRule="auto"/>
        <w:tabs>
          <w:tab w:leader="none" w:pos="213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84" w:lineRule="exact"/>
        <w:rPr>
          <w:rFonts w:ascii="Arial" w:cs="Arial" w:eastAsia="Arial" w:hAnsi="Arial"/>
          <w:sz w:val="16"/>
          <w:szCs w:val="16"/>
          <w:color w:val="auto"/>
        </w:rPr>
      </w:pPr>
    </w:p>
    <w:p>
      <w:pPr>
        <w:ind w:right="60" w:firstLine="1720"/>
        <w:spacing w:after="0" w:line="288" w:lineRule="auto"/>
        <w:tabs>
          <w:tab w:leader="none" w:pos="2126"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80" w:lineRule="exact"/>
        <w:rPr>
          <w:rFonts w:ascii="Arial" w:cs="Arial" w:eastAsia="Arial" w:hAnsi="Arial"/>
          <w:sz w:val="15"/>
          <w:szCs w:val="15"/>
          <w:color w:val="auto"/>
        </w:rPr>
      </w:pPr>
    </w:p>
    <w:p>
      <w:pPr>
        <w:ind w:firstLine="1720"/>
        <w:spacing w:after="0" w:line="313" w:lineRule="auto"/>
        <w:tabs>
          <w:tab w:leader="none" w:pos="2117" w:val="left"/>
        </w:tabs>
        <w:numPr>
          <w:ilvl w:val="0"/>
          <w:numId w:val="262"/>
        </w:numPr>
        <w:rPr>
          <w:rFonts w:ascii="Arial" w:cs="Arial" w:eastAsia="Arial" w:hAnsi="Arial"/>
          <w:sz w:val="14"/>
          <w:szCs w:val="14"/>
          <w:color w:val="auto"/>
        </w:rPr>
      </w:pPr>
      <w:r>
        <w:rPr>
          <w:rFonts w:ascii="Arial" w:cs="Arial" w:eastAsia="Arial" w:hAnsi="Arial"/>
          <w:sz w:val="14"/>
          <w:szCs w:val="14"/>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4" w:lineRule="exact"/>
        <w:rPr>
          <w:rFonts w:ascii="Arial" w:cs="Arial" w:eastAsia="Arial" w:hAnsi="Arial"/>
          <w:sz w:val="14"/>
          <w:szCs w:val="14"/>
          <w:color w:val="auto"/>
        </w:rPr>
      </w:pPr>
    </w:p>
    <w:p>
      <w:pPr>
        <w:ind w:right="20" w:firstLine="1720"/>
        <w:spacing w:after="0" w:line="305" w:lineRule="auto"/>
        <w:tabs>
          <w:tab w:leader="none" w:pos="21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6"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Equity-Based Awards</w:t>
      </w:r>
      <w:r>
        <w:rPr>
          <w:rFonts w:ascii="Arial" w:cs="Arial" w:eastAsia="Arial" w:hAnsi="Arial"/>
          <w:sz w:val="15"/>
          <w:szCs w:val="15"/>
          <w:color w:val="auto"/>
        </w:rPr>
        <w:t>. (a) Except as provided in Section 2.04(d), the terms of each outstanding compensatory option to purchase shares of Company Stock (a “</w:t>
      </w:r>
      <w:r>
        <w:rPr>
          <w:rFonts w:ascii="Arial" w:cs="Arial" w:eastAsia="Arial" w:hAnsi="Arial"/>
          <w:sz w:val="15"/>
          <w:szCs w:val="15"/>
          <w:b w:val="1"/>
          <w:bCs w:val="1"/>
          <w:color w:val="auto"/>
        </w:rPr>
        <w:t>Company Stock Option</w:t>
      </w:r>
      <w:r>
        <w:rPr>
          <w:rFonts w:ascii="Arial" w:cs="Arial" w:eastAsia="Arial" w:hAnsi="Arial"/>
          <w:sz w:val="15"/>
          <w:szCs w:val="15"/>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5"/>
          <w:szCs w:val="15"/>
          <w:b w:val="1"/>
          <w:bCs w:val="1"/>
          <w:color w:val="auto"/>
        </w:rPr>
        <w:t>Adjusted Option</w:t>
      </w:r>
      <w:r>
        <w:rPr>
          <w:rFonts w:ascii="Arial" w:cs="Arial" w:eastAsia="Arial" w:hAnsi="Arial"/>
          <w:sz w:val="15"/>
          <w:szCs w:val="15"/>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81" w:lineRule="exact"/>
        <w:rPr>
          <w:sz w:val="20"/>
          <w:szCs w:val="20"/>
          <w:color w:val="auto"/>
        </w:rPr>
      </w:pPr>
    </w:p>
    <w:p>
      <w:pPr>
        <w:jc w:val="both"/>
        <w:ind w:right="40" w:firstLine="1720"/>
        <w:spacing w:after="0" w:line="273" w:lineRule="auto"/>
        <w:tabs>
          <w:tab w:leader="none" w:pos="2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168" w:lineRule="exact"/>
        <w:rPr>
          <w:sz w:val="20"/>
          <w:szCs w:val="20"/>
          <w:color w:val="auto"/>
        </w:rPr>
      </w:pPr>
    </w:p>
    <w:p>
      <w:pPr>
        <w:ind w:firstLine="1720"/>
        <w:spacing w:after="0" w:line="304" w:lineRule="auto"/>
        <w:tabs>
          <w:tab w:leader="none" w:pos="2126" w:val="left"/>
        </w:tabs>
        <w:numPr>
          <w:ilvl w:val="1"/>
          <w:numId w:val="264"/>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Director RSU</w:t>
      </w:r>
      <w:r>
        <w:rPr>
          <w:rFonts w:ascii="Arial" w:cs="Arial" w:eastAsia="Arial" w:hAnsi="Arial"/>
          <w:sz w:val="14"/>
          <w:szCs w:val="14"/>
          <w:color w:val="auto"/>
        </w:rPr>
        <w:t>”) held by a non-employee director or former non-employee director of the Company (each, a “</w:t>
      </w:r>
      <w:r>
        <w:rPr>
          <w:rFonts w:ascii="Arial" w:cs="Arial" w:eastAsia="Arial" w:hAnsi="Arial"/>
          <w:sz w:val="14"/>
          <w:szCs w:val="14"/>
          <w:b w:val="1"/>
          <w:bCs w:val="1"/>
          <w:color w:val="auto"/>
        </w:rPr>
        <w:t>Director</w:t>
      </w:r>
      <w:r>
        <w:rPr>
          <w:rFonts w:ascii="Arial" w:cs="Arial" w:eastAsia="Arial" w:hAnsi="Arial"/>
          <w:sz w:val="14"/>
          <w:szCs w:val="14"/>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4"/>
          <w:szCs w:val="14"/>
          <w:b w:val="1"/>
          <w:bCs w:val="1"/>
          <w:color w:val="auto"/>
        </w:rPr>
        <w:t>Notional Adjusted RSU</w:t>
      </w:r>
      <w:r>
        <w:rPr>
          <w:rFonts w:ascii="Arial" w:cs="Arial" w:eastAsia="Arial" w:hAnsi="Arial"/>
          <w:sz w:val="14"/>
          <w:szCs w:val="14"/>
          <w:color w:val="auto"/>
        </w:rPr>
        <w:t>”) and then multiplying</w:t>
      </w:r>
    </w:p>
    <w:p>
      <w:pPr>
        <w:spacing w:after="0" w:line="2" w:lineRule="exact"/>
        <w:rPr>
          <w:rFonts w:ascii="Arial" w:cs="Arial" w:eastAsia="Arial" w:hAnsi="Arial"/>
          <w:sz w:val="14"/>
          <w:szCs w:val="14"/>
          <w:color w:val="auto"/>
        </w:rPr>
      </w:pPr>
    </w:p>
    <w:p>
      <w:pPr>
        <w:ind w:right="40" w:firstLine="8"/>
        <w:spacing w:after="0" w:line="288" w:lineRule="auto"/>
        <w:tabs>
          <w:tab w:leader="none" w:pos="19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closing sale price of a share of Parent Class A Common Stock on NASDAQ on the trading day immediately preceding the Effective Time by (ii) the number of shares of Parent Class A Common Stock with respect to the Notional Adjusted RSUs.</w:t>
      </w:r>
    </w:p>
    <w:p>
      <w:pPr>
        <w:spacing w:after="0" w:line="171" w:lineRule="exact"/>
        <w:rPr>
          <w:rFonts w:ascii="Arial" w:cs="Arial" w:eastAsia="Arial" w:hAnsi="Arial"/>
          <w:sz w:val="16"/>
          <w:szCs w:val="16"/>
          <w:color w:val="auto"/>
        </w:rPr>
      </w:pPr>
    </w:p>
    <w:p>
      <w:pPr>
        <w:ind w:right="20" w:firstLine="1720"/>
        <w:spacing w:after="0" w:line="311" w:lineRule="auto"/>
        <w:tabs>
          <w:tab w:leader="none" w:pos="2144" w:val="left"/>
        </w:tabs>
        <w:numPr>
          <w:ilvl w:val="1"/>
          <w:numId w:val="265"/>
        </w:numPr>
        <w:rPr>
          <w:rFonts w:ascii="Arial" w:cs="Arial" w:eastAsia="Arial" w:hAnsi="Arial"/>
          <w:sz w:val="14"/>
          <w:szCs w:val="14"/>
          <w:color w:val="auto"/>
        </w:rPr>
      </w:pPr>
      <w:r>
        <w:rPr>
          <w:rFonts w:ascii="Arial" w:cs="Arial" w:eastAsia="Arial" w:hAnsi="Arial"/>
          <w:sz w:val="14"/>
          <w:szCs w:val="14"/>
          <w:color w:val="auto"/>
        </w:rPr>
        <w:t>(i) At or promptly after the Effective Time, each outstanding Company Stock Option (each, a “</w:t>
      </w:r>
      <w:r>
        <w:rPr>
          <w:rFonts w:ascii="Arial" w:cs="Arial" w:eastAsia="Arial" w:hAnsi="Arial"/>
          <w:sz w:val="14"/>
          <w:szCs w:val="14"/>
          <w:b w:val="1"/>
          <w:bCs w:val="1"/>
          <w:color w:val="auto"/>
        </w:rPr>
        <w:t>Former Employee Option</w:t>
      </w:r>
      <w:r>
        <w:rPr>
          <w:rFonts w:ascii="Arial" w:cs="Arial" w:eastAsia="Arial" w:hAnsi="Arial"/>
          <w:sz w:val="14"/>
          <w:szCs w:val="14"/>
          <w:color w:val="auto"/>
        </w:rPr>
        <w:t>”) held by a former employee or individual contractor of the Company (each, a “</w:t>
      </w:r>
      <w:r>
        <w:rPr>
          <w:rFonts w:ascii="Arial" w:cs="Arial" w:eastAsia="Arial" w:hAnsi="Arial"/>
          <w:sz w:val="14"/>
          <w:szCs w:val="14"/>
          <w:b w:val="1"/>
          <w:bCs w:val="1"/>
          <w:color w:val="auto"/>
        </w:rPr>
        <w:t>Former Employee</w:t>
      </w:r>
      <w:r>
        <w:rPr>
          <w:rFonts w:ascii="Arial" w:cs="Arial" w:eastAsia="Arial" w:hAnsi="Arial"/>
          <w:sz w:val="14"/>
          <w:szCs w:val="14"/>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4"/>
          <w:szCs w:val="14"/>
          <w:b w:val="1"/>
          <w:bCs w:val="1"/>
          <w:color w:val="auto"/>
        </w:rPr>
        <w:t>Notional Adjusted Option</w:t>
      </w:r>
      <w:r>
        <w:rPr>
          <w:rFonts w:ascii="Arial" w:cs="Arial" w:eastAsia="Arial" w:hAnsi="Arial"/>
          <w:sz w:val="14"/>
          <w:szCs w:val="14"/>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1" w:lineRule="exact"/>
        <w:rPr>
          <w:rFonts w:ascii="Arial" w:cs="Arial" w:eastAsia="Arial" w:hAnsi="Arial"/>
          <w:sz w:val="14"/>
          <w:szCs w:val="14"/>
          <w:color w:val="auto"/>
        </w:rPr>
      </w:pPr>
    </w:p>
    <w:p>
      <w:pPr>
        <w:ind w:left="1720" w:right="60" w:firstLine="679"/>
        <w:spacing w:after="0" w:line="320" w:lineRule="auto"/>
        <w:tabs>
          <w:tab w:leader="none" w:pos="2831" w:val="left"/>
        </w:tabs>
        <w:numPr>
          <w:ilvl w:val="2"/>
          <w:numId w:val="265"/>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Former Employee RSU</w:t>
      </w:r>
      <w:r>
        <w:rPr>
          <w:rFonts w:ascii="Arial" w:cs="Arial" w:eastAsia="Arial" w:hAnsi="Arial"/>
          <w:sz w:val="14"/>
          <w:szCs w:val="14"/>
          <w:color w:val="auto"/>
        </w:rPr>
        <w:t>”) held by a Former Employee, whether or not vested, shall be canceled, and the Company shall pay each such 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59" w:lineRule="exact"/>
        <w:rPr>
          <w:rFonts w:ascii="Arial" w:cs="Arial" w:eastAsia="Arial" w:hAnsi="Arial"/>
          <w:sz w:val="14"/>
          <w:szCs w:val="14"/>
          <w:color w:val="auto"/>
        </w:rPr>
      </w:pPr>
    </w:p>
    <w:p>
      <w:pPr>
        <w:ind w:left="2180" w:hanging="460"/>
        <w:spacing w:after="0"/>
        <w:tabs>
          <w:tab w:leader="none" w:pos="218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Parent shall take such actions as are necessary for the assumption of the Company Stock Options and Company RSUs pursuant to Sections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79" w:lineRule="exact"/>
        <w:rPr>
          <w:sz w:val="20"/>
          <w:szCs w:val="20"/>
          <w:color w:val="auto"/>
        </w:rPr>
      </w:pPr>
    </w:p>
    <w:p>
      <w:pPr>
        <w:ind w:right="100" w:firstLine="1720"/>
        <w:spacing w:after="0" w:line="293" w:lineRule="auto"/>
        <w:tabs>
          <w:tab w:leader="none" w:pos="215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Prior to the Effective Time, the Company shall take any actions with respect to equity compensation plans or arrangements that are necessary to give effect to the transactions contemplated by this Section 2.04.</w:t>
      </w:r>
    </w:p>
    <w:p>
      <w:pPr>
        <w:spacing w:after="0" w:line="172" w:lineRule="exact"/>
        <w:rPr>
          <w:sz w:val="20"/>
          <w:szCs w:val="20"/>
          <w:color w:val="auto"/>
        </w:rPr>
      </w:pPr>
    </w:p>
    <w:p>
      <w:pPr>
        <w:ind w:right="100" w:firstLine="799"/>
        <w:spacing w:after="0" w:line="27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Adjustments</w:t>
      </w:r>
      <w:r>
        <w:rPr>
          <w:rFonts w:ascii="Arial" w:cs="Arial" w:eastAsia="Arial" w:hAnsi="Arial"/>
          <w:sz w:val="16"/>
          <w:szCs w:val="16"/>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90"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90" w:lineRule="exact"/>
        <w:rPr>
          <w:sz w:val="20"/>
          <w:szCs w:val="20"/>
          <w:color w:val="auto"/>
        </w:rPr>
      </w:pPr>
    </w:p>
    <w:p>
      <w:pPr>
        <w:ind w:right="100" w:firstLine="799"/>
        <w:spacing w:after="0" w:line="291"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77"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Surviving Corporation</w:t>
      </w:r>
    </w:p>
    <w:p>
      <w:pPr>
        <w:spacing w:after="0" w:line="23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The certificate of incorporation of the Company shall be the certificate of incorporation of the Surviving Corporation until amended in accordance with Applicable Law.</w:t>
      </w:r>
    </w:p>
    <w:p>
      <w:pPr>
        <w:spacing w:after="0" w:line="172" w:lineRule="exact"/>
        <w:rPr>
          <w:sz w:val="20"/>
          <w:szCs w:val="20"/>
          <w:color w:val="auto"/>
        </w:rPr>
      </w:pPr>
    </w:p>
    <w:p>
      <w:pPr>
        <w:ind w:right="440" w:firstLine="799"/>
        <w:spacing w:after="0" w:line="369"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Bylaws</w:t>
      </w:r>
      <w:r>
        <w:rPr>
          <w:rFonts w:ascii="Arial" w:cs="Arial" w:eastAsia="Arial" w:hAnsi="Arial"/>
          <w:sz w:val="14"/>
          <w:szCs w:val="14"/>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26" w:lineRule="exact"/>
        <w:rPr>
          <w:sz w:val="20"/>
          <w:szCs w:val="20"/>
          <w:color w:val="auto"/>
        </w:rPr>
      </w:pPr>
    </w:p>
    <w:p>
      <w:pPr>
        <w:ind w:right="380" w:firstLine="799"/>
        <w:spacing w:after="0" w:line="27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Directors and Officers</w:t>
      </w:r>
      <w:r>
        <w:rPr>
          <w:rFonts w:ascii="Arial" w:cs="Arial" w:eastAsia="Arial" w:hAnsi="Arial"/>
          <w:sz w:val="16"/>
          <w:szCs w:val="16"/>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31"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6"/>
          <w:szCs w:val="16"/>
          <w:b w:val="1"/>
          <w:bCs w:val="1"/>
          <w:color w:val="auto"/>
        </w:rPr>
        <w:t>Specified Company SEC Documents</w:t>
      </w:r>
      <w:r>
        <w:rPr>
          <w:rFonts w:ascii="Arial" w:cs="Arial" w:eastAsia="Arial" w:hAnsi="Arial"/>
          <w:sz w:val="16"/>
          <w:szCs w:val="16"/>
          <w:color w:val="auto"/>
        </w:rPr>
        <w:t>”) or (b) as set forth in the Company Disclosure Schedule, the Company represents and warrants to Parent that:</w:t>
      </w:r>
    </w:p>
    <w:p>
      <w:pPr>
        <w:spacing w:after="0" w:line="18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The Company is a corporation duly incorporated, validly existing and in good standing under the laws of the State of Delaware and has all corporate powers and all Governmental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90"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i w:val="1"/>
          <w:iCs w:val="1"/>
          <w:color w:val="auto"/>
        </w:rPr>
        <w:t>Corporate Authorization</w:t>
      </w:r>
      <w:r>
        <w:rPr>
          <w:rFonts w:ascii="Arial" w:cs="Arial" w:eastAsia="Arial" w:hAnsi="Arial"/>
          <w:sz w:val="15"/>
          <w:szCs w:val="15"/>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5"/>
          <w:szCs w:val="15"/>
          <w:b w:val="1"/>
          <w:bCs w:val="1"/>
          <w:color w:val="auto"/>
        </w:rPr>
        <w:t>Company Stockholder Approval</w:t>
      </w:r>
      <w:r>
        <w:rPr>
          <w:rFonts w:ascii="Arial" w:cs="Arial" w:eastAsia="Arial" w:hAnsi="Arial"/>
          <w:sz w:val="15"/>
          <w:szCs w:val="15"/>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81" w:lineRule="exact"/>
        <w:rPr>
          <w:sz w:val="20"/>
          <w:szCs w:val="20"/>
          <w:color w:val="auto"/>
        </w:rPr>
      </w:pPr>
    </w:p>
    <w:p>
      <w:pPr>
        <w:ind w:right="220" w:firstLine="1720"/>
        <w:spacing w:after="0" w:line="304" w:lineRule="auto"/>
        <w:tabs>
          <w:tab w:leader="none" w:pos="2135" w:val="left"/>
        </w:tabs>
        <w:numPr>
          <w:ilvl w:val="1"/>
          <w:numId w:val="267"/>
        </w:numPr>
        <w:rPr>
          <w:rFonts w:ascii="Arial" w:cs="Arial" w:eastAsia="Arial" w:hAnsi="Arial"/>
          <w:sz w:val="14"/>
          <w:szCs w:val="14"/>
          <w:color w:val="auto"/>
        </w:rPr>
      </w:pPr>
      <w:r>
        <w:rPr>
          <w:rFonts w:ascii="Arial" w:cs="Arial" w:eastAsia="Arial" w:hAnsi="Arial"/>
          <w:sz w:val="14"/>
          <w:szCs w:val="14"/>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w:t>
      </w:r>
    </w:p>
    <w:p>
      <w:pPr>
        <w:spacing w:after="0" w:line="1" w:lineRule="exact"/>
        <w:rPr>
          <w:rFonts w:ascii="Arial" w:cs="Arial" w:eastAsia="Arial" w:hAnsi="Arial"/>
          <w:sz w:val="14"/>
          <w:szCs w:val="14"/>
          <w:color w:val="auto"/>
        </w:rPr>
      </w:pPr>
    </w:p>
    <w:p>
      <w:pPr>
        <w:ind w:right="420" w:firstLine="8"/>
        <w:spacing w:after="0" w:line="288" w:lineRule="auto"/>
        <w:tabs>
          <w:tab w:leader="none" w:pos="23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w:t>
      </w:r>
    </w:p>
    <w:p>
      <w:pPr>
        <w:spacing w:after="0" w:line="176" w:lineRule="exact"/>
        <w:rPr>
          <w:sz w:val="20"/>
          <w:szCs w:val="20"/>
          <w:color w:val="auto"/>
        </w:rPr>
      </w:pPr>
    </w:p>
    <w:p>
      <w:pPr>
        <w:ind w:right="40" w:firstLine="799"/>
        <w:spacing w:after="0" w:line="302"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w:t>
      </w:r>
    </w:p>
    <w:p>
      <w:pPr>
        <w:spacing w:after="0" w:line="4" w:lineRule="exact"/>
        <w:rPr>
          <w:sz w:val="20"/>
          <w:szCs w:val="20"/>
          <w:color w:val="auto"/>
        </w:rPr>
      </w:pPr>
    </w:p>
    <w:p>
      <w:pPr>
        <w:ind w:right="80" w:firstLine="8"/>
        <w:spacing w:after="0" w:line="323" w:lineRule="auto"/>
        <w:tabs>
          <w:tab w:leader="none" w:pos="32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compliance with any applicable requirements of the New York Stock Exchange (the “</w:t>
      </w:r>
      <w:r>
        <w:rPr>
          <w:rFonts w:ascii="Arial" w:cs="Arial" w:eastAsia="Arial" w:hAnsi="Arial"/>
          <w:sz w:val="15"/>
          <w:szCs w:val="15"/>
          <w:b w:val="1"/>
          <w:bCs w:val="1"/>
          <w:color w:val="auto"/>
        </w:rPr>
        <w:t>NYSE</w:t>
      </w:r>
      <w:r>
        <w:rPr>
          <w:rFonts w:ascii="Arial" w:cs="Arial" w:eastAsia="Arial" w:hAnsi="Arial"/>
          <w:sz w:val="15"/>
          <w:szCs w:val="15"/>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53"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799"/>
        <w:spacing w:after="0" w:line="26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193" w:lineRule="exact"/>
        <w:rPr>
          <w:sz w:val="20"/>
          <w:szCs w:val="20"/>
          <w:color w:val="auto"/>
        </w:rPr>
      </w:pPr>
    </w:p>
    <w:p>
      <w:pPr>
        <w:ind w:right="80" w:firstLine="1720"/>
        <w:spacing w:after="0" w:line="303" w:lineRule="auto"/>
        <w:tabs>
          <w:tab w:leader="none" w:pos="2141" w:val="left"/>
        </w:tabs>
        <w:numPr>
          <w:ilvl w:val="1"/>
          <w:numId w:val="270"/>
        </w:numPr>
        <w:rPr>
          <w:rFonts w:ascii="Arial" w:cs="Arial" w:eastAsia="Arial" w:hAnsi="Arial"/>
          <w:sz w:val="14"/>
          <w:szCs w:val="14"/>
          <w:color w:val="auto"/>
        </w:rPr>
      </w:pPr>
      <w:r>
        <w:rPr>
          <w:rFonts w:ascii="Arial" w:cs="Arial" w:eastAsia="Arial" w:hAnsi="Arial"/>
          <w:sz w:val="14"/>
          <w:szCs w:val="14"/>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w:t>
      </w:r>
    </w:p>
    <w:p>
      <w:pPr>
        <w:ind w:firstLine="8"/>
        <w:spacing w:after="0" w:line="267" w:lineRule="auto"/>
        <w:tabs>
          <w:tab w:leader="none" w:pos="28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6"/>
          <w:szCs w:val="16"/>
          <w:b w:val="1"/>
          <w:bCs w:val="1"/>
          <w:color w:val="auto"/>
        </w:rPr>
        <w:t>Company Securities</w:t>
      </w:r>
      <w:r>
        <w:rPr>
          <w:rFonts w:ascii="Arial" w:cs="Arial" w:eastAsia="Arial" w:hAnsi="Arial"/>
          <w:sz w:val="16"/>
          <w:szCs w:val="16"/>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95"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5"/>
          <w:szCs w:val="15"/>
          <w:b w:val="1"/>
          <w:bCs w:val="1"/>
          <w:color w:val="auto"/>
        </w:rPr>
        <w:t>significant subsidiaries</w:t>
      </w:r>
      <w:r>
        <w:rPr>
          <w:rFonts w:ascii="Arial" w:cs="Arial" w:eastAsia="Arial" w:hAnsi="Arial"/>
          <w:sz w:val="15"/>
          <w:szCs w:val="15"/>
          <w:color w:val="auto"/>
        </w:rPr>
        <w:t>” (as defined under Rule 1-02(w) of Regulation S-X promulgated pursuant to the 1934 Act) (each, a “</w:t>
      </w:r>
      <w:r>
        <w:rPr>
          <w:rFonts w:ascii="Arial" w:cs="Arial" w:eastAsia="Arial" w:hAnsi="Arial"/>
          <w:sz w:val="15"/>
          <w:szCs w:val="15"/>
          <w:b w:val="1"/>
          <w:bCs w:val="1"/>
          <w:color w:val="auto"/>
        </w:rPr>
        <w:t>Significant Subsidiary</w:t>
      </w:r>
      <w:r>
        <w:rPr>
          <w:rFonts w:ascii="Arial" w:cs="Arial" w:eastAsia="Arial" w:hAnsi="Arial"/>
          <w:sz w:val="15"/>
          <w:szCs w:val="15"/>
          <w:color w:val="auto"/>
        </w:rPr>
        <w:t>”) of the Company and their respective jurisdictions of organization</w:t>
      </w:r>
    </w:p>
    <w:p>
      <w:pPr>
        <w:spacing w:after="0" w:line="183" w:lineRule="exact"/>
        <w:rPr>
          <w:sz w:val="20"/>
          <w:szCs w:val="20"/>
          <w:color w:val="auto"/>
        </w:rPr>
      </w:pPr>
    </w:p>
    <w:p>
      <w:pPr>
        <w:ind w:right="40" w:firstLine="1720"/>
        <w:spacing w:after="0" w:line="303" w:lineRule="auto"/>
        <w:tabs>
          <w:tab w:leader="none" w:pos="2135" w:val="left"/>
        </w:tabs>
        <w:numPr>
          <w:ilvl w:val="1"/>
          <w:numId w:val="272"/>
        </w:numPr>
        <w:rPr>
          <w:rFonts w:ascii="Arial" w:cs="Arial" w:eastAsia="Arial" w:hAnsi="Arial"/>
          <w:sz w:val="14"/>
          <w:szCs w:val="14"/>
          <w:color w:val="auto"/>
        </w:rPr>
      </w:pPr>
      <w:r>
        <w:rPr>
          <w:rFonts w:ascii="Arial" w:cs="Arial" w:eastAsia="Arial" w:hAnsi="Arial"/>
          <w:sz w:val="14"/>
          <w:szCs w:val="14"/>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4"/>
          <w:szCs w:val="14"/>
          <w:color w:val="auto"/>
        </w:rPr>
      </w:pPr>
    </w:p>
    <w:p>
      <w:pPr>
        <w:ind w:right="20" w:firstLine="8"/>
        <w:spacing w:after="0" w:line="301" w:lineRule="auto"/>
        <w:tabs>
          <w:tab w:leader="none" w:pos="239" w:val="left"/>
        </w:tabs>
        <w:numPr>
          <w:ilvl w:val="0"/>
          <w:numId w:val="273"/>
        </w:numPr>
        <w:rPr>
          <w:rFonts w:ascii="Arial" w:cs="Arial" w:eastAsia="Arial" w:hAnsi="Arial"/>
          <w:sz w:val="14"/>
          <w:szCs w:val="14"/>
          <w:color w:val="auto"/>
        </w:rPr>
      </w:pPr>
      <w:r>
        <w:rPr>
          <w:rFonts w:ascii="Arial" w:cs="Arial" w:eastAsia="Arial" w:hAnsi="Arial"/>
          <w:sz w:val="14"/>
          <w:szCs w:val="14"/>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w:t>
      </w:r>
    </w:p>
    <w:p>
      <w:pPr>
        <w:spacing w:after="0" w:line="3" w:lineRule="exact"/>
        <w:rPr>
          <w:rFonts w:ascii="Arial" w:cs="Arial" w:eastAsia="Arial" w:hAnsi="Arial"/>
          <w:sz w:val="14"/>
          <w:szCs w:val="14"/>
          <w:color w:val="auto"/>
        </w:rPr>
      </w:pPr>
    </w:p>
    <w:p>
      <w:pPr>
        <w:ind w:right="300" w:firstLine="8"/>
        <w:spacing w:after="0" w:line="288" w:lineRule="auto"/>
        <w:tabs>
          <w:tab w:leader="none" w:pos="19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firstLine="1720"/>
        <w:spacing w:after="0" w:line="268" w:lineRule="auto"/>
        <w:tabs>
          <w:tab w:leader="none" w:pos="21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93" w:lineRule="exact"/>
        <w:rPr>
          <w:sz w:val="20"/>
          <w:szCs w:val="20"/>
          <w:color w:val="auto"/>
        </w:rPr>
      </w:pPr>
    </w:p>
    <w:p>
      <w:pPr>
        <w:ind w:right="140" w:firstLine="799"/>
        <w:spacing w:after="0" w:line="273"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6"/>
          <w:szCs w:val="16"/>
          <w:b w:val="1"/>
          <w:bCs w:val="1"/>
          <w:color w:val="auto"/>
        </w:rPr>
        <w:t>Company SEC Documents</w:t>
      </w:r>
      <w:r>
        <w:rPr>
          <w:rFonts w:ascii="Arial" w:cs="Arial" w:eastAsia="Arial" w:hAnsi="Arial"/>
          <w:sz w:val="16"/>
          <w:szCs w:val="16"/>
          <w:color w:val="auto"/>
        </w:rPr>
        <w:t>”).</w:t>
      </w:r>
    </w:p>
    <w:p>
      <w:pPr>
        <w:spacing w:after="0" w:line="189" w:lineRule="exact"/>
        <w:rPr>
          <w:sz w:val="20"/>
          <w:szCs w:val="20"/>
          <w:color w:val="auto"/>
        </w:rPr>
      </w:pPr>
    </w:p>
    <w:p>
      <w:pPr>
        <w:ind w:right="20" w:firstLine="1720"/>
        <w:spacing w:after="0" w:line="278" w:lineRule="auto"/>
        <w:tabs>
          <w:tab w:leader="none" w:pos="213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184" w:lineRule="exact"/>
        <w:rPr>
          <w:rFonts w:ascii="Arial" w:cs="Arial" w:eastAsia="Arial" w:hAnsi="Arial"/>
          <w:sz w:val="16"/>
          <w:szCs w:val="16"/>
          <w:color w:val="auto"/>
        </w:rPr>
      </w:pPr>
    </w:p>
    <w:p>
      <w:pPr>
        <w:jc w:val="both"/>
        <w:ind w:firstLine="1720"/>
        <w:spacing w:after="0" w:line="273" w:lineRule="auto"/>
        <w:tabs>
          <w:tab w:leader="none" w:pos="212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jc w:val="both"/>
        <w:ind w:right="14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220" w:firstLine="1720"/>
        <w:spacing w:after="0" w:line="291" w:lineRule="auto"/>
        <w:tabs>
          <w:tab w:leader="none" w:pos="217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5"/>
          <w:szCs w:val="15"/>
          <w:b w:val="1"/>
          <w:bCs w:val="1"/>
          <w:color w:val="auto"/>
        </w:rPr>
        <w:t>principal executive officer</w:t>
      </w:r>
      <w:r>
        <w:rPr>
          <w:rFonts w:ascii="Arial" w:cs="Arial" w:eastAsia="Arial" w:hAnsi="Arial"/>
          <w:sz w:val="15"/>
          <w:szCs w:val="15"/>
          <w:color w:val="auto"/>
        </w:rPr>
        <w:t>” and “</w:t>
      </w:r>
      <w:r>
        <w:rPr>
          <w:rFonts w:ascii="Arial" w:cs="Arial" w:eastAsia="Arial" w:hAnsi="Arial"/>
          <w:sz w:val="15"/>
          <w:szCs w:val="15"/>
          <w:b w:val="1"/>
          <w:bCs w:val="1"/>
          <w:color w:val="auto"/>
        </w:rPr>
        <w:t>principal financial officer</w:t>
      </w:r>
      <w:r>
        <w:rPr>
          <w:rFonts w:ascii="Arial" w:cs="Arial" w:eastAsia="Arial" w:hAnsi="Arial"/>
          <w:sz w:val="15"/>
          <w:szCs w:val="15"/>
          <w:color w:val="auto"/>
        </w:rPr>
        <w:t>” shall have the meanings given to such terms in the Sarbanes-Oxley Act.</w:t>
      </w:r>
    </w:p>
    <w:p>
      <w:pPr>
        <w:spacing w:after="0" w:line="176" w:lineRule="exact"/>
        <w:rPr>
          <w:rFonts w:ascii="Arial" w:cs="Arial" w:eastAsia="Arial" w:hAnsi="Arial"/>
          <w:sz w:val="15"/>
          <w:szCs w:val="15"/>
          <w:color w:val="auto"/>
        </w:rPr>
      </w:pPr>
    </w:p>
    <w:p>
      <w:pPr>
        <w:ind w:right="80" w:firstLine="1720"/>
        <w:spacing w:after="0" w:line="313" w:lineRule="auto"/>
        <w:tabs>
          <w:tab w:leader="none" w:pos="2114" w:val="left"/>
        </w:tabs>
        <w:numPr>
          <w:ilvl w:val="0"/>
          <w:numId w:val="276"/>
        </w:numPr>
        <w:rPr>
          <w:rFonts w:ascii="Arial" w:cs="Arial" w:eastAsia="Arial" w:hAnsi="Arial"/>
          <w:sz w:val="14"/>
          <w:szCs w:val="14"/>
          <w:color w:val="auto"/>
        </w:rPr>
      </w:pPr>
      <w:r>
        <w:rPr>
          <w:rFonts w:ascii="Arial" w:cs="Arial" w:eastAsia="Arial" w:hAnsi="Arial"/>
          <w:sz w:val="14"/>
          <w:szCs w:val="14"/>
          <w:color w:val="auto"/>
        </w:rPr>
        <w:t>The Company and its Subsidiaries have established and maintained a system of internal controls over financial reporting (as defined in Rule 13a-15 under the 1934 Act) (“</w:t>
      </w:r>
      <w:r>
        <w:rPr>
          <w:rFonts w:ascii="Arial" w:cs="Arial" w:eastAsia="Arial" w:hAnsi="Arial"/>
          <w:sz w:val="14"/>
          <w:szCs w:val="14"/>
          <w:b w:val="1"/>
          <w:bCs w:val="1"/>
          <w:color w:val="auto"/>
        </w:rPr>
        <w:t>internal controls</w:t>
      </w:r>
      <w:r>
        <w:rPr>
          <w:rFonts w:ascii="Arial" w:cs="Arial" w:eastAsia="Arial" w:hAnsi="Arial"/>
          <w:sz w:val="14"/>
          <w:szCs w:val="14"/>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4" w:lineRule="exact"/>
        <w:rPr>
          <w:rFonts w:ascii="Arial" w:cs="Arial" w:eastAsia="Arial" w:hAnsi="Arial"/>
          <w:sz w:val="14"/>
          <w:szCs w:val="14"/>
          <w:color w:val="auto"/>
        </w:rPr>
      </w:pPr>
    </w:p>
    <w:p>
      <w:pPr>
        <w:jc w:val="both"/>
        <w:ind w:right="50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firstLine="1720"/>
        <w:spacing w:after="0" w:line="293" w:lineRule="auto"/>
        <w:tabs>
          <w:tab w:leader="none" w:pos="214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72" w:lineRule="exact"/>
        <w:rPr>
          <w:rFonts w:ascii="Arial" w:cs="Arial" w:eastAsia="Arial" w:hAnsi="Arial"/>
          <w:sz w:val="16"/>
          <w:szCs w:val="16"/>
          <w:color w:val="auto"/>
        </w:rPr>
      </w:pPr>
    </w:p>
    <w:p>
      <w:pPr>
        <w:ind w:right="20" w:firstLine="1720"/>
        <w:spacing w:after="0" w:line="335" w:lineRule="auto"/>
        <w:tabs>
          <w:tab w:leader="none" w:pos="2108" w:val="left"/>
        </w:tabs>
        <w:numPr>
          <w:ilvl w:val="0"/>
          <w:numId w:val="277"/>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49" w:lineRule="exact"/>
        <w:rPr>
          <w:rFonts w:ascii="Arial" w:cs="Arial" w:eastAsia="Arial" w:hAnsi="Arial"/>
          <w:sz w:val="14"/>
          <w:szCs w:val="14"/>
          <w:color w:val="auto"/>
        </w:rPr>
      </w:pPr>
    </w:p>
    <w:p>
      <w:pPr>
        <w:ind w:right="80" w:firstLine="1720"/>
        <w:spacing w:after="0" w:line="278"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84" w:lineRule="exact"/>
        <w:rPr>
          <w:rFonts w:ascii="Arial" w:cs="Arial" w:eastAsia="Arial" w:hAnsi="Arial"/>
          <w:sz w:val="16"/>
          <w:szCs w:val="16"/>
          <w:color w:val="auto"/>
        </w:rPr>
      </w:pPr>
    </w:p>
    <w:p>
      <w:pPr>
        <w:ind w:right="160" w:firstLine="1720"/>
        <w:spacing w:after="0" w:line="297" w:lineRule="auto"/>
        <w:tabs>
          <w:tab w:leader="none" w:pos="2144"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72" w:lineRule="exact"/>
        <w:rPr>
          <w:rFonts w:ascii="Arial" w:cs="Arial" w:eastAsia="Arial" w:hAnsi="Arial"/>
          <w:sz w:val="15"/>
          <w:szCs w:val="15"/>
          <w:color w:val="auto"/>
        </w:rPr>
      </w:pPr>
    </w:p>
    <w:p>
      <w:pPr>
        <w:ind w:right="180" w:firstLine="1720"/>
        <w:spacing w:after="0" w:line="293"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2013, when filed with the SEC, will contain no material differences from the Company 10-K.</w:t>
      </w:r>
    </w:p>
    <w:p>
      <w:pPr>
        <w:spacing w:after="0" w:line="172" w:lineRule="exact"/>
        <w:rPr>
          <w:sz w:val="20"/>
          <w:szCs w:val="20"/>
          <w:color w:val="auto"/>
        </w:rPr>
      </w:pPr>
    </w:p>
    <w:p>
      <w:pPr>
        <w:ind w:right="60" w:firstLine="799"/>
        <w:spacing w:after="0" w:line="318" w:lineRule="auto"/>
        <w:rPr>
          <w:sz w:val="20"/>
          <w:szCs w:val="20"/>
          <w:color w:val="auto"/>
        </w:rPr>
      </w:pPr>
      <w:r>
        <w:rPr>
          <w:rFonts w:ascii="Arial" w:cs="Arial" w:eastAsia="Arial" w:hAnsi="Arial"/>
          <w:sz w:val="14"/>
          <w:szCs w:val="14"/>
          <w:color w:val="auto"/>
        </w:rPr>
        <w:t xml:space="preserve">Section 4.08. </w:t>
      </w:r>
      <w:r>
        <w:rPr>
          <w:rFonts w:ascii="Arial" w:cs="Arial" w:eastAsia="Arial" w:hAnsi="Arial"/>
          <w:sz w:val="14"/>
          <w:szCs w:val="14"/>
          <w:i w:val="1"/>
          <w:iCs w:val="1"/>
          <w:color w:val="auto"/>
        </w:rPr>
        <w:t>Financial Statements</w:t>
      </w:r>
      <w:r>
        <w:rPr>
          <w:rFonts w:ascii="Arial" w:cs="Arial" w:eastAsia="Arial" w:hAnsi="Arial"/>
          <w:sz w:val="14"/>
          <w:szCs w:val="14"/>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62" w:lineRule="exact"/>
        <w:rPr>
          <w:sz w:val="20"/>
          <w:szCs w:val="20"/>
          <w:color w:val="auto"/>
        </w:rPr>
      </w:pPr>
    </w:p>
    <w:p>
      <w:pPr>
        <w:ind w:right="20" w:firstLine="799"/>
        <w:spacing w:after="0" w:line="285" w:lineRule="auto"/>
        <w:rPr>
          <w:sz w:val="20"/>
          <w:szCs w:val="20"/>
          <w:color w:val="auto"/>
        </w:rPr>
      </w:pPr>
      <w:r>
        <w:rPr>
          <w:rFonts w:ascii="Arial" w:cs="Arial" w:eastAsia="Arial" w:hAnsi="Arial"/>
          <w:sz w:val="15"/>
          <w:szCs w:val="15"/>
          <w:color w:val="auto"/>
        </w:rPr>
        <w:t xml:space="preserve">Section 4.09. </w:t>
      </w:r>
      <w:r>
        <w:rPr>
          <w:rFonts w:ascii="Arial" w:cs="Arial" w:eastAsia="Arial" w:hAnsi="Arial"/>
          <w:sz w:val="15"/>
          <w:szCs w:val="15"/>
          <w:i w:val="1"/>
          <w:iCs w:val="1"/>
          <w:color w:val="auto"/>
        </w:rPr>
        <w:t>Disclosure Documents</w:t>
      </w:r>
      <w:r>
        <w:rPr>
          <w:rFonts w:ascii="Arial" w:cs="Arial" w:eastAsia="Arial" w:hAnsi="Arial"/>
          <w:sz w:val="15"/>
          <w:szCs w:val="15"/>
          <w:color w:val="auto"/>
        </w:rPr>
        <w:t>. The information supplied by the Company in writing for inclusion or incorporation by reference in the registration statement on Form S-4 or any amendment or supplement thereto pursuant to which shares of Parent Class A Common Stock issuable as part of the Merger Consideration will be registered with the SEC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5"/>
          <w:szCs w:val="15"/>
          <w:b w:val="1"/>
          <w:bCs w:val="1"/>
          <w:color w:val="auto"/>
        </w:rPr>
        <w:t>Joint Proxy Statement/Prospectus</w:t>
      </w:r>
      <w:r>
        <w:rPr>
          <w:rFonts w:ascii="Arial" w:cs="Arial" w:eastAsia="Arial" w:hAnsi="Arial"/>
          <w:sz w:val="15"/>
          <w:szCs w:val="15"/>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87"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Absence of Certain Changes</w:t>
      </w:r>
      <w:r>
        <w:rPr>
          <w:rFonts w:ascii="Arial" w:cs="Arial" w:eastAsia="Arial" w:hAnsi="Arial"/>
          <w:sz w:val="14"/>
          <w:szCs w:val="14"/>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80" w:firstLine="1720"/>
        <w:spacing w:after="0" w:line="278" w:lineRule="auto"/>
        <w:tabs>
          <w:tab w:leader="none" w:pos="2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84"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the Company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disclosed, reflected, reserved against or otherwise provided for in the Company Balance Sheet or in the notes thereto;</w:t>
      </w:r>
    </w:p>
    <w:p>
      <w:pPr>
        <w:spacing w:after="0" w:line="257" w:lineRule="exact"/>
        <w:rPr>
          <w:rFonts w:ascii="Arial" w:cs="Arial" w:eastAsia="Arial" w:hAnsi="Arial"/>
          <w:sz w:val="14"/>
          <w:szCs w:val="14"/>
          <w:color w:val="auto"/>
        </w:rPr>
      </w:pPr>
    </w:p>
    <w:p>
      <w:pPr>
        <w:ind w:left="2160" w:hanging="440"/>
        <w:spacing w:after="0"/>
        <w:tabs>
          <w:tab w:leader="none" w:pos="216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Company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that would not reasonably be expected to have, individually or in the aggregate, a Company Material Adverse Effect.</w:t>
      </w:r>
    </w:p>
    <w:p>
      <w:pPr>
        <w:spacing w:after="0" w:line="258" w:lineRule="exact"/>
        <w:rPr>
          <w:sz w:val="20"/>
          <w:szCs w:val="20"/>
          <w:color w:val="auto"/>
        </w:rPr>
      </w:pPr>
    </w:p>
    <w:p>
      <w:pPr>
        <w:ind w:firstLine="799"/>
        <w:spacing w:after="0" w:line="315"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i w:val="1"/>
          <w:iCs w:val="1"/>
          <w:color w:val="auto"/>
        </w:rPr>
        <w:t>Compliance with Laws and Court Orders; Governmental Authorizations</w:t>
      </w:r>
      <w:r>
        <w:rPr>
          <w:rFonts w:ascii="Arial" w:cs="Arial" w:eastAsia="Arial" w:hAnsi="Arial"/>
          <w:sz w:val="14"/>
          <w:szCs w:val="14"/>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4" w:lineRule="exact"/>
        <w:rPr>
          <w:sz w:val="20"/>
          <w:szCs w:val="20"/>
          <w:color w:val="auto"/>
        </w:rPr>
      </w:pPr>
    </w:p>
    <w:p>
      <w:pPr>
        <w:ind w:right="80" w:firstLine="1720"/>
        <w:spacing w:after="0" w:line="271" w:lineRule="auto"/>
        <w:tabs>
          <w:tab w:leader="none" w:pos="21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i w:val="1"/>
          <w:iCs w:val="1"/>
          <w:color w:val="auto"/>
        </w:rPr>
        <w:t>Litigation</w:t>
      </w:r>
      <w:r>
        <w:rPr>
          <w:rFonts w:ascii="Arial" w:cs="Arial" w:eastAsia="Arial" w:hAnsi="Arial"/>
          <w:sz w:val="15"/>
          <w:szCs w:val="15"/>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7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Properties</w:t>
      </w:r>
      <w:r>
        <w:rPr>
          <w:rFonts w:ascii="Arial" w:cs="Arial" w:eastAsia="Arial" w:hAnsi="Arial"/>
          <w:sz w:val="16"/>
          <w:szCs w:val="16"/>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189" w:lineRule="exact"/>
        <w:rPr>
          <w:sz w:val="20"/>
          <w:szCs w:val="20"/>
          <w:color w:val="auto"/>
        </w:rPr>
      </w:pPr>
    </w:p>
    <w:p>
      <w:pPr>
        <w:ind w:right="20" w:firstLine="1720"/>
        <w:spacing w:after="0" w:line="304" w:lineRule="auto"/>
        <w:tabs>
          <w:tab w:leader="none" w:pos="2144" w:val="left"/>
        </w:tabs>
        <w:numPr>
          <w:ilvl w:val="1"/>
          <w:numId w:val="281"/>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each lease, sublease or license (each, a “</w:t>
      </w:r>
      <w:r>
        <w:rPr>
          <w:rFonts w:ascii="Arial" w:cs="Arial" w:eastAsia="Arial" w:hAnsi="Arial"/>
          <w:sz w:val="14"/>
          <w:szCs w:val="14"/>
          <w:b w:val="1"/>
          <w:bCs w:val="1"/>
          <w:color w:val="auto"/>
        </w:rPr>
        <w:t>Lease</w:t>
      </w:r>
      <w:r>
        <w:rPr>
          <w:rFonts w:ascii="Arial" w:cs="Arial" w:eastAsia="Arial" w:hAnsi="Arial"/>
          <w:sz w:val="14"/>
          <w:szCs w:val="14"/>
          <w:color w:val="auto"/>
        </w:rPr>
        <w:t>”) under which the Company or any of its Subsidiaries leases, subleases or licenses any real property is valid and in full force and effect and</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other party to a Lease, has violated any provision of, or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60" w:right="2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Section 4.15. </w:t>
      </w:r>
      <w:r>
        <w:rPr>
          <w:rFonts w:ascii="Arial" w:cs="Arial" w:eastAsia="Arial" w:hAnsi="Arial"/>
          <w:sz w:val="14"/>
          <w:szCs w:val="14"/>
          <w:i w:val="1"/>
          <w:iCs w:val="1"/>
          <w:color w:val="auto"/>
        </w:rPr>
        <w:t>Intellectual Property</w:t>
      </w:r>
      <w:r>
        <w:rPr>
          <w:rFonts w:ascii="Arial" w:cs="Arial" w:eastAsia="Arial" w:hAnsi="Arial"/>
          <w:sz w:val="14"/>
          <w:szCs w:val="14"/>
          <w:color w:val="auto"/>
        </w:rPr>
        <w:t>. (a) Except as would not reasonably be expected to have, individually or in the aggregate, a Company Material Adverse Effect,</w:t>
      </w:r>
    </w:p>
    <w:p>
      <w:pPr>
        <w:spacing w:after="0" w:line="45" w:lineRule="exact"/>
        <w:rPr>
          <w:sz w:val="20"/>
          <w:szCs w:val="20"/>
          <w:color w:val="auto"/>
        </w:rPr>
      </w:pPr>
    </w:p>
    <w:p>
      <w:pPr>
        <w:jc w:val="both"/>
        <w:ind w:right="40" w:firstLine="8"/>
        <w:spacing w:after="0" w:line="272" w:lineRule="auto"/>
        <w:tabs>
          <w:tab w:leader="none" w:pos="19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88" w:lineRule="exact"/>
        <w:rPr>
          <w:rFonts w:ascii="Arial" w:cs="Arial" w:eastAsia="Arial" w:hAnsi="Arial"/>
          <w:sz w:val="16"/>
          <w:szCs w:val="16"/>
          <w:color w:val="auto"/>
        </w:rPr>
      </w:pPr>
    </w:p>
    <w:p>
      <w:pPr>
        <w:ind w:firstLine="1720"/>
        <w:spacing w:after="0" w:line="288" w:lineRule="auto"/>
        <w:tabs>
          <w:tab w:leader="none" w:pos="2144"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80" w:lineRule="exact"/>
        <w:rPr>
          <w:rFonts w:ascii="Arial" w:cs="Arial" w:eastAsia="Arial" w:hAnsi="Arial"/>
          <w:sz w:val="15"/>
          <w:szCs w:val="15"/>
          <w:color w:val="auto"/>
        </w:rPr>
      </w:pPr>
    </w:p>
    <w:p>
      <w:pPr>
        <w:ind w:right="80" w:firstLine="1720"/>
        <w:spacing w:after="0" w:line="291" w:lineRule="auto"/>
        <w:tabs>
          <w:tab w:leader="none" w:pos="2135"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176" w:lineRule="exact"/>
        <w:rPr>
          <w:rFonts w:ascii="Arial" w:cs="Arial" w:eastAsia="Arial" w:hAnsi="Arial"/>
          <w:sz w:val="15"/>
          <w:szCs w:val="15"/>
          <w:color w:val="auto"/>
        </w:rPr>
      </w:pPr>
    </w:p>
    <w:p>
      <w:pPr>
        <w:ind w:right="60" w:firstLine="1720"/>
        <w:spacing w:after="0" w:line="318" w:lineRule="auto"/>
        <w:tabs>
          <w:tab w:leader="none" w:pos="2144" w:val="left"/>
        </w:tabs>
        <w:numPr>
          <w:ilvl w:val="1"/>
          <w:numId w:val="283"/>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62" w:lineRule="exact"/>
        <w:rPr>
          <w:rFonts w:ascii="Arial" w:cs="Arial" w:eastAsia="Arial" w:hAnsi="Arial"/>
          <w:sz w:val="14"/>
          <w:szCs w:val="14"/>
          <w:color w:val="auto"/>
        </w:rPr>
      </w:pPr>
    </w:p>
    <w:p>
      <w:pPr>
        <w:ind w:right="160" w:firstLine="1720"/>
        <w:spacing w:after="0" w:line="271" w:lineRule="auto"/>
        <w:tabs>
          <w:tab w:leader="none" w:pos="213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35" w:lineRule="exact"/>
        <w:rPr>
          <w:sz w:val="20"/>
          <w:szCs w:val="20"/>
          <w:color w:val="auto"/>
        </w:rPr>
      </w:pPr>
    </w:p>
    <w:p>
      <w:pPr>
        <w:ind w:right="500" w:firstLine="807"/>
        <w:spacing w:after="0" w:line="293" w:lineRule="auto"/>
        <w:tabs>
          <w:tab w:leader="none" w:pos="101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72" w:lineRule="exact"/>
        <w:rPr>
          <w:sz w:val="20"/>
          <w:szCs w:val="20"/>
          <w:color w:val="auto"/>
        </w:rPr>
      </w:pPr>
    </w:p>
    <w:p>
      <w:pPr>
        <w:ind w:left="1720" w:right="180" w:firstLine="679"/>
        <w:spacing w:after="0" w:line="293" w:lineRule="auto"/>
        <w:tabs>
          <w:tab w:leader="none" w:pos="28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paid to the appropriate Taxing Authority all Taxes shown as due and payable on all Tax Returns that have been so filed;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600" w:firstLine="679"/>
        <w:spacing w:after="0" w:line="293" w:lineRule="auto"/>
        <w:tabs>
          <w:tab w:leader="none" w:pos="288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accruals and reserves with respect to Taxes as set forth on the Company Balance Sheet are adequate (as determined in accordance with GAAP);</w:t>
      </w:r>
    </w:p>
    <w:p>
      <w:pPr>
        <w:spacing w:after="0" w:line="172" w:lineRule="exact"/>
        <w:rPr>
          <w:rFonts w:ascii="Arial" w:cs="Arial" w:eastAsia="Arial" w:hAnsi="Arial"/>
          <w:sz w:val="16"/>
          <w:szCs w:val="16"/>
          <w:color w:val="auto"/>
        </w:rPr>
      </w:pPr>
    </w:p>
    <w:p>
      <w:pPr>
        <w:ind w:left="1720" w:right="140" w:firstLine="679"/>
        <w:spacing w:after="0" w:line="293"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Company Balance Sheet Date;</w:t>
      </w:r>
    </w:p>
    <w:p>
      <w:pPr>
        <w:spacing w:after="0" w:line="172" w:lineRule="exact"/>
        <w:rPr>
          <w:rFonts w:ascii="Arial" w:cs="Arial" w:eastAsia="Arial" w:hAnsi="Arial"/>
          <w:sz w:val="16"/>
          <w:szCs w:val="16"/>
          <w:color w:val="auto"/>
        </w:rPr>
      </w:pPr>
    </w:p>
    <w:p>
      <w:pPr>
        <w:ind w:left="1720" w:right="380" w:firstLine="679"/>
        <w:spacing w:after="0" w:line="293" w:lineRule="auto"/>
        <w:tabs>
          <w:tab w:leader="none" w:pos="283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the Company’s knowledge, threatened against or with respect to the Company or any of its Subsidiaries in respect of any material Tax; and</w:t>
      </w:r>
    </w:p>
    <w:p>
      <w:pPr>
        <w:spacing w:after="0" w:line="172" w:lineRule="exact"/>
        <w:rPr>
          <w:rFonts w:ascii="Arial" w:cs="Arial" w:eastAsia="Arial" w:hAnsi="Arial"/>
          <w:sz w:val="16"/>
          <w:szCs w:val="16"/>
          <w:color w:val="auto"/>
        </w:rPr>
      </w:pPr>
    </w:p>
    <w:p>
      <w:pPr>
        <w:jc w:val="both"/>
        <w:ind w:left="1720" w:right="20" w:firstLine="679"/>
        <w:spacing w:after="0" w:line="278"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80" w:lineRule="exact"/>
        <w:rPr>
          <w:rFonts w:ascii="Arial" w:cs="Arial" w:eastAsia="Arial" w:hAnsi="Arial"/>
          <w:sz w:val="16"/>
          <w:szCs w:val="16"/>
          <w:color w:val="auto"/>
        </w:rPr>
      </w:pPr>
    </w:p>
    <w:p>
      <w:pPr>
        <w:ind w:right="400" w:firstLine="1720"/>
        <w:spacing w:after="0" w:line="334" w:lineRule="auto"/>
        <w:tabs>
          <w:tab w:leader="none" w:pos="214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Under the Tax Sharing Agreement with Time Warner Inc. (“</w:t>
      </w:r>
      <w:r>
        <w:rPr>
          <w:rFonts w:ascii="Arial" w:cs="Arial" w:eastAsia="Arial" w:hAnsi="Arial"/>
          <w:sz w:val="15"/>
          <w:szCs w:val="15"/>
          <w:b w:val="1"/>
          <w:bCs w:val="1"/>
          <w:color w:val="auto"/>
        </w:rPr>
        <w:t>TWX</w:t>
      </w:r>
      <w:r>
        <w:rPr>
          <w:rFonts w:ascii="Arial" w:cs="Arial" w:eastAsia="Arial" w:hAnsi="Arial"/>
          <w:sz w:val="15"/>
          <w:szCs w:val="15"/>
          <w:color w:val="auto"/>
        </w:rPr>
        <w:t>”), the Company is not responsible for income and franchise taxes for taxable periods prior to and including March 31, 2003. The Company was part of the TWX federal consolidated tax return through March 12, 2009.</w:t>
      </w:r>
    </w:p>
    <w:p>
      <w:pPr>
        <w:spacing w:after="0" w:line="145" w:lineRule="exact"/>
        <w:rPr>
          <w:rFonts w:ascii="Arial" w:cs="Arial" w:eastAsia="Arial" w:hAnsi="Arial"/>
          <w:sz w:val="15"/>
          <w:szCs w:val="15"/>
          <w:color w:val="auto"/>
        </w:rPr>
      </w:pPr>
    </w:p>
    <w:p>
      <w:pPr>
        <w:ind w:right="60" w:firstLine="1720"/>
        <w:spacing w:after="0" w:line="293" w:lineRule="auto"/>
        <w:tabs>
          <w:tab w:leader="none" w:pos="21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72" w:lineRule="exact"/>
        <w:rPr>
          <w:rFonts w:ascii="Arial" w:cs="Arial" w:eastAsia="Arial" w:hAnsi="Arial"/>
          <w:sz w:val="16"/>
          <w:szCs w:val="16"/>
          <w:color w:val="auto"/>
        </w:rPr>
      </w:pPr>
    </w:p>
    <w:p>
      <w:pPr>
        <w:jc w:val="both"/>
        <w:ind w:right="300" w:firstLine="1720"/>
        <w:spacing w:after="0" w:line="273" w:lineRule="auto"/>
        <w:tabs>
          <w:tab w:leader="none" w:pos="2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85" w:lineRule="exact"/>
        <w:rPr>
          <w:rFonts w:ascii="Arial" w:cs="Arial" w:eastAsia="Arial" w:hAnsi="Arial"/>
          <w:sz w:val="16"/>
          <w:szCs w:val="16"/>
          <w:color w:val="auto"/>
        </w:rPr>
      </w:pPr>
    </w:p>
    <w:p>
      <w:pPr>
        <w:ind w:left="2140" w:hanging="420"/>
        <w:spacing w:after="0"/>
        <w:tabs>
          <w:tab w:leader="none" w:pos="2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participated in a “</w:t>
      </w:r>
      <w:r>
        <w:rPr>
          <w:rFonts w:ascii="Arial" w:cs="Arial" w:eastAsia="Arial" w:hAnsi="Arial"/>
          <w:sz w:val="15"/>
          <w:szCs w:val="15"/>
          <w:b w:val="1"/>
          <w:bCs w:val="1"/>
          <w:color w:val="auto"/>
        </w:rPr>
        <w:t>reportable transaction</w:t>
      </w:r>
      <w:r>
        <w:rPr>
          <w:rFonts w:ascii="Arial" w:cs="Arial" w:eastAsia="Arial" w:hAnsi="Arial"/>
          <w:sz w:val="15"/>
          <w:szCs w:val="15"/>
          <w:color w:val="auto"/>
        </w:rPr>
        <w:t>” within the meaning of Treasury Regulations</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1.6011-4(b)(1).</w:t>
      </w:r>
    </w:p>
    <w:p>
      <w:pPr>
        <w:spacing w:after="0" w:line="230" w:lineRule="exact"/>
        <w:rPr>
          <w:rFonts w:ascii="Arial" w:cs="Arial" w:eastAsia="Arial" w:hAnsi="Arial"/>
          <w:sz w:val="15"/>
          <w:szCs w:val="15"/>
          <w:color w:val="auto"/>
        </w:rPr>
      </w:pPr>
    </w:p>
    <w:p>
      <w:pPr>
        <w:ind w:right="600" w:firstLine="1720"/>
        <w:spacing w:after="0" w:line="293" w:lineRule="auto"/>
        <w:tabs>
          <w:tab w:leader="none" w:pos="211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jurisdiction in which the Company or any of its Subsidiaries does not file Tax Returns has asserted that the Company or any of its Subsidiaries is or may be liable for Tax in that jurisdiction.</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None of the Subsidiaries of the Company owns any Company Stock.</w:t>
      </w:r>
    </w:p>
    <w:p>
      <w:pPr>
        <w:spacing w:after="0" w:line="235" w:lineRule="exact"/>
        <w:rPr>
          <w:sz w:val="20"/>
          <w:szCs w:val="20"/>
          <w:color w:val="auto"/>
        </w:rPr>
      </w:pPr>
    </w:p>
    <w:p>
      <w:pPr>
        <w:ind w:right="20" w:firstLine="799"/>
        <w:spacing w:after="0" w:line="302"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Employees and Employee Benefit Plans</w:t>
      </w:r>
      <w:r>
        <w:rPr>
          <w:rFonts w:ascii="Arial" w:cs="Arial" w:eastAsia="Arial" w:hAnsi="Arial"/>
          <w:sz w:val="14"/>
          <w:szCs w:val="14"/>
          <w:color w:val="auto"/>
        </w:rPr>
        <w:t>. (a) Section 4.17 of the Company Disclosure Schedule contains a correct and complete list identifying each material “</w:t>
      </w:r>
      <w:r>
        <w:rPr>
          <w:rFonts w:ascii="Arial" w:cs="Arial" w:eastAsia="Arial" w:hAnsi="Arial"/>
          <w:sz w:val="14"/>
          <w:szCs w:val="14"/>
          <w:b w:val="1"/>
          <w:bCs w:val="1"/>
          <w:color w:val="auto"/>
        </w:rPr>
        <w:t>employee benefit plan,</w:t>
      </w:r>
      <w:r>
        <w:rPr>
          <w:rFonts w:ascii="Arial" w:cs="Arial" w:eastAsia="Arial" w:hAnsi="Arial"/>
          <w:sz w:val="14"/>
          <w:szCs w:val="14"/>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4" w:lineRule="exact"/>
        <w:rPr>
          <w:sz w:val="20"/>
          <w:szCs w:val="20"/>
          <w:color w:val="auto"/>
        </w:rPr>
      </w:pPr>
    </w:p>
    <w:p>
      <w:pPr>
        <w:ind w:firstLine="8"/>
        <w:spacing w:after="0" w:line="276" w:lineRule="auto"/>
        <w:tabs>
          <w:tab w:leader="none" w:pos="3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6"/>
          <w:szCs w:val="16"/>
          <w:b w:val="1"/>
          <w:bCs w:val="1"/>
          <w:color w:val="auto"/>
        </w:rPr>
        <w:t>Company Plans.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260" w:firstLine="1720"/>
        <w:spacing w:after="0" w:line="298" w:lineRule="auto"/>
        <w:tabs>
          <w:tab w:leader="none" w:pos="2144" w:val="left"/>
        </w:tabs>
        <w:numPr>
          <w:ilvl w:val="1"/>
          <w:numId w:val="288"/>
        </w:numPr>
        <w:rPr>
          <w:rFonts w:ascii="Arial" w:cs="Arial" w:eastAsia="Arial" w:hAnsi="Arial"/>
          <w:sz w:val="16"/>
          <w:szCs w:val="16"/>
          <w:color w:val="auto"/>
        </w:rPr>
      </w:pPr>
      <w:r>
        <w:rPr>
          <w:rFonts w:ascii="Arial" w:cs="Arial" w:eastAsia="Arial" w:hAnsi="Arial"/>
          <w:sz w:val="16"/>
          <w:szCs w:val="16"/>
          <w:color w:val="auto"/>
        </w:rPr>
        <w:t>No Company Plan (for the avoidance of doubt, other than any Multiemployer Plan) that is subject to Title IV of ERISA (each, a “</w:t>
      </w:r>
      <w:r>
        <w:rPr>
          <w:rFonts w:ascii="Arial" w:cs="Arial" w:eastAsia="Arial" w:hAnsi="Arial"/>
          <w:sz w:val="16"/>
          <w:szCs w:val="16"/>
          <w:b w:val="1"/>
          <w:bCs w:val="1"/>
          <w:color w:val="auto"/>
        </w:rPr>
        <w:t>Title IV</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has any unfunded liabilities as of the date of this Agreement. The aggregate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60" w:right="2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underfunded or unfunded, as applicable, liability for all Company Plans that are “</w:t>
      </w:r>
      <w:r>
        <w:rPr>
          <w:rFonts w:ascii="Arial" w:cs="Arial" w:eastAsia="Arial" w:hAnsi="Arial"/>
          <w:sz w:val="16"/>
          <w:szCs w:val="16"/>
          <w:b w:val="1"/>
          <w:bCs w:val="1"/>
          <w:color w:val="auto"/>
        </w:rPr>
        <w:t>excess benefit plans</w:t>
      </w:r>
      <w:r>
        <w:rPr>
          <w:rFonts w:ascii="Arial" w:cs="Arial" w:eastAsia="Arial" w:hAnsi="Arial"/>
          <w:sz w:val="16"/>
          <w:szCs w:val="16"/>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87" w:lineRule="exact"/>
        <w:rPr>
          <w:sz w:val="20"/>
          <w:szCs w:val="20"/>
          <w:color w:val="auto"/>
        </w:rPr>
      </w:pPr>
    </w:p>
    <w:p>
      <w:pPr>
        <w:ind w:right="80" w:firstLine="1720"/>
        <w:spacing w:after="0" w:line="287" w:lineRule="auto"/>
        <w:tabs>
          <w:tab w:leader="none" w:pos="213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5"/>
          <w:szCs w:val="15"/>
          <w:b w:val="1"/>
          <w:bCs w:val="1"/>
          <w:color w:val="auto"/>
        </w:rPr>
        <w:t>complete withdrawal</w:t>
      </w:r>
      <w:r>
        <w:rPr>
          <w:rFonts w:ascii="Arial" w:cs="Arial" w:eastAsia="Arial" w:hAnsi="Arial"/>
          <w:sz w:val="15"/>
          <w:szCs w:val="15"/>
          <w:color w:val="auto"/>
        </w:rPr>
        <w:t>” or a “</w:t>
      </w:r>
      <w:r>
        <w:rPr>
          <w:rFonts w:ascii="Arial" w:cs="Arial" w:eastAsia="Arial" w:hAnsi="Arial"/>
          <w:sz w:val="15"/>
          <w:szCs w:val="15"/>
          <w:b w:val="1"/>
          <w:bCs w:val="1"/>
          <w:color w:val="auto"/>
        </w:rPr>
        <w:t>partial withdrawal</w:t>
      </w:r>
      <w:r>
        <w:rPr>
          <w:rFonts w:ascii="Arial" w:cs="Arial" w:eastAsia="Arial" w:hAnsi="Arial"/>
          <w:sz w:val="15"/>
          <w:szCs w:val="15"/>
          <w:color w:val="auto"/>
        </w:rPr>
        <w:t>” (within the meaning of Sections 4203 and 4205 of ERISA, respectively) from any “</w:t>
      </w:r>
      <w:r>
        <w:rPr>
          <w:rFonts w:ascii="Arial" w:cs="Arial" w:eastAsia="Arial" w:hAnsi="Arial"/>
          <w:sz w:val="15"/>
          <w:szCs w:val="15"/>
          <w:b w:val="1"/>
          <w:bCs w:val="1"/>
          <w:color w:val="auto"/>
        </w:rPr>
        <w:t>multiemployer plan</w:t>
      </w:r>
      <w:r>
        <w:rPr>
          <w:rFonts w:ascii="Arial" w:cs="Arial" w:eastAsia="Arial" w:hAnsi="Arial"/>
          <w:sz w:val="15"/>
          <w:szCs w:val="15"/>
          <w:color w:val="auto"/>
        </w:rPr>
        <w:t>” as defined in Section 3(37) of ERISA (a “</w:t>
      </w:r>
      <w:r>
        <w:rPr>
          <w:rFonts w:ascii="Arial" w:cs="Arial" w:eastAsia="Arial" w:hAnsi="Arial"/>
          <w:sz w:val="15"/>
          <w:szCs w:val="15"/>
          <w:b w:val="1"/>
          <w:bCs w:val="1"/>
          <w:color w:val="auto"/>
        </w:rPr>
        <w:t>Multiemployer Plan</w:t>
      </w:r>
      <w:r>
        <w:rPr>
          <w:rFonts w:ascii="Arial" w:cs="Arial" w:eastAsia="Arial" w:hAnsi="Arial"/>
          <w:sz w:val="15"/>
          <w:szCs w:val="15"/>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5"/>
          <w:szCs w:val="15"/>
          <w:b w:val="1"/>
          <w:bCs w:val="1"/>
          <w:color w:val="auto"/>
        </w:rPr>
        <w:t>endangered status</w:t>
      </w:r>
      <w:r>
        <w:rPr>
          <w:rFonts w:ascii="Arial" w:cs="Arial" w:eastAsia="Arial" w:hAnsi="Arial"/>
          <w:sz w:val="15"/>
          <w:szCs w:val="15"/>
          <w:color w:val="auto"/>
        </w:rPr>
        <w:t>” or “</w:t>
      </w:r>
      <w:r>
        <w:rPr>
          <w:rFonts w:ascii="Arial" w:cs="Arial" w:eastAsia="Arial" w:hAnsi="Arial"/>
          <w:sz w:val="15"/>
          <w:szCs w:val="15"/>
          <w:b w:val="1"/>
          <w:bCs w:val="1"/>
          <w:color w:val="auto"/>
        </w:rPr>
        <w:t>critical status</w:t>
      </w:r>
      <w:r>
        <w:rPr>
          <w:rFonts w:ascii="Arial" w:cs="Arial" w:eastAsia="Arial" w:hAnsi="Arial"/>
          <w:sz w:val="15"/>
          <w:szCs w:val="15"/>
          <w:color w:val="auto"/>
        </w:rPr>
        <w:t>” (within the meaning of Section 432 of the Code) or (iii) insolvency, “</w:t>
      </w:r>
      <w:r>
        <w:rPr>
          <w:rFonts w:ascii="Arial" w:cs="Arial" w:eastAsia="Arial" w:hAnsi="Arial"/>
          <w:sz w:val="15"/>
          <w:szCs w:val="15"/>
          <w:b w:val="1"/>
          <w:bCs w:val="1"/>
          <w:color w:val="auto"/>
        </w:rPr>
        <w:t>reorganization</w:t>
      </w:r>
      <w:r>
        <w:rPr>
          <w:rFonts w:ascii="Arial" w:cs="Arial" w:eastAsia="Arial" w:hAnsi="Arial"/>
          <w:sz w:val="15"/>
          <w:szCs w:val="15"/>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82" w:lineRule="exact"/>
        <w:rPr>
          <w:rFonts w:ascii="Arial" w:cs="Arial" w:eastAsia="Arial" w:hAnsi="Arial"/>
          <w:sz w:val="15"/>
          <w:szCs w:val="15"/>
          <w:color w:val="auto"/>
        </w:rPr>
      </w:pPr>
    </w:p>
    <w:p>
      <w:pPr>
        <w:ind w:right="300" w:firstLine="1720"/>
        <w:spacing w:after="0" w:line="335" w:lineRule="auto"/>
        <w:tabs>
          <w:tab w:leader="none" w:pos="2144" w:val="left"/>
        </w:tabs>
        <w:numPr>
          <w:ilvl w:val="0"/>
          <w:numId w:val="289"/>
        </w:numPr>
        <w:rPr>
          <w:rFonts w:ascii="Arial" w:cs="Arial" w:eastAsia="Arial" w:hAnsi="Arial"/>
          <w:sz w:val="14"/>
          <w:szCs w:val="14"/>
          <w:color w:val="auto"/>
        </w:rPr>
      </w:pPr>
      <w:r>
        <w:rPr>
          <w:rFonts w:ascii="Arial" w:cs="Arial" w:eastAsia="Arial" w:hAnsi="Arial"/>
          <w:sz w:val="14"/>
          <w:szCs w:val="14"/>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49" w:lineRule="exact"/>
        <w:rPr>
          <w:rFonts w:ascii="Arial" w:cs="Arial" w:eastAsia="Arial" w:hAnsi="Arial"/>
          <w:sz w:val="14"/>
          <w:szCs w:val="14"/>
          <w:color w:val="auto"/>
        </w:rPr>
      </w:pPr>
    </w:p>
    <w:p>
      <w:pPr>
        <w:ind w:right="60" w:firstLine="1720"/>
        <w:spacing w:after="0" w:line="270" w:lineRule="auto"/>
        <w:tabs>
          <w:tab w:leader="none" w:pos="21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89" w:lineRule="exact"/>
        <w:rPr>
          <w:rFonts w:ascii="Arial" w:cs="Arial" w:eastAsia="Arial" w:hAnsi="Arial"/>
          <w:sz w:val="16"/>
          <w:szCs w:val="16"/>
          <w:color w:val="auto"/>
        </w:rPr>
      </w:pPr>
    </w:p>
    <w:p>
      <w:pPr>
        <w:ind w:right="100" w:firstLine="1720"/>
        <w:spacing w:after="0" w:line="278" w:lineRule="auto"/>
        <w:tabs>
          <w:tab w:leader="none" w:pos="211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84" w:lineRule="exact"/>
        <w:rPr>
          <w:rFonts w:ascii="Arial" w:cs="Arial" w:eastAsia="Arial" w:hAnsi="Arial"/>
          <w:sz w:val="16"/>
          <w:szCs w:val="16"/>
          <w:color w:val="auto"/>
        </w:rPr>
      </w:pPr>
    </w:p>
    <w:p>
      <w:pPr>
        <w:ind w:right="18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right="6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firstLine="1720"/>
        <w:spacing w:after="0" w:line="270"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89"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1720"/>
        <w:spacing w:after="0" w:line="269" w:lineRule="auto"/>
        <w:tabs>
          <w:tab w:leader="none" w:pos="21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90"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84" w:lineRule="exact"/>
        <w:rPr>
          <w:sz w:val="20"/>
          <w:szCs w:val="20"/>
          <w:color w:val="auto"/>
        </w:rPr>
      </w:pPr>
    </w:p>
    <w:p>
      <w:pPr>
        <w:ind w:right="180" w:firstLine="799"/>
        <w:spacing w:after="0" w:line="273"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89" w:lineRule="exact"/>
        <w:rPr>
          <w:sz w:val="20"/>
          <w:szCs w:val="20"/>
          <w:color w:val="auto"/>
        </w:rPr>
      </w:pPr>
    </w:p>
    <w:p>
      <w:pPr>
        <w:ind w:right="120" w:firstLine="1720"/>
        <w:spacing w:after="0" w:line="293" w:lineRule="auto"/>
        <w:tabs>
          <w:tab w:leader="none" w:pos="2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72" w:lineRule="exact"/>
        <w:rPr>
          <w:rFonts w:ascii="Arial" w:cs="Arial" w:eastAsia="Arial" w:hAnsi="Arial"/>
          <w:sz w:val="16"/>
          <w:szCs w:val="16"/>
          <w:color w:val="auto"/>
        </w:rPr>
      </w:pPr>
    </w:p>
    <w:p>
      <w:pPr>
        <w:ind w:right="120" w:firstLine="1720"/>
        <w:spacing w:after="0" w:line="273" w:lineRule="auto"/>
        <w:tabs>
          <w:tab w:leader="none" w:pos="213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89" w:lineRule="exact"/>
        <w:rPr>
          <w:rFonts w:ascii="Arial" w:cs="Arial" w:eastAsia="Arial" w:hAnsi="Arial"/>
          <w:sz w:val="16"/>
          <w:szCs w:val="16"/>
          <w:color w:val="auto"/>
        </w:rPr>
      </w:pPr>
    </w:p>
    <w:p>
      <w:pPr>
        <w:ind w:right="200" w:firstLine="1720"/>
        <w:spacing w:after="0" w:line="329" w:lineRule="auto"/>
        <w:tabs>
          <w:tab w:leader="none" w:pos="214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consummation of the transactions contemplated hereby requires no filings to be made or actions to be taken pursuant to the New Jersey Industrial Site Recovery Act or the “</w:t>
      </w:r>
      <w:r>
        <w:rPr>
          <w:rFonts w:ascii="Arial" w:cs="Arial" w:eastAsia="Arial" w:hAnsi="Arial"/>
          <w:sz w:val="15"/>
          <w:szCs w:val="15"/>
          <w:b w:val="1"/>
          <w:bCs w:val="1"/>
          <w:color w:val="auto"/>
        </w:rPr>
        <w:t>Connecticut Property Transfer Law</w:t>
      </w:r>
      <w:r>
        <w:rPr>
          <w:rFonts w:ascii="Arial" w:cs="Arial" w:eastAsia="Arial" w:hAnsi="Arial"/>
          <w:sz w:val="15"/>
          <w:szCs w:val="15"/>
          <w:color w:val="auto"/>
        </w:rPr>
        <w:t>” (Sections 22a-134 through 22-134e of the Connecticut General Statutes).</w:t>
      </w:r>
    </w:p>
    <w:p>
      <w:pPr>
        <w:spacing w:after="0" w:line="148"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Material Contracts</w:t>
      </w:r>
      <w:r>
        <w:rPr>
          <w:rFonts w:ascii="Arial" w:cs="Arial" w:eastAsia="Arial" w:hAnsi="Arial"/>
          <w:sz w:val="16"/>
          <w:szCs w:val="16"/>
          <w:color w:val="auto"/>
        </w:rPr>
        <w:t>. (a) As of the date of this Agreement, neither the Company nor any of its Subsidiaries is party to or bound by, whether in writing or not, any contract, arrangement, commitment or understanding that:</w:t>
      </w:r>
    </w:p>
    <w:p>
      <w:pPr>
        <w:spacing w:after="0" w:line="172" w:lineRule="exact"/>
        <w:rPr>
          <w:sz w:val="20"/>
          <w:szCs w:val="20"/>
          <w:color w:val="auto"/>
        </w:rPr>
      </w:pPr>
    </w:p>
    <w:p>
      <w:pPr>
        <w:ind w:left="1720" w:firstLine="679"/>
        <w:spacing w:after="0" w:line="303" w:lineRule="auto"/>
        <w:tabs>
          <w:tab w:leader="none" w:pos="2795" w:val="left"/>
        </w:tabs>
        <w:numPr>
          <w:ilvl w:val="1"/>
          <w:numId w:val="292"/>
        </w:numPr>
        <w:rPr>
          <w:rFonts w:ascii="Arial" w:cs="Arial" w:eastAsia="Arial" w:hAnsi="Arial"/>
          <w:sz w:val="14"/>
          <w:szCs w:val="14"/>
          <w:color w:val="auto"/>
        </w:rPr>
      </w:pPr>
      <w:r>
        <w:rPr>
          <w:rFonts w:ascii="Arial" w:cs="Arial" w:eastAsia="Arial" w:hAnsi="Arial"/>
          <w:sz w:val="14"/>
          <w:szCs w:val="14"/>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w:t>
      </w:r>
    </w:p>
    <w:p>
      <w:pPr>
        <w:ind w:left="1940" w:hanging="220"/>
        <w:spacing w:after="0"/>
        <w:tabs>
          <w:tab w:leader="none" w:pos="19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obtaining products or services from any Person;</w:t>
      </w:r>
    </w:p>
    <w:p>
      <w:pPr>
        <w:spacing w:after="0" w:line="226" w:lineRule="exact"/>
        <w:rPr>
          <w:rFonts w:ascii="Arial" w:cs="Arial" w:eastAsia="Arial" w:hAnsi="Arial"/>
          <w:sz w:val="16"/>
          <w:szCs w:val="16"/>
          <w:color w:val="auto"/>
        </w:rPr>
      </w:pPr>
    </w:p>
    <w:p>
      <w:pPr>
        <w:ind w:left="1720" w:right="300" w:firstLine="679"/>
        <w:spacing w:after="0" w:line="307" w:lineRule="auto"/>
        <w:tabs>
          <w:tab w:leader="none" w:pos="2840" w:val="left"/>
        </w:tabs>
        <w:numPr>
          <w:ilvl w:val="1"/>
          <w:numId w:val="293"/>
        </w:numPr>
        <w:rPr>
          <w:rFonts w:ascii="Arial" w:cs="Arial" w:eastAsia="Arial" w:hAnsi="Arial"/>
          <w:sz w:val="14"/>
          <w:szCs w:val="14"/>
          <w:color w:val="auto"/>
        </w:rPr>
      </w:pPr>
      <w:r>
        <w:rPr>
          <w:rFonts w:ascii="Arial" w:cs="Arial" w:eastAsia="Arial" w:hAnsi="Arial"/>
          <w:sz w:val="14"/>
          <w:szCs w:val="14"/>
          <w:color w:val="auto"/>
        </w:rPr>
        <w:t>includes (A) any “</w:t>
      </w:r>
      <w:r>
        <w:rPr>
          <w:rFonts w:ascii="Arial" w:cs="Arial" w:eastAsia="Arial" w:hAnsi="Arial"/>
          <w:sz w:val="14"/>
          <w:szCs w:val="14"/>
          <w:b w:val="1"/>
          <w:bCs w:val="1"/>
          <w:color w:val="auto"/>
        </w:rPr>
        <w:t>most favored nations</w:t>
      </w:r>
      <w:r>
        <w:rPr>
          <w:rFonts w:ascii="Arial" w:cs="Arial" w:eastAsia="Arial" w:hAnsi="Arial"/>
          <w:sz w:val="14"/>
          <w:szCs w:val="14"/>
          <w:color w:val="auto"/>
        </w:rPr>
        <w:t>” terms and conditions (including with respect to pricing) granted by the Company to a Third Party, (B) any arrangement whereby the Company grants any right of first refusal or right of first offer or similar right to a Third Party or</w:t>
      </w:r>
    </w:p>
    <w:p>
      <w:pPr>
        <w:spacing w:after="0" w:line="1" w:lineRule="exact"/>
        <w:rPr>
          <w:rFonts w:ascii="Arial" w:cs="Arial" w:eastAsia="Arial" w:hAnsi="Arial"/>
          <w:sz w:val="14"/>
          <w:szCs w:val="14"/>
          <w:color w:val="auto"/>
        </w:rPr>
      </w:pPr>
    </w:p>
    <w:p>
      <w:pPr>
        <w:ind w:left="1720" w:right="260"/>
        <w:spacing w:after="0" w:line="272" w:lineRule="auto"/>
        <w:rPr>
          <w:rFonts w:ascii="Arial" w:cs="Arial" w:eastAsia="Arial" w:hAnsi="Arial"/>
          <w:sz w:val="14"/>
          <w:szCs w:val="14"/>
          <w:color w:val="auto"/>
        </w:rPr>
      </w:pPr>
      <w:r>
        <w:rPr>
          <w:rFonts w:ascii="Arial" w:cs="Arial" w:eastAsia="Arial" w:hAnsi="Arial"/>
          <w:sz w:val="16"/>
          <w:szCs w:val="16"/>
          <w:color w:val="auto"/>
        </w:rPr>
        <w:t>(C)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88" w:lineRule="exact"/>
        <w:rPr>
          <w:rFonts w:ascii="Arial" w:cs="Arial" w:eastAsia="Arial" w:hAnsi="Arial"/>
          <w:sz w:val="14"/>
          <w:szCs w:val="14"/>
          <w:color w:val="auto"/>
        </w:rPr>
      </w:pPr>
    </w:p>
    <w:p>
      <w:pPr>
        <w:ind w:left="1720" w:right="420" w:firstLine="679"/>
        <w:spacing w:after="0" w:line="293" w:lineRule="auto"/>
        <w:tabs>
          <w:tab w:leader="none" w:pos="288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is a joint venture, alliance or partnership agreement that either (A) is material to the Company and its Subsidiaries, taken as a whole, or (B) would reasonably be expected to require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480"/>
        <w:spacing w:after="0" w:line="329" w:lineRule="auto"/>
        <w:rPr>
          <w:sz w:val="20"/>
          <w:szCs w:val="20"/>
          <w:color w:val="auto"/>
        </w:rPr>
      </w:pPr>
      <w:r>
        <w:rPr>
          <w:rFonts w:ascii="Arial" w:cs="Arial" w:eastAsia="Arial" w:hAnsi="Arial"/>
          <w:sz w:val="15"/>
          <w:szCs w:val="15"/>
          <w:color w:val="auto"/>
        </w:rPr>
        <w:t>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48" w:lineRule="exact"/>
        <w:rPr>
          <w:sz w:val="20"/>
          <w:szCs w:val="20"/>
          <w:color w:val="auto"/>
        </w:rPr>
      </w:pPr>
    </w:p>
    <w:p>
      <w:pPr>
        <w:ind w:left="1720" w:right="100" w:firstLine="679"/>
        <w:spacing w:after="0" w:line="329"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48" w:lineRule="exact"/>
        <w:rPr>
          <w:rFonts w:ascii="Arial" w:cs="Arial" w:eastAsia="Arial" w:hAnsi="Arial"/>
          <w:sz w:val="15"/>
          <w:szCs w:val="15"/>
          <w:color w:val="auto"/>
        </w:rPr>
      </w:pPr>
    </w:p>
    <w:p>
      <w:pPr>
        <w:ind w:left="1720" w:right="200" w:firstLine="679"/>
        <w:spacing w:after="0" w:line="293" w:lineRule="auto"/>
        <w:tabs>
          <w:tab w:leader="none" w:pos="283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interest, rate, currency or other swap or derivative transaction (other than those entered into in the ordinary course of business solely for hedging purposes);</w:t>
      </w:r>
    </w:p>
    <w:p>
      <w:pPr>
        <w:spacing w:after="0" w:line="172" w:lineRule="exact"/>
        <w:rPr>
          <w:rFonts w:ascii="Arial" w:cs="Arial" w:eastAsia="Arial" w:hAnsi="Arial"/>
          <w:sz w:val="16"/>
          <w:szCs w:val="16"/>
          <w:color w:val="auto"/>
        </w:rPr>
      </w:pPr>
    </w:p>
    <w:p>
      <w:pPr>
        <w:ind w:left="1720" w:firstLine="679"/>
        <w:spacing w:after="0" w:line="297"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72" w:lineRule="exact"/>
        <w:rPr>
          <w:rFonts w:ascii="Arial" w:cs="Arial" w:eastAsia="Arial" w:hAnsi="Arial"/>
          <w:sz w:val="15"/>
          <w:szCs w:val="15"/>
          <w:color w:val="auto"/>
        </w:rPr>
      </w:pPr>
    </w:p>
    <w:p>
      <w:pPr>
        <w:ind w:left="1720" w:right="140" w:firstLine="679"/>
        <w:spacing w:after="0" w:line="293" w:lineRule="auto"/>
        <w:tabs>
          <w:tab w:leader="none" w:pos="292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72" w:lineRule="exact"/>
        <w:rPr>
          <w:rFonts w:ascii="Arial" w:cs="Arial" w:eastAsia="Arial" w:hAnsi="Arial"/>
          <w:sz w:val="16"/>
          <w:szCs w:val="16"/>
          <w:color w:val="auto"/>
        </w:rPr>
      </w:pPr>
    </w:p>
    <w:p>
      <w:pPr>
        <w:ind w:left="1720" w:right="20" w:firstLine="679"/>
        <w:spacing w:after="0" w:line="273" w:lineRule="auto"/>
        <w:tabs>
          <w:tab w:leader="none" w:pos="296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89" w:lineRule="exact"/>
        <w:rPr>
          <w:rFonts w:ascii="Arial" w:cs="Arial" w:eastAsia="Arial" w:hAnsi="Arial"/>
          <w:sz w:val="16"/>
          <w:szCs w:val="16"/>
          <w:color w:val="auto"/>
        </w:rPr>
      </w:pPr>
    </w:p>
    <w:p>
      <w:pPr>
        <w:ind w:left="1720" w:right="200" w:firstLine="679"/>
        <w:spacing w:after="0" w:line="278" w:lineRule="auto"/>
        <w:tabs>
          <w:tab w:leader="none" w:pos="287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80" w:lineRule="exact"/>
        <w:rPr>
          <w:sz w:val="20"/>
          <w:szCs w:val="20"/>
          <w:color w:val="auto"/>
        </w:rPr>
      </w:pPr>
    </w:p>
    <w:p>
      <w:pPr>
        <w:ind w:right="420" w:firstLine="799"/>
        <w:spacing w:after="0" w:line="334" w:lineRule="auto"/>
        <w:rPr>
          <w:sz w:val="20"/>
          <w:szCs w:val="20"/>
          <w:color w:val="auto"/>
        </w:rPr>
      </w:pPr>
      <w:r>
        <w:rPr>
          <w:rFonts w:ascii="Arial" w:cs="Arial" w:eastAsia="Arial" w:hAnsi="Arial"/>
          <w:sz w:val="15"/>
          <w:szCs w:val="15"/>
          <w:color w:val="auto"/>
        </w:rPr>
        <w:t>(each such contract listed in Section 4.19 of the Company Disclosure Schedule and any contract of the Company or any of its Subsidiaries that is a “</w:t>
      </w:r>
      <w:r>
        <w:rPr>
          <w:rFonts w:ascii="Arial" w:cs="Arial" w:eastAsia="Arial" w:hAnsi="Arial"/>
          <w:sz w:val="15"/>
          <w:szCs w:val="15"/>
          <w:b w:val="1"/>
          <w:bCs w:val="1"/>
          <w:color w:val="auto"/>
        </w:rPr>
        <w:t>material</w:t>
      </w:r>
      <w:r>
        <w:rPr>
          <w:rFonts w:ascii="Arial" w:cs="Arial" w:eastAsia="Arial" w:hAnsi="Arial"/>
          <w:sz w:val="15"/>
          <w:szCs w:val="15"/>
          <w:color w:val="auto"/>
        </w:rPr>
        <w:t xml:space="preserve"> </w:t>
      </w:r>
      <w:r>
        <w:rPr>
          <w:rFonts w:ascii="Arial" w:cs="Arial" w:eastAsia="Arial" w:hAnsi="Arial"/>
          <w:sz w:val="15"/>
          <w:szCs w:val="15"/>
          <w:b w:val="1"/>
          <w:bCs w:val="1"/>
          <w:color w:val="auto"/>
        </w:rPr>
        <w:t>contract</w:t>
      </w:r>
      <w:r>
        <w:rPr>
          <w:rFonts w:ascii="Arial" w:cs="Arial" w:eastAsia="Arial" w:hAnsi="Arial"/>
          <w:sz w:val="15"/>
          <w:szCs w:val="15"/>
          <w:color w:val="auto"/>
        </w:rPr>
        <w:t>” (as such term is defined in Item 601(b)(10) of Regulation S-K of the SEC) (other than any Company Plan), a “</w:t>
      </w:r>
      <w:r>
        <w:rPr>
          <w:rFonts w:ascii="Arial" w:cs="Arial" w:eastAsia="Arial" w:hAnsi="Arial"/>
          <w:sz w:val="15"/>
          <w:szCs w:val="15"/>
          <w:b w:val="1"/>
          <w:bCs w:val="1"/>
          <w:color w:val="auto"/>
        </w:rPr>
        <w:t>Company Material Contract</w:t>
      </w:r>
      <w:r>
        <w:rPr>
          <w:rFonts w:ascii="Arial" w:cs="Arial" w:eastAsia="Arial" w:hAnsi="Arial"/>
          <w:sz w:val="15"/>
          <w:szCs w:val="15"/>
          <w:color w:val="auto"/>
        </w:rPr>
        <w:t>”).</w:t>
      </w:r>
    </w:p>
    <w:p>
      <w:pPr>
        <w:spacing w:after="0" w:line="145" w:lineRule="exact"/>
        <w:rPr>
          <w:sz w:val="20"/>
          <w:szCs w:val="20"/>
          <w:color w:val="auto"/>
        </w:rPr>
      </w:pPr>
    </w:p>
    <w:p>
      <w:pPr>
        <w:ind w:right="180" w:firstLine="1720"/>
        <w:spacing w:after="0" w:line="305" w:lineRule="auto"/>
        <w:tabs>
          <w:tab w:leader="none" w:pos="2144" w:val="left"/>
        </w:tabs>
        <w:numPr>
          <w:ilvl w:val="0"/>
          <w:numId w:val="295"/>
        </w:numPr>
        <w:rPr>
          <w:rFonts w:ascii="Arial" w:cs="Arial" w:eastAsia="Arial" w:hAnsi="Arial"/>
          <w:sz w:val="15"/>
          <w:szCs w:val="15"/>
          <w:color w:val="auto"/>
        </w:rPr>
      </w:pPr>
      <w:r>
        <w:rPr>
          <w:rFonts w:ascii="Arial" w:cs="Arial" w:eastAsia="Arial" w:hAnsi="Arial"/>
          <w:sz w:val="15"/>
          <w:szCs w:val="15"/>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5"/>
          <w:szCs w:val="15"/>
          <w:b w:val="1"/>
          <w:bCs w:val="1"/>
          <w:color w:val="auto"/>
        </w:rPr>
        <w:t>material contract</w:t>
      </w:r>
      <w:r>
        <w:rPr>
          <w:rFonts w:ascii="Arial" w:cs="Arial" w:eastAsia="Arial" w:hAnsi="Arial"/>
          <w:sz w:val="15"/>
          <w:szCs w:val="15"/>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15"/>
          <w:szCs w:val="15"/>
          <w:color w:val="auto"/>
        </w:rPr>
      </w:pPr>
    </w:p>
    <w:p>
      <w:pPr>
        <w:ind w:right="20" w:firstLine="1720"/>
        <w:spacing w:after="0" w:line="268" w:lineRule="auto"/>
        <w:tabs>
          <w:tab w:leader="none" w:pos="213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84" w:lineRule="exact"/>
        <w:rPr>
          <w:sz w:val="20"/>
          <w:szCs w:val="20"/>
          <w:color w:val="auto"/>
        </w:rPr>
      </w:pPr>
    </w:p>
    <w:p>
      <w:pPr>
        <w:ind w:right="80" w:firstLine="1720"/>
        <w:spacing w:after="0" w:line="329" w:lineRule="auto"/>
        <w:tabs>
          <w:tab w:leader="none" w:pos="214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48" w:lineRule="exact"/>
        <w:rPr>
          <w:sz w:val="20"/>
          <w:szCs w:val="20"/>
          <w:color w:val="auto"/>
        </w:rPr>
      </w:pPr>
    </w:p>
    <w:p>
      <w:pPr>
        <w:ind w:right="80" w:firstLine="799"/>
        <w:spacing w:after="0" w:line="324" w:lineRule="auto"/>
        <w:rPr>
          <w:sz w:val="20"/>
          <w:szCs w:val="20"/>
          <w:color w:val="auto"/>
        </w:rPr>
      </w:pPr>
      <w:r>
        <w:rPr>
          <w:rFonts w:ascii="Arial" w:cs="Arial" w:eastAsia="Arial" w:hAnsi="Arial"/>
          <w:sz w:val="14"/>
          <w:szCs w:val="14"/>
          <w:color w:val="auto"/>
        </w:rPr>
        <w:t xml:space="preserve">Section 4.21. </w:t>
      </w:r>
      <w:r>
        <w:rPr>
          <w:rFonts w:ascii="Arial" w:cs="Arial" w:eastAsia="Arial" w:hAnsi="Arial"/>
          <w:sz w:val="14"/>
          <w:szCs w:val="14"/>
          <w:i w:val="1"/>
          <w:iCs w:val="1"/>
          <w:color w:val="auto"/>
        </w:rPr>
        <w:t>Franchises</w:t>
      </w:r>
      <w:r>
        <w:rPr>
          <w:rFonts w:ascii="Arial" w:cs="Arial" w:eastAsia="Arial" w:hAnsi="Arial"/>
          <w:sz w:val="14"/>
          <w:szCs w:val="14"/>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57" w:lineRule="exact"/>
        <w:rPr>
          <w:sz w:val="20"/>
          <w:szCs w:val="20"/>
          <w:color w:val="auto"/>
        </w:rPr>
      </w:pPr>
    </w:p>
    <w:p>
      <w:pPr>
        <w:ind w:firstLine="1720"/>
        <w:spacing w:after="0" w:line="286" w:lineRule="auto"/>
        <w:tabs>
          <w:tab w:leader="none" w:pos="2144" w:val="left"/>
        </w:tabs>
        <w:numPr>
          <w:ilvl w:val="0"/>
          <w:numId w:val="297"/>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 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80" w:lineRule="exact"/>
        <w:rPr>
          <w:rFonts w:ascii="Arial" w:cs="Arial" w:eastAsia="Arial" w:hAnsi="Arial"/>
          <w:sz w:val="15"/>
          <w:szCs w:val="15"/>
          <w:color w:val="auto"/>
        </w:rPr>
      </w:pPr>
    </w:p>
    <w:p>
      <w:pPr>
        <w:ind w:right="240" w:firstLine="1720"/>
        <w:spacing w:after="0" w:line="335" w:lineRule="auto"/>
        <w:tabs>
          <w:tab w:leader="none" w:pos="2135" w:val="left"/>
        </w:tabs>
        <w:numPr>
          <w:ilvl w:val="0"/>
          <w:numId w:val="297"/>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50" w:lineRule="exact"/>
        <w:rPr>
          <w:sz w:val="20"/>
          <w:szCs w:val="20"/>
          <w:color w:val="auto"/>
        </w:rPr>
      </w:pPr>
    </w:p>
    <w:p>
      <w:pPr>
        <w:ind w:right="280" w:firstLine="799"/>
        <w:spacing w:after="0" w:line="293"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72"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i w:val="1"/>
          <w:iCs w:val="1"/>
          <w:color w:val="auto"/>
        </w:rPr>
        <w:t>Finders’ Fees.</w:t>
      </w:r>
      <w:r>
        <w:rPr>
          <w:rFonts w:ascii="Arial" w:cs="Arial" w:eastAsia="Arial" w:hAnsi="Arial"/>
          <w:sz w:val="16"/>
          <w:szCs w:val="16"/>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89" w:lineRule="exact"/>
        <w:rPr>
          <w:sz w:val="20"/>
          <w:szCs w:val="20"/>
          <w:color w:val="auto"/>
        </w:rPr>
      </w:pPr>
    </w:p>
    <w:p>
      <w:pPr>
        <w:ind w:right="160" w:firstLine="799"/>
        <w:spacing w:after="0" w:line="273"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799"/>
        <w:spacing w:after="0" w:line="273"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i w:val="1"/>
          <w:iCs w:val="1"/>
          <w:color w:val="auto"/>
        </w:rPr>
        <w:t>Antitakeover Statutes</w:t>
      </w:r>
      <w:r>
        <w:rPr>
          <w:rFonts w:ascii="Arial" w:cs="Arial" w:eastAsia="Arial" w:hAnsi="Arial"/>
          <w:sz w:val="16"/>
          <w:szCs w:val="16"/>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6"/>
          <w:szCs w:val="16"/>
          <w:b w:val="1"/>
          <w:bCs w:val="1"/>
          <w:color w:val="auto"/>
        </w:rPr>
        <w:t>control share acquisition,</w:t>
      </w:r>
      <w:r>
        <w:rPr>
          <w:rFonts w:ascii="Arial" w:cs="Arial" w:eastAsia="Arial" w:hAnsi="Arial"/>
          <w:sz w:val="16"/>
          <w:szCs w:val="16"/>
          <w:color w:val="auto"/>
        </w:rPr>
        <w:t>” “</w:t>
      </w:r>
      <w:r>
        <w:rPr>
          <w:rFonts w:ascii="Arial" w:cs="Arial" w:eastAsia="Arial" w:hAnsi="Arial"/>
          <w:sz w:val="16"/>
          <w:szCs w:val="16"/>
          <w:b w:val="1"/>
          <w:bCs w:val="1"/>
          <w:color w:val="auto"/>
        </w:rPr>
        <w:t>fair price,</w:t>
      </w:r>
      <w:r>
        <w:rPr>
          <w:rFonts w:ascii="Arial" w:cs="Arial" w:eastAsia="Arial" w:hAnsi="Arial"/>
          <w:sz w:val="16"/>
          <w:szCs w:val="16"/>
          <w:color w:val="auto"/>
        </w:rPr>
        <w:t>” “</w:t>
      </w:r>
      <w:r>
        <w:rPr>
          <w:rFonts w:ascii="Arial" w:cs="Arial" w:eastAsia="Arial" w:hAnsi="Arial"/>
          <w:sz w:val="16"/>
          <w:szCs w:val="16"/>
          <w:b w:val="1"/>
          <w:bCs w:val="1"/>
          <w:color w:val="auto"/>
        </w:rPr>
        <w:t>moratorium</w:t>
      </w:r>
      <w:r>
        <w:rPr>
          <w:rFonts w:ascii="Arial" w:cs="Arial" w:eastAsia="Arial" w:hAnsi="Arial"/>
          <w:sz w:val="16"/>
          <w:szCs w:val="16"/>
          <w:color w:val="auto"/>
        </w:rPr>
        <w:t>” or other antitakeover laws enacted under U.S. state or federal laws apply to this Agreement or any of the transactions contemplated hereby.</w:t>
      </w:r>
    </w:p>
    <w:p>
      <w:pPr>
        <w:spacing w:after="0" w:line="189"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i w:val="1"/>
          <w:iCs w:val="1"/>
          <w:color w:val="auto"/>
        </w:rPr>
        <w:t>No Additional Representations</w:t>
      </w:r>
      <w:r>
        <w:rPr>
          <w:rFonts w:ascii="Arial" w:cs="Arial" w:eastAsia="Arial" w:hAnsi="Arial"/>
          <w:sz w:val="15"/>
          <w:szCs w:val="15"/>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w:t>
      </w:r>
    </w:p>
    <w:p>
      <w:pPr>
        <w:spacing w:after="0" w:line="231" w:lineRule="exact"/>
        <w:rPr>
          <w:sz w:val="20"/>
          <w:szCs w:val="20"/>
          <w:color w:val="auto"/>
        </w:rPr>
      </w:pPr>
    </w:p>
    <w:p>
      <w:pPr>
        <w:ind w:right="280" w:firstLine="342"/>
        <w:spacing w:after="0" w:line="278" w:lineRule="auto"/>
        <w:rPr>
          <w:sz w:val="20"/>
          <w:szCs w:val="20"/>
          <w:color w:val="auto"/>
        </w:rPr>
      </w:pPr>
      <w:r>
        <w:rPr>
          <w:rFonts w:ascii="Arial" w:cs="Arial" w:eastAsia="Arial" w:hAnsi="Arial"/>
          <w:sz w:val="16"/>
          <w:szCs w:val="16"/>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6"/>
          <w:szCs w:val="16"/>
          <w:b w:val="1"/>
          <w:bCs w:val="1"/>
          <w:color w:val="auto"/>
        </w:rPr>
        <w:t>Specified Parent SEC Documents</w:t>
      </w:r>
      <w:r>
        <w:rPr>
          <w:rFonts w:ascii="Arial" w:cs="Arial" w:eastAsia="Arial" w:hAnsi="Arial"/>
          <w:sz w:val="16"/>
          <w:szCs w:val="16"/>
          <w:color w:val="auto"/>
        </w:rPr>
        <w:t>”) or (b) as set forth in the Parent Disclosure Schedule, Parent represents and warrants to the Company that:</w:t>
      </w:r>
    </w:p>
    <w:p>
      <w:pPr>
        <w:spacing w:after="0" w:line="184" w:lineRule="exact"/>
        <w:rPr>
          <w:sz w:val="20"/>
          <w:szCs w:val="20"/>
          <w:color w:val="auto"/>
        </w:rPr>
      </w:pPr>
    </w:p>
    <w:p>
      <w:pPr>
        <w:ind w:right="80" w:firstLine="799"/>
        <w:spacing w:after="0" w:line="268"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93" w:lineRule="exact"/>
        <w:rPr>
          <w:sz w:val="20"/>
          <w:szCs w:val="20"/>
          <w:color w:val="auto"/>
        </w:rPr>
      </w:pPr>
    </w:p>
    <w:p>
      <w:pPr>
        <w:ind w:right="80" w:firstLine="799"/>
        <w:spacing w:after="0" w:line="30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i w:val="1"/>
          <w:iCs w:val="1"/>
          <w:color w:val="auto"/>
        </w:rPr>
        <w:t>Corporate Authorization</w:t>
      </w:r>
      <w:r>
        <w:rPr>
          <w:rFonts w:ascii="Arial" w:cs="Arial" w:eastAsia="Arial" w:hAnsi="Arial"/>
          <w:sz w:val="14"/>
          <w:szCs w:val="14"/>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4"/>
          <w:szCs w:val="14"/>
          <w:b w:val="1"/>
          <w:bCs w:val="1"/>
          <w:color w:val="auto"/>
        </w:rPr>
        <w:t>Parent Shareholder Approval</w:t>
      </w:r>
      <w:r>
        <w:rPr>
          <w:rFonts w:ascii="Arial" w:cs="Arial" w:eastAsia="Arial" w:hAnsi="Arial"/>
          <w:sz w:val="14"/>
          <w:szCs w:val="14"/>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firstLine="1720"/>
        <w:spacing w:after="0" w:line="273" w:lineRule="auto"/>
        <w:tabs>
          <w:tab w:leader="none" w:pos="213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6"/>
          <w:szCs w:val="16"/>
          <w:b w:val="1"/>
          <w:bCs w:val="1"/>
          <w:color w:val="auto"/>
        </w:rPr>
        <w:t>Parent Board Recommendation</w:t>
      </w:r>
      <w:r>
        <w:rPr>
          <w:rFonts w:ascii="Arial" w:cs="Arial" w:eastAsia="Arial" w:hAnsi="Arial"/>
          <w:sz w:val="16"/>
          <w:szCs w:val="16"/>
          <w:color w:val="auto"/>
        </w:rPr>
        <w:t>”).</w:t>
      </w:r>
    </w:p>
    <w:p>
      <w:pPr>
        <w:spacing w:after="0" w:line="189" w:lineRule="exact"/>
        <w:rPr>
          <w:sz w:val="20"/>
          <w:szCs w:val="20"/>
          <w:color w:val="auto"/>
        </w:rPr>
      </w:pPr>
    </w:p>
    <w:p>
      <w:pPr>
        <w:ind w:right="40" w:firstLine="799"/>
        <w:spacing w:after="0" w:line="310"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168"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79" w:lineRule="exact"/>
        <w:rPr>
          <w:sz w:val="20"/>
          <w:szCs w:val="20"/>
          <w:color w:val="auto"/>
        </w:rPr>
      </w:pPr>
    </w:p>
    <w:p>
      <w:pPr>
        <w:ind w:right="220" w:firstLine="799"/>
        <w:spacing w:after="0" w:line="303"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i w:val="1"/>
          <w:iCs w:val="1"/>
          <w:color w:val="auto"/>
        </w:rPr>
        <w:t>Capitalization</w:t>
      </w:r>
      <w:r>
        <w:rPr>
          <w:rFonts w:ascii="Arial" w:cs="Arial" w:eastAsia="Arial" w:hAnsi="Arial"/>
          <w:sz w:val="14"/>
          <w:szCs w:val="14"/>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w:t>
      </w:r>
    </w:p>
    <w:p>
      <w:pPr>
        <w:spacing w:after="0" w:line="2" w:lineRule="exact"/>
        <w:rPr>
          <w:sz w:val="20"/>
          <w:szCs w:val="20"/>
          <w:color w:val="auto"/>
        </w:rPr>
      </w:pPr>
    </w:p>
    <w:p>
      <w:pPr>
        <w:ind w:right="60" w:firstLine="8"/>
        <w:spacing w:after="0" w:line="301" w:lineRule="auto"/>
        <w:tabs>
          <w:tab w:leader="none" w:pos="257" w:val="left"/>
        </w:tabs>
        <w:numPr>
          <w:ilvl w:val="0"/>
          <w:numId w:val="299"/>
        </w:numPr>
        <w:rPr>
          <w:rFonts w:ascii="Arial" w:cs="Arial" w:eastAsia="Arial" w:hAnsi="Arial"/>
          <w:sz w:val="14"/>
          <w:szCs w:val="14"/>
          <w:color w:val="auto"/>
        </w:rPr>
      </w:pPr>
      <w:r>
        <w:rPr>
          <w:rFonts w:ascii="Arial" w:cs="Arial" w:eastAsia="Arial" w:hAnsi="Arial"/>
          <w:sz w:val="14"/>
          <w:szCs w:val="14"/>
          <w:color w:val="auto"/>
        </w:rPr>
        <w:t>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w:t>
      </w:r>
    </w:p>
    <w:p>
      <w:pPr>
        <w:spacing w:after="0" w:line="2" w:lineRule="exact"/>
        <w:rPr>
          <w:rFonts w:ascii="Arial" w:cs="Arial" w:eastAsia="Arial" w:hAnsi="Arial"/>
          <w:sz w:val="14"/>
          <w:szCs w:val="14"/>
          <w:color w:val="auto"/>
        </w:rPr>
      </w:pPr>
    </w:p>
    <w:p>
      <w:pPr>
        <w:ind w:right="80" w:firstLine="8"/>
        <w:spacing w:after="0" w:line="290" w:lineRule="auto"/>
        <w:tabs>
          <w:tab w:leader="none" w:pos="239"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177" w:lineRule="exact"/>
        <w:rPr>
          <w:rFonts w:ascii="Arial" w:cs="Arial" w:eastAsia="Arial" w:hAnsi="Arial"/>
          <w:sz w:val="15"/>
          <w:szCs w:val="15"/>
          <w:color w:val="auto"/>
        </w:rPr>
      </w:pPr>
    </w:p>
    <w:p>
      <w:pPr>
        <w:ind w:right="400" w:firstLine="1720"/>
        <w:spacing w:after="0" w:line="293" w:lineRule="auto"/>
        <w:tabs>
          <w:tab w:leader="none" w:pos="213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As of the date hereof, there are no outstanding bonds, debentures, notes or other indebtedness of Parent having the right to vote on an as-converted basis (or convertible into, or exchangeable for, securities having the right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4"/>
          <w:szCs w:val="14"/>
          <w:b w:val="1"/>
          <w:bCs w:val="1"/>
          <w:color w:val="auto"/>
        </w:rPr>
        <w:t>Parent Securities</w:t>
      </w:r>
      <w:r>
        <w:rPr>
          <w:rFonts w:ascii="Arial" w:cs="Arial" w:eastAsia="Arial" w:hAnsi="Arial"/>
          <w:sz w:val="14"/>
          <w:szCs w:val="14"/>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68" w:lineRule="exact"/>
        <w:rPr>
          <w:sz w:val="20"/>
          <w:szCs w:val="20"/>
          <w:color w:val="auto"/>
        </w:rPr>
      </w:pPr>
    </w:p>
    <w:p>
      <w:pPr>
        <w:ind w:right="20" w:firstLine="1720"/>
        <w:spacing w:after="0" w:line="278" w:lineRule="auto"/>
        <w:tabs>
          <w:tab w:leader="none" w:pos="213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84"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81" w:lineRule="exact"/>
        <w:rPr>
          <w:sz w:val="20"/>
          <w:szCs w:val="20"/>
          <w:color w:val="auto"/>
        </w:rPr>
      </w:pPr>
    </w:p>
    <w:p>
      <w:pPr>
        <w:ind w:firstLine="1720"/>
        <w:spacing w:after="0" w:line="286" w:lineRule="auto"/>
        <w:tabs>
          <w:tab w:leader="none" w:pos="2135"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15"/>
          <w:szCs w:val="15"/>
          <w:b w:val="1"/>
          <w:bCs w:val="1"/>
          <w:color w:val="auto"/>
        </w:rPr>
        <w:t>phantom</w:t>
      </w:r>
      <w:r>
        <w:rPr>
          <w:rFonts w:ascii="Arial" w:cs="Arial" w:eastAsia="Arial" w:hAnsi="Arial"/>
          <w:sz w:val="15"/>
          <w:szCs w:val="15"/>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5"/>
          <w:szCs w:val="15"/>
          <w:b w:val="1"/>
          <w:bCs w:val="1"/>
          <w:color w:val="auto"/>
        </w:rPr>
        <w:t>Parent Subsidiary Securities</w:t>
      </w:r>
      <w:r>
        <w:rPr>
          <w:rFonts w:ascii="Arial" w:cs="Arial" w:eastAsia="Arial" w:hAnsi="Arial"/>
          <w:sz w:val="15"/>
          <w:szCs w:val="15"/>
          <w:color w:val="auto"/>
        </w:rPr>
        <w:t>”). There are no outstanding obligations of Parent or any of its Significant Subsidiaries to repurchase, redeem or otherwise acquire any of the Parent Subsidiary Securities.</w:t>
      </w:r>
    </w:p>
    <w:p>
      <w:pPr>
        <w:spacing w:after="0" w:line="183" w:lineRule="exact"/>
        <w:rPr>
          <w:sz w:val="20"/>
          <w:szCs w:val="20"/>
          <w:color w:val="auto"/>
        </w:rPr>
      </w:pPr>
    </w:p>
    <w:p>
      <w:pPr>
        <w:ind w:right="120" w:firstLine="799"/>
        <w:spacing w:after="0" w:line="273"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w:t>
      </w:r>
    </w:p>
    <w:p>
      <w:pPr>
        <w:spacing w:after="0" w:line="189" w:lineRule="exact"/>
        <w:rPr>
          <w:sz w:val="20"/>
          <w:szCs w:val="20"/>
          <w:color w:val="auto"/>
        </w:rPr>
      </w:pPr>
    </w:p>
    <w:p>
      <w:pPr>
        <w:ind w:right="80" w:firstLine="1720"/>
        <w:spacing w:after="0" w:line="278" w:lineRule="auto"/>
        <w:tabs>
          <w:tab w:leader="none" w:pos="213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73" w:lineRule="auto"/>
        <w:tabs>
          <w:tab w:leader="none" w:pos="212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ind w:right="18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100" w:firstLine="1720"/>
        <w:spacing w:after="0" w:line="271" w:lineRule="auto"/>
        <w:tabs>
          <w:tab w:leader="none" w:pos="213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90" w:lineRule="exact"/>
        <w:rPr>
          <w:rFonts w:ascii="Arial" w:cs="Arial" w:eastAsia="Arial" w:hAnsi="Arial"/>
          <w:sz w:val="16"/>
          <w:szCs w:val="16"/>
          <w:color w:val="auto"/>
        </w:rPr>
      </w:pPr>
    </w:p>
    <w:p>
      <w:pPr>
        <w:ind w:firstLine="1720"/>
        <w:spacing w:after="0" w:line="269" w:lineRule="auto"/>
        <w:tabs>
          <w:tab w:leader="none" w:pos="211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90" w:lineRule="exact"/>
        <w:rPr>
          <w:rFonts w:ascii="Arial" w:cs="Arial" w:eastAsia="Arial" w:hAnsi="Arial"/>
          <w:sz w:val="16"/>
          <w:szCs w:val="16"/>
          <w:color w:val="auto"/>
        </w:rPr>
      </w:pPr>
    </w:p>
    <w:p>
      <w:pPr>
        <w:ind w:right="14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84" w:lineRule="exact"/>
        <w:rPr>
          <w:rFonts w:ascii="Arial" w:cs="Arial" w:eastAsia="Arial" w:hAnsi="Arial"/>
          <w:sz w:val="16"/>
          <w:szCs w:val="16"/>
          <w:color w:val="auto"/>
        </w:rPr>
      </w:pPr>
    </w:p>
    <w:p>
      <w:pPr>
        <w:ind w:right="200" w:firstLine="1720"/>
        <w:spacing w:after="0" w:line="293"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72" w:lineRule="exact"/>
        <w:rPr>
          <w:rFonts w:ascii="Arial" w:cs="Arial" w:eastAsia="Arial" w:hAnsi="Arial"/>
          <w:sz w:val="16"/>
          <w:szCs w:val="16"/>
          <w:color w:val="auto"/>
        </w:rPr>
      </w:pPr>
    </w:p>
    <w:p>
      <w:pPr>
        <w:ind w:right="40" w:firstLine="1720"/>
        <w:spacing w:after="0" w:line="335" w:lineRule="auto"/>
        <w:tabs>
          <w:tab w:leader="none" w:pos="2108" w:val="left"/>
        </w:tabs>
        <w:numPr>
          <w:ilvl w:val="0"/>
          <w:numId w:val="304"/>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49" w:lineRule="exact"/>
        <w:rPr>
          <w:rFonts w:ascii="Arial" w:cs="Arial" w:eastAsia="Arial" w:hAnsi="Arial"/>
          <w:sz w:val="14"/>
          <w:szCs w:val="14"/>
          <w:color w:val="auto"/>
        </w:rPr>
      </w:pPr>
    </w:p>
    <w:p>
      <w:pPr>
        <w:ind w:right="180" w:firstLine="1720"/>
        <w:spacing w:after="0" w:line="293" w:lineRule="auto"/>
        <w:tabs>
          <w:tab w:leader="none" w:pos="210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Parent 10-K contains no material differences from Parent’s annual report on Form 10-K for the fiscal year ended December 31, 2013, in the form previously delivered to the Company.</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i w:val="1"/>
          <w:iCs w:val="1"/>
          <w:color w:val="auto"/>
        </w:rPr>
        <w:t>Financial Statements</w:t>
      </w:r>
      <w:r>
        <w:rPr>
          <w:rFonts w:ascii="Arial" w:cs="Arial" w:eastAsia="Arial" w:hAnsi="Arial"/>
          <w:sz w:val="15"/>
          <w:szCs w:val="15"/>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76"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Disclosure Documents.</w:t>
      </w:r>
      <w:r>
        <w:rPr>
          <w:rFonts w:ascii="Arial" w:cs="Arial" w:eastAsia="Arial" w:hAnsi="Arial"/>
          <w:sz w:val="16"/>
          <w:szCs w:val="16"/>
          <w:color w:val="auto"/>
        </w:rPr>
        <w:t xml:space="preserve"> The information supplied by Parent in writing for inclusion or incorporation by reference in the Registration Statement shall not at the time the Registration Statement is declared effective by the SEC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97" w:lineRule="exact"/>
        <w:rPr>
          <w:sz w:val="20"/>
          <w:szCs w:val="20"/>
          <w:color w:val="auto"/>
        </w:rPr>
      </w:pPr>
    </w:p>
    <w:p>
      <w:pPr>
        <w:ind w:firstLine="799"/>
        <w:spacing w:after="0" w:line="305"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Absence of Certain Changes</w:t>
      </w:r>
      <w:r>
        <w:rPr>
          <w:rFonts w:ascii="Arial" w:cs="Arial" w:eastAsia="Arial" w:hAnsi="Arial"/>
          <w:sz w:val="15"/>
          <w:szCs w:val="15"/>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6"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Parent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disclosed, reflected, reserved against or otherwise provided for in the Parent Balance Sheet or in the notes thereto;</w:t>
      </w:r>
    </w:p>
    <w:p>
      <w:pPr>
        <w:spacing w:after="0" w:line="246" w:lineRule="exact"/>
        <w:rPr>
          <w:rFonts w:ascii="Arial" w:cs="Arial" w:eastAsia="Arial" w:hAnsi="Arial"/>
          <w:sz w:val="15"/>
          <w:szCs w:val="15"/>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Parent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that would not reasonably be expected to have, individually or in the aggregate, a Parent Material Adverse Effect.</w:t>
      </w:r>
    </w:p>
    <w:p>
      <w:pPr>
        <w:spacing w:after="0" w:line="246" w:lineRule="exact"/>
        <w:rPr>
          <w:sz w:val="20"/>
          <w:szCs w:val="20"/>
          <w:color w:val="auto"/>
        </w:rPr>
      </w:pPr>
    </w:p>
    <w:p>
      <w:pPr>
        <w:ind w:firstLine="799"/>
        <w:spacing w:after="0" w:line="291"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Compliance with Laws and Court Orders; Governmental Authorizations.</w:t>
      </w:r>
      <w:r>
        <w:rPr>
          <w:rFonts w:ascii="Arial" w:cs="Arial" w:eastAsia="Arial" w:hAnsi="Arial"/>
          <w:sz w:val="15"/>
          <w:szCs w:val="15"/>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7" w:lineRule="exact"/>
        <w:rPr>
          <w:sz w:val="20"/>
          <w:szCs w:val="20"/>
          <w:color w:val="auto"/>
        </w:rPr>
      </w:pPr>
    </w:p>
    <w:p>
      <w:pPr>
        <w:ind w:right="80" w:firstLine="1720"/>
        <w:spacing w:after="0" w:line="271" w:lineRule="auto"/>
        <w:tabs>
          <w:tab w:leader="none" w:pos="214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Taxes.</w:t>
      </w:r>
      <w:r>
        <w:rPr>
          <w:rFonts w:ascii="Arial" w:cs="Arial" w:eastAsia="Arial" w:hAnsi="Arial"/>
          <w:sz w:val="16"/>
          <w:szCs w:val="16"/>
          <w:color w:val="auto"/>
        </w:rPr>
        <w:t xml:space="preserve"> Except as would not reasonably be expected to have, individually or in the aggregate, a Parent Material Adverse Effect:</w:t>
      </w:r>
    </w:p>
    <w:p>
      <w:pPr>
        <w:spacing w:after="0" w:line="235" w:lineRule="exact"/>
        <w:rPr>
          <w:sz w:val="20"/>
          <w:szCs w:val="20"/>
          <w:color w:val="auto"/>
        </w:rPr>
      </w:pPr>
    </w:p>
    <w:p>
      <w:pPr>
        <w:ind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72" w:lineRule="exact"/>
        <w:rPr>
          <w:rFonts w:ascii="Arial" w:cs="Arial" w:eastAsia="Arial" w:hAnsi="Arial"/>
          <w:sz w:val="16"/>
          <w:szCs w:val="16"/>
          <w:color w:val="auto"/>
        </w:rPr>
      </w:pPr>
    </w:p>
    <w:p>
      <w:pPr>
        <w:ind w:left="1720" w:right="240" w:firstLine="679"/>
        <w:spacing w:after="0" w:line="293" w:lineRule="auto"/>
        <w:tabs>
          <w:tab w:leader="none" w:pos="284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Parent and each of its Subsidiaries has timely paid to the appropriate Taxing Authority all Taxes shown as due and payable on all Tax Returns that have been so filed;</w:t>
      </w:r>
    </w:p>
    <w:p>
      <w:pPr>
        <w:spacing w:after="0" w:line="172" w:lineRule="exact"/>
        <w:rPr>
          <w:rFonts w:ascii="Arial" w:cs="Arial" w:eastAsia="Arial" w:hAnsi="Arial"/>
          <w:sz w:val="16"/>
          <w:szCs w:val="16"/>
          <w:color w:val="auto"/>
        </w:rPr>
      </w:pPr>
    </w:p>
    <w:p>
      <w:pPr>
        <w:ind w:left="2880" w:hanging="481"/>
        <w:spacing w:after="0"/>
        <w:tabs>
          <w:tab w:leader="none" w:pos="288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the accruals and reserves with respect to Taxes as set forth on the Parent Balance Sheet are adequate (as determined in accordance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with GAAP);</w:t>
      </w:r>
    </w:p>
    <w:p>
      <w:pPr>
        <w:spacing w:after="0" w:line="230" w:lineRule="exact"/>
        <w:rPr>
          <w:rFonts w:ascii="Arial" w:cs="Arial" w:eastAsia="Arial" w:hAnsi="Arial"/>
          <w:sz w:val="14"/>
          <w:szCs w:val="14"/>
          <w:color w:val="auto"/>
        </w:rPr>
      </w:pPr>
    </w:p>
    <w:p>
      <w:pPr>
        <w:ind w:left="1720" w:right="200" w:firstLine="679"/>
        <w:spacing w:after="0" w:line="293"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Parent Balance Sheet Date;</w:t>
      </w:r>
    </w:p>
    <w:p>
      <w:pPr>
        <w:spacing w:after="0" w:line="172" w:lineRule="exact"/>
        <w:rPr>
          <w:rFonts w:ascii="Arial" w:cs="Arial" w:eastAsia="Arial" w:hAnsi="Arial"/>
          <w:sz w:val="16"/>
          <w:szCs w:val="16"/>
          <w:color w:val="auto"/>
        </w:rPr>
      </w:pPr>
    </w:p>
    <w:p>
      <w:pPr>
        <w:ind w:left="1720" w:right="220" w:firstLine="679"/>
        <w:spacing w:after="0" w:line="293" w:lineRule="auto"/>
        <w:tabs>
          <w:tab w:leader="none" w:pos="283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Parent’s knowledge, threatened against or with respect to Parent or any of its Subsidiaries in respect of any material Tax; and</w:t>
      </w:r>
    </w:p>
    <w:p>
      <w:pPr>
        <w:spacing w:after="0" w:line="172" w:lineRule="exact"/>
        <w:rPr>
          <w:rFonts w:ascii="Arial" w:cs="Arial" w:eastAsia="Arial" w:hAnsi="Arial"/>
          <w:sz w:val="16"/>
          <w:szCs w:val="16"/>
          <w:color w:val="auto"/>
        </w:rPr>
      </w:pPr>
    </w:p>
    <w:p>
      <w:pPr>
        <w:ind w:left="1720" w:right="60" w:firstLine="679"/>
        <w:spacing w:after="0" w:line="278"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84" w:lineRule="exact"/>
        <w:rPr>
          <w:rFonts w:ascii="Arial" w:cs="Arial" w:eastAsia="Arial" w:hAnsi="Arial"/>
          <w:sz w:val="16"/>
          <w:szCs w:val="16"/>
          <w:color w:val="auto"/>
        </w:rPr>
      </w:pPr>
    </w:p>
    <w:p>
      <w:pPr>
        <w:jc w:val="both"/>
        <w:ind w:right="80" w:firstLine="1720"/>
        <w:spacing w:after="0" w:line="273" w:lineRule="auto"/>
        <w:tabs>
          <w:tab w:leader="none" w:pos="21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89" w:lineRule="exact"/>
        <w:rPr>
          <w:rFonts w:ascii="Arial" w:cs="Arial" w:eastAsia="Arial" w:hAnsi="Arial"/>
          <w:sz w:val="16"/>
          <w:szCs w:val="16"/>
          <w:color w:val="auto"/>
        </w:rPr>
      </w:pPr>
    </w:p>
    <w:p>
      <w:pPr>
        <w:ind w:right="80"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jurisdiction in which Parent or any of its Subsidiaries does not file Tax Returns has asserted that Parent or any of its Subsidiaries is or may be liable for Tax in that jurisdiction.</w:t>
      </w:r>
    </w:p>
    <w:p>
      <w:pPr>
        <w:spacing w:after="0" w:line="172" w:lineRule="exact"/>
        <w:rPr>
          <w:sz w:val="20"/>
          <w:szCs w:val="20"/>
          <w:color w:val="auto"/>
        </w:rPr>
      </w:pPr>
    </w:p>
    <w:p>
      <w:pPr>
        <w:jc w:val="both"/>
        <w:ind w:right="140" w:firstLine="799"/>
        <w:spacing w:after="0" w:line="335" w:lineRule="auto"/>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i w:val="1"/>
          <w:iCs w:val="1"/>
          <w:color w:val="auto"/>
        </w:rPr>
        <w:t>Franchises</w:t>
      </w:r>
      <w:r>
        <w:rPr>
          <w:rFonts w:ascii="Arial" w:cs="Arial" w:eastAsia="Arial" w:hAnsi="Arial"/>
          <w:sz w:val="14"/>
          <w:szCs w:val="14"/>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0"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Tax Treatment</w:t>
      </w:r>
      <w:r>
        <w:rPr>
          <w:rFonts w:ascii="Arial" w:cs="Arial" w:eastAsia="Arial" w:hAnsi="Arial"/>
          <w:sz w:val="16"/>
          <w:szCs w:val="16"/>
          <w:color w:val="auto"/>
        </w:rPr>
        <w:t>. Neither Parent nor any of its Affiliates has taken or agreed to take any action or is aware of any fact or circumstance that would prevent the Merger from qualifying as a 368 Reorganization.</w:t>
      </w:r>
    </w:p>
    <w:p>
      <w:pPr>
        <w:spacing w:after="0" w:line="172"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i w:val="1"/>
          <w:iCs w:val="1"/>
          <w:color w:val="auto"/>
        </w:rPr>
        <w:t>Certain Agreements</w:t>
      </w:r>
      <w:r>
        <w:rPr>
          <w:rFonts w:ascii="Arial" w:cs="Arial" w:eastAsia="Arial" w:hAnsi="Arial"/>
          <w:sz w:val="15"/>
          <w:szCs w:val="15"/>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76" w:lineRule="exact"/>
        <w:rPr>
          <w:sz w:val="20"/>
          <w:szCs w:val="20"/>
          <w:color w:val="auto"/>
        </w:rPr>
      </w:pPr>
    </w:p>
    <w:p>
      <w:pPr>
        <w:ind w:right="140" w:firstLine="1720"/>
        <w:spacing w:after="0" w:line="369" w:lineRule="auto"/>
        <w:tabs>
          <w:tab w:leader="none" w:pos="1941" w:val="left"/>
        </w:tabs>
        <w:numPr>
          <w:ilvl w:val="0"/>
          <w:numId w:val="308"/>
        </w:numPr>
        <w:rPr>
          <w:rFonts w:ascii="Arial" w:cs="Arial" w:eastAsia="Arial" w:hAnsi="Arial"/>
          <w:sz w:val="14"/>
          <w:szCs w:val="14"/>
          <w:color w:val="auto"/>
        </w:rPr>
      </w:pPr>
      <w:r>
        <w:rPr>
          <w:rFonts w:ascii="Arial" w:cs="Arial" w:eastAsia="Arial" w:hAnsi="Arial"/>
          <w:sz w:val="14"/>
          <w:szCs w:val="14"/>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7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Finders’ Fees</w:t>
      </w:r>
      <w:r>
        <w:rPr>
          <w:rFonts w:ascii="Arial" w:cs="Arial" w:eastAsia="Arial" w:hAnsi="Arial"/>
          <w:sz w:val="16"/>
          <w:szCs w:val="16"/>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84" w:lineRule="exact"/>
        <w:rPr>
          <w:sz w:val="20"/>
          <w:szCs w:val="20"/>
          <w:color w:val="auto"/>
        </w:rPr>
      </w:pPr>
    </w:p>
    <w:p>
      <w:pPr>
        <w:jc w:val="both"/>
        <w:ind w:firstLine="799"/>
        <w:spacing w:after="0" w:line="278"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84" w:lineRule="exact"/>
        <w:rPr>
          <w:sz w:val="20"/>
          <w:szCs w:val="20"/>
          <w:color w:val="auto"/>
        </w:rPr>
      </w:pPr>
    </w:p>
    <w:p>
      <w:pPr>
        <w:ind w:right="40" w:firstLine="799"/>
        <w:spacing w:after="0" w:line="267"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6</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agrees that:</w:t>
      </w:r>
    </w:p>
    <w:p>
      <w:pPr>
        <w:spacing w:after="0" w:line="235" w:lineRule="exact"/>
        <w:rPr>
          <w:sz w:val="20"/>
          <w:szCs w:val="20"/>
          <w:color w:val="auto"/>
        </w:rPr>
      </w:pPr>
    </w:p>
    <w:p>
      <w:pPr>
        <w:ind w:right="80" w:firstLine="799"/>
        <w:spacing w:after="0" w:line="286"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i w:val="1"/>
          <w:iCs w:val="1"/>
          <w:color w:val="auto"/>
        </w:rPr>
        <w:t>Conduct of the Company.</w:t>
      </w:r>
      <w:r>
        <w:rPr>
          <w:rFonts w:ascii="Arial" w:cs="Arial" w:eastAsia="Arial" w:hAnsi="Arial"/>
          <w:sz w:val="15"/>
          <w:szCs w:val="15"/>
          <w:color w:val="auto"/>
        </w:rPr>
        <w:t xml:space="preserve"> From the date hereof until the Effective Time, except as expressly contemplated by this Agreement, as set forth in Section 6.01 of the 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81" w:lineRule="exact"/>
        <w:rPr>
          <w:sz w:val="20"/>
          <w:szCs w:val="20"/>
          <w:color w:val="auto"/>
        </w:rPr>
      </w:pPr>
    </w:p>
    <w:p>
      <w:pPr>
        <w:ind w:left="2140" w:hanging="420"/>
        <w:spacing w:after="0"/>
        <w:tabs>
          <w:tab w:leader="none" w:pos="2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amend its certificate of incorporation, bylaws or other similar organizational documents (whether by merger, consolidation or otherwise);</w:t>
      </w:r>
    </w:p>
    <w:p>
      <w:pPr>
        <w:spacing w:after="0" w:line="246" w:lineRule="exact"/>
        <w:rPr>
          <w:rFonts w:ascii="Arial" w:cs="Arial" w:eastAsia="Arial" w:hAnsi="Arial"/>
          <w:sz w:val="15"/>
          <w:szCs w:val="15"/>
          <w:color w:val="auto"/>
        </w:rPr>
      </w:pPr>
    </w:p>
    <w:p>
      <w:pPr>
        <w:ind w:right="40" w:firstLine="1720"/>
        <w:spacing w:after="0" w:line="289" w:lineRule="auto"/>
        <w:tabs>
          <w:tab w:leader="none" w:pos="2144"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connection with (A) the payment of the exercise price of Company Stock Options with Company Stock (including in connection with “</w:t>
      </w:r>
      <w:r>
        <w:rPr>
          <w:rFonts w:ascii="Arial" w:cs="Arial" w:eastAsia="Arial" w:hAnsi="Arial"/>
          <w:sz w:val="16"/>
          <w:szCs w:val="16"/>
          <w:b w:val="1"/>
          <w:bCs w:val="1"/>
          <w:color w:val="auto"/>
        </w:rPr>
        <w:t>net exercises</w:t>
      </w:r>
      <w:r>
        <w:rPr>
          <w:rFonts w:ascii="Arial" w:cs="Arial" w:eastAsia="Arial" w:hAnsi="Arial"/>
          <w:sz w:val="16"/>
          <w:szCs w:val="16"/>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87" w:lineRule="exact"/>
        <w:rPr>
          <w:sz w:val="20"/>
          <w:szCs w:val="20"/>
          <w:color w:val="auto"/>
        </w:rPr>
      </w:pPr>
    </w:p>
    <w:p>
      <w:pPr>
        <w:ind w:right="20" w:firstLine="1720"/>
        <w:spacing w:after="0" w:line="289" w:lineRule="auto"/>
        <w:tabs>
          <w:tab w:leader="none" w:pos="2135" w:val="left"/>
        </w:tabs>
        <w:numPr>
          <w:ilvl w:val="1"/>
          <w:numId w:val="310"/>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80" w:lineRule="exact"/>
        <w:rPr>
          <w:rFonts w:ascii="Arial" w:cs="Arial" w:eastAsia="Arial" w:hAnsi="Arial"/>
          <w:sz w:val="15"/>
          <w:szCs w:val="15"/>
          <w:color w:val="auto"/>
        </w:rPr>
      </w:pPr>
    </w:p>
    <w:p>
      <w:pPr>
        <w:ind w:right="340" w:firstLine="1720"/>
        <w:spacing w:after="0" w:line="278" w:lineRule="auto"/>
        <w:tabs>
          <w:tab w:leader="none" w:pos="214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84" w:lineRule="exact"/>
        <w:rPr>
          <w:rFonts w:ascii="Arial" w:cs="Arial" w:eastAsia="Arial" w:hAnsi="Arial"/>
          <w:sz w:val="16"/>
          <w:szCs w:val="16"/>
          <w:color w:val="auto"/>
        </w:rPr>
      </w:pPr>
    </w:p>
    <w:p>
      <w:pPr>
        <w:ind w:right="80" w:firstLine="1720"/>
        <w:spacing w:after="0" w:line="304" w:lineRule="auto"/>
        <w:tabs>
          <w:tab w:leader="none" w:pos="2135" w:val="left"/>
        </w:tabs>
        <w:numPr>
          <w:ilvl w:val="1"/>
          <w:numId w:val="310"/>
        </w:numPr>
        <w:rPr>
          <w:rFonts w:ascii="Arial" w:cs="Arial" w:eastAsia="Arial" w:hAnsi="Arial"/>
          <w:sz w:val="14"/>
          <w:szCs w:val="14"/>
          <w:color w:val="auto"/>
        </w:rPr>
      </w:pPr>
      <w:r>
        <w:rPr>
          <w:rFonts w:ascii="Arial" w:cs="Arial" w:eastAsia="Arial" w:hAnsi="Arial"/>
          <w:sz w:val="14"/>
          <w:szCs w:val="14"/>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w:t>
      </w:r>
    </w:p>
    <w:p>
      <w:pPr>
        <w:spacing w:after="0" w:line="1" w:lineRule="exact"/>
        <w:rPr>
          <w:rFonts w:ascii="Arial" w:cs="Arial" w:eastAsia="Arial" w:hAnsi="Arial"/>
          <w:sz w:val="14"/>
          <w:szCs w:val="14"/>
          <w:color w:val="auto"/>
        </w:rPr>
      </w:pPr>
    </w:p>
    <w:p>
      <w:pPr>
        <w:ind w:right="160" w:firstLine="8"/>
        <w:spacing w:after="0" w:line="323" w:lineRule="auto"/>
        <w:tabs>
          <w:tab w:leader="none" w:pos="239" w:val="left"/>
        </w:tabs>
        <w:numPr>
          <w:ilvl w:val="0"/>
          <w:numId w:val="311"/>
        </w:numPr>
        <w:rPr>
          <w:rFonts w:ascii="Arial" w:cs="Arial" w:eastAsia="Arial" w:hAnsi="Arial"/>
          <w:sz w:val="15"/>
          <w:szCs w:val="15"/>
          <w:color w:val="auto"/>
        </w:rPr>
      </w:pPr>
      <w:r>
        <w:rPr>
          <w:rFonts w:ascii="Arial" w:cs="Arial" w:eastAsia="Arial" w:hAnsi="Arial"/>
          <w:sz w:val="15"/>
          <w:szCs w:val="15"/>
          <w:color w:val="auto"/>
        </w:rPr>
        <w:t>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153" w:lineRule="exact"/>
        <w:rPr>
          <w:rFonts w:ascii="Arial" w:cs="Arial" w:eastAsia="Arial" w:hAnsi="Arial"/>
          <w:sz w:val="15"/>
          <w:szCs w:val="15"/>
          <w:color w:val="auto"/>
        </w:rPr>
      </w:pPr>
    </w:p>
    <w:p>
      <w:pPr>
        <w:ind w:right="20" w:firstLine="1720"/>
        <w:spacing w:after="0" w:line="271" w:lineRule="auto"/>
        <w:tabs>
          <w:tab w:leader="none" w:pos="211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190" w:lineRule="exact"/>
        <w:rPr>
          <w:rFonts w:ascii="Arial" w:cs="Arial" w:eastAsia="Arial" w:hAnsi="Arial"/>
          <w:sz w:val="16"/>
          <w:szCs w:val="16"/>
          <w:color w:val="auto"/>
        </w:rPr>
      </w:pPr>
    </w:p>
    <w:p>
      <w:pPr>
        <w:ind w:firstLine="1720"/>
        <w:spacing w:after="0" w:line="273"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89" w:lineRule="exact"/>
        <w:rPr>
          <w:rFonts w:ascii="Arial" w:cs="Arial" w:eastAsia="Arial" w:hAnsi="Arial"/>
          <w:sz w:val="16"/>
          <w:szCs w:val="16"/>
          <w:color w:val="auto"/>
        </w:rPr>
      </w:pPr>
    </w:p>
    <w:p>
      <w:pPr>
        <w:ind w:right="20" w:firstLine="1720"/>
        <w:spacing w:after="0" w:line="271"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90" w:lineRule="exact"/>
        <w:rPr>
          <w:rFonts w:ascii="Arial" w:cs="Arial" w:eastAsia="Arial" w:hAnsi="Arial"/>
          <w:sz w:val="16"/>
          <w:szCs w:val="16"/>
          <w:color w:val="auto"/>
        </w:rPr>
      </w:pPr>
    </w:p>
    <w:p>
      <w:pPr>
        <w:jc w:val="both"/>
        <w:ind w:right="420" w:firstLine="1720"/>
        <w:spacing w:after="0" w:line="27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89" w:lineRule="exact"/>
        <w:rPr>
          <w:rFonts w:ascii="Arial" w:cs="Arial" w:eastAsia="Arial" w:hAnsi="Arial"/>
          <w:sz w:val="16"/>
          <w:szCs w:val="16"/>
          <w:color w:val="auto"/>
        </w:rPr>
      </w:pPr>
    </w:p>
    <w:p>
      <w:pPr>
        <w:ind w:right="40" w:firstLine="1720"/>
        <w:spacing w:after="0" w:line="29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the ordinary course of business, (i) amend or modify in any material respect or terminate (excluding terminations upon expiration of the term thereof in accordance with the terms thereof) any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26" w:lineRule="exact"/>
        <w:rPr>
          <w:sz w:val="20"/>
          <w:szCs w:val="20"/>
          <w:color w:val="auto"/>
        </w:rPr>
      </w:pPr>
    </w:p>
    <w:p>
      <w:pPr>
        <w:ind w:right="180" w:firstLine="1720"/>
        <w:spacing w:after="0" w:line="305" w:lineRule="auto"/>
        <w:tabs>
          <w:tab w:leader="none" w:pos="2144" w:val="left"/>
        </w:tabs>
        <w:numPr>
          <w:ilvl w:val="1"/>
          <w:numId w:val="312"/>
        </w:numPr>
        <w:rPr>
          <w:rFonts w:ascii="Arial" w:cs="Arial" w:eastAsia="Arial" w:hAnsi="Arial"/>
          <w:sz w:val="15"/>
          <w:szCs w:val="15"/>
          <w:color w:val="auto"/>
        </w:rPr>
      </w:pPr>
      <w:r>
        <w:rPr>
          <w:rFonts w:ascii="Arial" w:cs="Arial" w:eastAsia="Arial" w:hAnsi="Arial"/>
          <w:sz w:val="15"/>
          <w:szCs w:val="15"/>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15"/>
          <w:szCs w:val="15"/>
          <w:color w:val="auto"/>
        </w:rPr>
      </w:pPr>
    </w:p>
    <w:p>
      <w:pPr>
        <w:ind w:right="20" w:firstLine="1720"/>
        <w:spacing w:after="0" w:line="271" w:lineRule="auto"/>
        <w:tabs>
          <w:tab w:leader="none" w:pos="210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90" w:lineRule="exact"/>
        <w:rPr>
          <w:rFonts w:ascii="Arial" w:cs="Arial" w:eastAsia="Arial" w:hAnsi="Arial"/>
          <w:sz w:val="16"/>
          <w:szCs w:val="16"/>
          <w:color w:val="auto"/>
        </w:rPr>
      </w:pPr>
    </w:p>
    <w:p>
      <w:pPr>
        <w:jc w:val="both"/>
        <w:ind w:right="120" w:firstLine="1720"/>
        <w:spacing w:after="0" w:line="273" w:lineRule="auto"/>
        <w:tabs>
          <w:tab w:leader="none" w:pos="218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89" w:lineRule="exact"/>
        <w:rPr>
          <w:rFonts w:ascii="Arial" w:cs="Arial" w:eastAsia="Arial" w:hAnsi="Arial"/>
          <w:sz w:val="16"/>
          <w:szCs w:val="16"/>
          <w:color w:val="auto"/>
        </w:rPr>
      </w:pPr>
    </w:p>
    <w:p>
      <w:pPr>
        <w:ind w:right="460" w:firstLine="1720"/>
        <w:spacing w:after="0" w:line="304" w:lineRule="auto"/>
        <w:tabs>
          <w:tab w:leader="none" w:pos="2144" w:val="left"/>
        </w:tabs>
        <w:numPr>
          <w:ilvl w:val="1"/>
          <w:numId w:val="312"/>
        </w:numPr>
        <w:rPr>
          <w:rFonts w:ascii="Arial" w:cs="Arial" w:eastAsia="Arial" w:hAnsi="Arial"/>
          <w:sz w:val="14"/>
          <w:szCs w:val="14"/>
          <w:color w:val="auto"/>
        </w:rPr>
      </w:pPr>
      <w:r>
        <w:rPr>
          <w:rFonts w:ascii="Arial" w:cs="Arial" w:eastAsia="Arial" w:hAnsi="Arial"/>
          <w:sz w:val="14"/>
          <w:szCs w:val="14"/>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spacing w:after="0" w:line="1" w:lineRule="exact"/>
        <w:rPr>
          <w:rFonts w:ascii="Arial" w:cs="Arial" w:eastAsia="Arial" w:hAnsi="Arial"/>
          <w:sz w:val="14"/>
          <w:szCs w:val="14"/>
          <w:color w:val="auto"/>
        </w:rPr>
      </w:pPr>
    </w:p>
    <w:p>
      <w:pPr>
        <w:ind w:firstLine="8"/>
        <w:spacing w:after="0" w:line="268" w:lineRule="auto"/>
        <w:tabs>
          <w:tab w:leader="none" w:pos="23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92" w:lineRule="exact"/>
        <w:rPr>
          <w:rFonts w:ascii="Arial" w:cs="Arial" w:eastAsia="Arial" w:hAnsi="Arial"/>
          <w:sz w:val="16"/>
          <w:szCs w:val="16"/>
          <w:color w:val="auto"/>
        </w:rPr>
      </w:pPr>
    </w:p>
    <w:p>
      <w:pPr>
        <w:ind w:right="8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change the Company’s methods of financial accounting, except as required by concurrent changes in GAAP or in Regulation S-X of the 1934 Act, as agreed to by its independent public accountants;</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1"/>
          <w:numId w:val="313"/>
        </w:numPr>
        <w:rPr>
          <w:rFonts w:ascii="Arial" w:cs="Arial" w:eastAsia="Arial" w:hAnsi="Arial"/>
          <w:sz w:val="15"/>
          <w:szCs w:val="15"/>
          <w:color w:val="auto"/>
        </w:rPr>
      </w:pPr>
      <w:r>
        <w:rPr>
          <w:rFonts w:ascii="Arial" w:cs="Arial" w:eastAsia="Arial" w:hAnsi="Arial"/>
          <w:sz w:val="15"/>
          <w:szCs w:val="15"/>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 $100,000,000 (after giving effect to any reasonably expected indemnification proceeds);</w:t>
      </w:r>
    </w:p>
    <w:p>
      <w:pPr>
        <w:spacing w:after="0" w:line="172" w:lineRule="exact"/>
        <w:rPr>
          <w:rFonts w:ascii="Arial" w:cs="Arial" w:eastAsia="Arial" w:hAnsi="Arial"/>
          <w:sz w:val="15"/>
          <w:szCs w:val="15"/>
          <w:color w:val="auto"/>
        </w:rPr>
      </w:pPr>
    </w:p>
    <w:p>
      <w:pPr>
        <w:ind w:right="72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72" w:lineRule="exact"/>
        <w:rPr>
          <w:rFonts w:ascii="Arial" w:cs="Arial" w:eastAsia="Arial" w:hAnsi="Arial"/>
          <w:sz w:val="16"/>
          <w:szCs w:val="16"/>
          <w:color w:val="auto"/>
        </w:rPr>
      </w:pPr>
    </w:p>
    <w:p>
      <w:pPr>
        <w:ind w:right="500" w:firstLine="1720"/>
        <w:spacing w:after="0" w:line="293" w:lineRule="auto"/>
        <w:tabs>
          <w:tab w:leader="none" w:pos="211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72" w:lineRule="exact"/>
        <w:rPr>
          <w:rFonts w:ascii="Arial" w:cs="Arial" w:eastAsia="Arial" w:hAnsi="Arial"/>
          <w:sz w:val="16"/>
          <w:szCs w:val="16"/>
          <w:color w:val="auto"/>
        </w:rPr>
      </w:pPr>
    </w:p>
    <w:p>
      <w:pPr>
        <w:ind w:right="80" w:firstLine="1720"/>
        <w:spacing w:after="0" w:line="293" w:lineRule="auto"/>
        <w:tabs>
          <w:tab w:leader="none" w:pos="212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305"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Company Stockholder Meeting</w:t>
      </w:r>
      <w:r>
        <w:rPr>
          <w:rFonts w:ascii="Arial" w:cs="Arial" w:eastAsia="Arial" w:hAnsi="Arial"/>
          <w:sz w:val="14"/>
          <w:szCs w:val="14"/>
          <w:color w:val="auto"/>
        </w:rPr>
        <w:t>. The Company shall cause a meeting of its stockholders (the “</w:t>
      </w:r>
      <w:r>
        <w:rPr>
          <w:rFonts w:ascii="Arial" w:cs="Arial" w:eastAsia="Arial" w:hAnsi="Arial"/>
          <w:sz w:val="14"/>
          <w:szCs w:val="14"/>
          <w:b w:val="1"/>
          <w:bCs w:val="1"/>
          <w:color w:val="auto"/>
        </w:rPr>
        <w:t>Company Stockholder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w:t>
      </w:r>
    </w:p>
    <w:p>
      <w:pPr>
        <w:spacing w:after="0" w:line="2" w:lineRule="exact"/>
        <w:rPr>
          <w:sz w:val="20"/>
          <w:szCs w:val="20"/>
          <w:color w:val="auto"/>
        </w:rPr>
      </w:pPr>
    </w:p>
    <w:p>
      <w:pPr>
        <w:ind w:firstLine="8"/>
        <w:spacing w:after="0" w:line="305" w:lineRule="auto"/>
        <w:tabs>
          <w:tab w:leader="none" w:pos="194" w:val="left"/>
        </w:tabs>
        <w:numPr>
          <w:ilvl w:val="0"/>
          <w:numId w:val="314"/>
        </w:numPr>
        <w:rPr>
          <w:rFonts w:ascii="Arial" w:cs="Arial" w:eastAsia="Arial" w:hAnsi="Arial"/>
          <w:sz w:val="14"/>
          <w:szCs w:val="14"/>
          <w:color w:val="auto"/>
        </w:rPr>
      </w:pPr>
      <w:r>
        <w:rPr>
          <w:rFonts w:ascii="Arial" w:cs="Arial" w:eastAsia="Arial" w:hAnsi="Arial"/>
          <w:sz w:val="14"/>
          <w:szCs w:val="14"/>
          <w:color w:val="auto"/>
        </w:rPr>
        <w:t>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379" w:lineRule="exact"/>
        <w:rPr>
          <w:sz w:val="20"/>
          <w:szCs w:val="20"/>
          <w:color w:val="auto"/>
        </w:rPr>
      </w:pPr>
    </w:p>
    <w:p>
      <w:pPr>
        <w:ind w:left="800"/>
        <w:spacing w:after="0"/>
        <w:tabs>
          <w:tab w:leader="none" w:pos="1800" w:val="left"/>
        </w:tabs>
        <w:rPr>
          <w:sz w:val="20"/>
          <w:szCs w:val="20"/>
          <w:color w:val="auto"/>
        </w:rPr>
      </w:pPr>
      <w:r>
        <w:rPr>
          <w:rFonts w:ascii="Arial" w:cs="Arial" w:eastAsia="Arial" w:hAnsi="Arial"/>
          <w:sz w:val="16"/>
          <w:szCs w:val="16"/>
          <w:color w:val="auto"/>
        </w:rPr>
        <w:t>Section 6.03.</w:t>
      </w:r>
      <w:r>
        <w:rPr>
          <w:sz w:val="20"/>
          <w:szCs w:val="20"/>
          <w:color w:val="auto"/>
        </w:rPr>
        <w:tab/>
      </w:r>
      <w:r>
        <w:rPr>
          <w:rFonts w:ascii="Arial" w:cs="Arial" w:eastAsia="Arial" w:hAnsi="Arial"/>
          <w:sz w:val="14"/>
          <w:szCs w:val="14"/>
          <w:i w:val="1"/>
          <w:iCs w:val="1"/>
          <w:color w:val="auto"/>
        </w:rPr>
        <w:t>No Solicitation; Other Offers</w:t>
      </w:r>
      <w:r>
        <w:rPr>
          <w:rFonts w:ascii="Arial" w:cs="Arial" w:eastAsia="Arial" w:hAnsi="Arial"/>
          <w:sz w:val="14"/>
          <w:szCs w:val="14"/>
          <w:color w:val="auto"/>
        </w:rPr>
        <w:t>. (a)</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General Prohibitions</w:t>
      </w:r>
      <w:r>
        <w:rPr>
          <w:rFonts w:ascii="Arial" w:cs="Arial" w:eastAsia="Arial" w:hAnsi="Arial"/>
          <w:sz w:val="14"/>
          <w:szCs w:val="14"/>
          <w:color w:val="auto"/>
        </w:rPr>
        <w:t>. Neither the Company nor any of its Subsidiaries shall, nor shall the Company or any of its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Subsidiaries authorize or permit any of its or their officers, directors, employees, investment bankers, attorneys, accountants, consultants or other agents or advisors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to, directly or indirectly, (i) solicit, initiate or take any action to knowingly facilitate or encourage the submission of any Company Acquisition Proposal,</w:t>
      </w:r>
    </w:p>
    <w:p>
      <w:pPr>
        <w:spacing w:after="0" w:line="30" w:lineRule="exact"/>
        <w:rPr>
          <w:sz w:val="20"/>
          <w:szCs w:val="20"/>
          <w:color w:val="auto"/>
        </w:rPr>
      </w:pPr>
    </w:p>
    <w:p>
      <w:pPr>
        <w:ind w:right="60" w:firstLine="8"/>
        <w:spacing w:after="0" w:line="301" w:lineRule="auto"/>
        <w:tabs>
          <w:tab w:leader="none" w:pos="239"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4"/>
          <w:szCs w:val="14"/>
          <w:b w:val="1"/>
          <w:bCs w:val="1"/>
          <w:color w:val="auto"/>
        </w:rPr>
        <w:t>interested stockholder</w:t>
      </w:r>
      <w:r>
        <w:rPr>
          <w:rFonts w:ascii="Arial" w:cs="Arial" w:eastAsia="Arial" w:hAnsi="Arial"/>
          <w:sz w:val="14"/>
          <w:szCs w:val="14"/>
          <w:color w:val="auto"/>
        </w:rPr>
        <w:t>” under, Section 203 of Delaware Law or (vii) 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w:t>
      </w:r>
    </w:p>
    <w:p>
      <w:pPr>
        <w:spacing w:after="0" w:line="9" w:lineRule="exact"/>
        <w:rPr>
          <w:rFonts w:ascii="Arial" w:cs="Arial" w:eastAsia="Arial" w:hAnsi="Arial"/>
          <w:sz w:val="14"/>
          <w:szCs w:val="14"/>
          <w:color w:val="auto"/>
        </w:rPr>
      </w:pPr>
    </w:p>
    <w:p>
      <w:pPr>
        <w:ind w:right="60"/>
        <w:spacing w:after="0" w:line="288" w:lineRule="auto"/>
        <w:rPr>
          <w:rFonts w:ascii="Arial" w:cs="Arial" w:eastAsia="Arial" w:hAnsi="Arial"/>
          <w:sz w:val="14"/>
          <w:szCs w:val="14"/>
          <w:color w:val="auto"/>
        </w:rPr>
      </w:pPr>
      <w:r>
        <w:rPr>
          <w:rFonts w:ascii="Arial" w:cs="Arial" w:eastAsia="Arial" w:hAnsi="Arial"/>
          <w:sz w:val="16"/>
          <w:szCs w:val="16"/>
          <w:color w:val="auto"/>
        </w:rPr>
        <w:t>Section 6.03(a). It is agreed that any violation of the restrictions on the Company set forth in this Section by any Representative of the Company or any of its Subsidiaries shall be a breach of this Section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firstLine="1720"/>
        <w:spacing w:after="0" w:line="293" w:lineRule="auto"/>
        <w:tabs>
          <w:tab w:leader="none" w:pos="2144"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Recommendation Exceptions</w:t>
      </w:r>
      <w:r>
        <w:rPr>
          <w:rFonts w:ascii="Arial" w:cs="Arial" w:eastAsia="Arial" w:hAnsi="Arial"/>
          <w:sz w:val="16"/>
          <w:szCs w:val="16"/>
          <w:color w:val="auto"/>
        </w:rPr>
        <w:t>. Notwithstanding Section 6.03(a), but subject to Section 6.03(c) and Section 6.03(d), at any time prior to the Company Stockholder Approval:</w:t>
      </w:r>
    </w:p>
    <w:p>
      <w:pPr>
        <w:spacing w:after="0" w:line="172" w:lineRule="exact"/>
        <w:rPr>
          <w:rFonts w:ascii="Arial" w:cs="Arial" w:eastAsia="Arial" w:hAnsi="Arial"/>
          <w:sz w:val="16"/>
          <w:szCs w:val="16"/>
          <w:color w:val="auto"/>
        </w:rPr>
      </w:pPr>
    </w:p>
    <w:p>
      <w:pPr>
        <w:ind w:left="1720" w:firstLine="679"/>
        <w:spacing w:after="0" w:line="285" w:lineRule="auto"/>
        <w:tabs>
          <w:tab w:leader="none" w:pos="2795" w:val="left"/>
        </w:tabs>
        <w:numPr>
          <w:ilvl w:val="1"/>
          <w:numId w:val="316"/>
        </w:numPr>
        <w:rPr>
          <w:rFonts w:ascii="Arial" w:cs="Arial" w:eastAsia="Arial" w:hAnsi="Arial"/>
          <w:sz w:val="15"/>
          <w:szCs w:val="15"/>
          <w:color w:val="auto"/>
        </w:rPr>
      </w:pPr>
      <w:r>
        <w:rPr>
          <w:rFonts w:ascii="Arial" w:cs="Arial" w:eastAsia="Arial" w:hAnsi="Arial"/>
          <w:sz w:val="15"/>
          <w:szCs w:val="15"/>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(it being understood and hereby agreed that such confidentiality agreement need not contain a “</w:t>
      </w:r>
      <w:r>
        <w:rPr>
          <w:rFonts w:ascii="Arial" w:cs="Arial" w:eastAsia="Arial" w:hAnsi="Arial"/>
          <w:sz w:val="15"/>
          <w:szCs w:val="15"/>
          <w:b w:val="1"/>
          <w:bCs w:val="1"/>
          <w:color w:val="auto"/>
        </w:rPr>
        <w:t>standstill</w:t>
      </w:r>
      <w:r>
        <w:rPr>
          <w:rFonts w:ascii="Arial" w:cs="Arial" w:eastAsia="Arial" w:hAnsi="Arial"/>
          <w:sz w:val="15"/>
          <w:szCs w:val="15"/>
          <w:color w:val="auto"/>
        </w:rPr>
        <w:t xml:space="preserve">” or similar provision that prohibits such Third Party from making any Company Acquisition Proposal, acquiring the Company or taking any other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86" w:lineRule="exact"/>
        <w:rPr>
          <w:rFonts w:ascii="Arial" w:cs="Arial" w:eastAsia="Arial" w:hAnsi="Arial"/>
          <w:sz w:val="15"/>
          <w:szCs w:val="15"/>
          <w:color w:val="auto"/>
        </w:rPr>
      </w:pPr>
    </w:p>
    <w:p>
      <w:pPr>
        <w:ind w:left="1720" w:right="520" w:firstLine="679"/>
        <w:spacing w:after="0" w:line="293" w:lineRule="auto"/>
        <w:tabs>
          <w:tab w:leader="none" w:pos="28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receipt of a Company Superior Proposal, the Board of Directors of the Company may, subject to compliance with Section 6.03(c), make a Company Adverse Recommendation Change; and</w:t>
      </w:r>
    </w:p>
    <w:p>
      <w:pPr>
        <w:spacing w:after="0" w:line="172" w:lineRule="exact"/>
        <w:rPr>
          <w:rFonts w:ascii="Arial" w:cs="Arial" w:eastAsia="Arial" w:hAnsi="Arial"/>
          <w:sz w:val="16"/>
          <w:szCs w:val="16"/>
          <w:color w:val="auto"/>
        </w:rPr>
      </w:pPr>
    </w:p>
    <w:p>
      <w:pPr>
        <w:ind w:left="1720" w:right="40" w:firstLine="679"/>
        <w:spacing w:after="0" w:line="293" w:lineRule="auto"/>
        <w:tabs>
          <w:tab w:leader="none" w:pos="2885"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5"/>
          <w:szCs w:val="15"/>
          <w:b w:val="1"/>
          <w:bCs w:val="1"/>
          <w:color w:val="auto"/>
        </w:rPr>
        <w:t>stop, look and listen</w:t>
      </w:r>
      <w:r>
        <w:rPr>
          <w:rFonts w:ascii="Arial" w:cs="Arial" w:eastAsia="Arial" w:hAnsi="Arial"/>
          <w:sz w:val="15"/>
          <w:szCs w:val="15"/>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83" w:lineRule="exact"/>
        <w:rPr>
          <w:sz w:val="20"/>
          <w:szCs w:val="20"/>
          <w:color w:val="auto"/>
        </w:rPr>
      </w:pPr>
    </w:p>
    <w:p>
      <w:pPr>
        <w:ind w:right="20" w:firstLine="1720"/>
        <w:spacing w:after="0" w:line="273" w:lineRule="auto"/>
        <w:tabs>
          <w:tab w:leader="none" w:pos="2135"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Required Notices</w:t>
      </w:r>
      <w:r>
        <w:rPr>
          <w:rFonts w:ascii="Arial" w:cs="Arial" w:eastAsia="Arial" w:hAnsi="Arial"/>
          <w:sz w:val="16"/>
          <w:szCs w:val="16"/>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380"/>
          </w:cols>
          <w:pgMar w:left="240" w:top="459" w:right="2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97" w:lineRule="exact"/>
        <w:rPr>
          <w:sz w:val="20"/>
          <w:szCs w:val="20"/>
          <w:color w:val="auto"/>
        </w:rPr>
      </w:pPr>
    </w:p>
    <w:p>
      <w:pPr>
        <w:ind w:firstLine="1720"/>
        <w:spacing w:after="0" w:line="306" w:lineRule="auto"/>
        <w:tabs>
          <w:tab w:leader="none" w:pos="2144"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Last Look</w:t>
      </w:r>
      <w:r>
        <w:rPr>
          <w:rFonts w:ascii="Arial" w:cs="Arial" w:eastAsia="Arial" w:hAnsi="Arial"/>
          <w:sz w:val="14"/>
          <w:szCs w:val="14"/>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69" w:lineRule="exact"/>
        <w:rPr>
          <w:rFonts w:ascii="Arial" w:cs="Arial" w:eastAsia="Arial" w:hAnsi="Arial"/>
          <w:sz w:val="14"/>
          <w:szCs w:val="14"/>
          <w:color w:val="auto"/>
        </w:rPr>
      </w:pPr>
    </w:p>
    <w:p>
      <w:pPr>
        <w:ind w:right="120" w:firstLine="1720"/>
        <w:spacing w:after="0" w:line="314" w:lineRule="auto"/>
        <w:tabs>
          <w:tab w:leader="none" w:pos="2135" w:val="left"/>
        </w:tabs>
        <w:numPr>
          <w:ilvl w:val="0"/>
          <w:numId w:val="318"/>
        </w:numPr>
        <w:rPr>
          <w:rFonts w:ascii="Arial" w:cs="Arial" w:eastAsia="Arial" w:hAnsi="Arial"/>
          <w:sz w:val="14"/>
          <w:szCs w:val="14"/>
          <w:color w:val="auto"/>
        </w:rPr>
      </w:pPr>
      <w:r>
        <w:rPr>
          <w:rFonts w:ascii="Arial" w:cs="Arial" w:eastAsia="Arial" w:hAnsi="Arial"/>
          <w:sz w:val="14"/>
          <w:szCs w:val="14"/>
          <w:color w:val="auto"/>
        </w:rPr>
        <w:t>Definition of Company Superior Proposal. For purposes of this Agreement, “</w:t>
      </w:r>
      <w:r>
        <w:rPr>
          <w:rFonts w:ascii="Arial" w:cs="Arial" w:eastAsia="Arial" w:hAnsi="Arial"/>
          <w:sz w:val="14"/>
          <w:szCs w:val="14"/>
          <w:b w:val="1"/>
          <w:bCs w:val="1"/>
          <w:color w:val="auto"/>
        </w:rPr>
        <w:t>Company Superior Proposal</w:t>
      </w:r>
      <w:r>
        <w:rPr>
          <w:rFonts w:ascii="Arial" w:cs="Arial" w:eastAsia="Arial" w:hAnsi="Arial"/>
          <w:sz w:val="14"/>
          <w:szCs w:val="14"/>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63" w:lineRule="exact"/>
        <w:rPr>
          <w:rFonts w:ascii="Arial" w:cs="Arial" w:eastAsia="Arial" w:hAnsi="Arial"/>
          <w:sz w:val="14"/>
          <w:szCs w:val="14"/>
          <w:color w:val="auto"/>
        </w:rPr>
      </w:pPr>
    </w:p>
    <w:p>
      <w:pPr>
        <w:ind w:firstLine="1720"/>
        <w:spacing w:after="0" w:line="291" w:lineRule="auto"/>
        <w:tabs>
          <w:tab w:leader="none" w:pos="211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3" w:lineRule="exact"/>
        <w:rPr>
          <w:sz w:val="20"/>
          <w:szCs w:val="20"/>
          <w:color w:val="auto"/>
        </w:rPr>
      </w:pPr>
    </w:p>
    <w:p>
      <w:pPr>
        <w:ind w:right="100" w:firstLine="799"/>
        <w:spacing w:after="0" w:line="289"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Tax Matters</w:t>
      </w:r>
      <w:r>
        <w:rPr>
          <w:rFonts w:ascii="Arial" w:cs="Arial" w:eastAsia="Arial" w:hAnsi="Arial"/>
          <w:sz w:val="15"/>
          <w:szCs w:val="15"/>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80" w:lineRule="exact"/>
        <w:rPr>
          <w:sz w:val="20"/>
          <w:szCs w:val="20"/>
          <w:color w:val="auto"/>
        </w:rPr>
      </w:pPr>
    </w:p>
    <w:p>
      <w:pPr>
        <w:ind w:right="60" w:firstLine="1720"/>
        <w:spacing w:after="0" w:line="293" w:lineRule="auto"/>
        <w:tabs>
          <w:tab w:leader="none" w:pos="214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72" w:lineRule="exact"/>
        <w:rPr>
          <w:rFonts w:ascii="Arial" w:cs="Arial" w:eastAsia="Arial" w:hAnsi="Arial"/>
          <w:sz w:val="16"/>
          <w:szCs w:val="16"/>
          <w:color w:val="auto"/>
        </w:rPr>
      </w:pPr>
    </w:p>
    <w:p>
      <w:pPr>
        <w:ind w:right="100" w:firstLine="1720"/>
        <w:spacing w:after="0" w:line="271" w:lineRule="auto"/>
        <w:tabs>
          <w:tab w:leader="none" w:pos="212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90"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Parent</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Parent agrees that:</w:t>
      </w:r>
    </w:p>
    <w:p>
      <w:pPr>
        <w:spacing w:after="0" w:line="235" w:lineRule="exact"/>
        <w:rPr>
          <w:sz w:val="20"/>
          <w:szCs w:val="20"/>
          <w:color w:val="auto"/>
        </w:rPr>
      </w:pPr>
    </w:p>
    <w:p>
      <w:pPr>
        <w:ind w:right="80" w:firstLine="799"/>
        <w:spacing w:after="0" w:line="315"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i w:val="1"/>
          <w:iCs w:val="1"/>
          <w:color w:val="auto"/>
        </w:rPr>
        <w:t>Conduct of Parent</w:t>
      </w:r>
      <w:r>
        <w:rPr>
          <w:rFonts w:ascii="Arial" w:cs="Arial" w:eastAsia="Arial" w:hAnsi="Arial"/>
          <w:sz w:val="14"/>
          <w:szCs w:val="14"/>
          <w:color w:val="auto"/>
        </w:rPr>
        <w:t xml:space="preserve"> .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64" w:lineRule="exact"/>
        <w:rPr>
          <w:sz w:val="20"/>
          <w:szCs w:val="20"/>
          <w:color w:val="auto"/>
        </w:rPr>
      </w:pPr>
    </w:p>
    <w:p>
      <w:pPr>
        <w:ind w:left="2140" w:hanging="420"/>
        <w:spacing w:after="0"/>
        <w:tabs>
          <w:tab w:leader="none" w:pos="214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amend the articles of incorporation or bylaws of Parent in a manner that would have a material and adverse impact on the value of Parent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w:t>
      </w:r>
    </w:p>
    <w:p>
      <w:pPr>
        <w:spacing w:after="0" w:line="231" w:lineRule="exact"/>
        <w:rPr>
          <w:sz w:val="20"/>
          <w:szCs w:val="20"/>
          <w:color w:val="auto"/>
        </w:rPr>
      </w:pPr>
    </w:p>
    <w:p>
      <w:pPr>
        <w:ind w:firstLine="1720"/>
        <w:spacing w:after="0" w:line="305" w:lineRule="auto"/>
        <w:tabs>
          <w:tab w:leader="none" w:pos="2144" w:val="left"/>
        </w:tabs>
        <w:numPr>
          <w:ilvl w:val="0"/>
          <w:numId w:val="321"/>
        </w:numPr>
        <w:rPr>
          <w:rFonts w:ascii="Arial" w:cs="Arial" w:eastAsia="Arial" w:hAnsi="Arial"/>
          <w:sz w:val="15"/>
          <w:szCs w:val="15"/>
          <w:color w:val="auto"/>
        </w:rPr>
      </w:pPr>
      <w:r>
        <w:rPr>
          <w:rFonts w:ascii="Arial" w:cs="Arial" w:eastAsia="Arial" w:hAnsi="Arial"/>
          <w:sz w:val="15"/>
          <w:szCs w:val="15"/>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89" w:lineRule="exact"/>
        <w:rPr>
          <w:sz w:val="20"/>
          <w:szCs w:val="20"/>
          <w:color w:val="auto"/>
        </w:rPr>
      </w:pPr>
    </w:p>
    <w:p>
      <w:pPr>
        <w:ind w:right="740" w:firstLine="1720"/>
        <w:spacing w:after="0" w:line="293" w:lineRule="auto"/>
        <w:tabs>
          <w:tab w:leader="none" w:pos="213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restructuring, recapitalization or reorganization;</w:t>
      </w:r>
    </w:p>
    <w:p>
      <w:pPr>
        <w:spacing w:after="0" w:line="172" w:lineRule="exact"/>
        <w:rPr>
          <w:rFonts w:ascii="Arial" w:cs="Arial" w:eastAsia="Arial" w:hAnsi="Arial"/>
          <w:sz w:val="16"/>
          <w:szCs w:val="16"/>
          <w:color w:val="auto"/>
        </w:rPr>
      </w:pPr>
    </w:p>
    <w:p>
      <w:pPr>
        <w:ind w:right="240" w:firstLine="1720"/>
        <w:spacing w:after="0" w:line="293" w:lineRule="auto"/>
        <w:tabs>
          <w:tab w:leader="none" w:pos="2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72" w:lineRule="exact"/>
        <w:rPr>
          <w:rFonts w:ascii="Arial" w:cs="Arial" w:eastAsia="Arial" w:hAnsi="Arial"/>
          <w:sz w:val="16"/>
          <w:szCs w:val="16"/>
          <w:color w:val="auto"/>
        </w:rPr>
      </w:pPr>
    </w:p>
    <w:p>
      <w:pPr>
        <w:ind w:left="2140" w:hanging="420"/>
        <w:spacing w:after="0"/>
        <w:tabs>
          <w:tab w:leader="none" w:pos="21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35"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Obligations of Merger Subsidiary</w:t>
      </w:r>
      <w:r>
        <w:rPr>
          <w:rFonts w:ascii="Arial" w:cs="Arial" w:eastAsia="Arial" w:hAnsi="Arial"/>
          <w:sz w:val="16"/>
          <w:szCs w:val="16"/>
          <w:color w:val="auto"/>
        </w:rPr>
        <w:t>. Parent shall take all action necessary to cause Merger Subsidiary to perform its obligations under this Agreement and to consummate the Merger on the terms and conditions set forth in this Agreement.</w:t>
      </w:r>
    </w:p>
    <w:p>
      <w:pPr>
        <w:spacing w:after="0" w:line="168" w:lineRule="exact"/>
        <w:rPr>
          <w:sz w:val="20"/>
          <w:szCs w:val="20"/>
          <w:color w:val="auto"/>
        </w:rPr>
      </w:pPr>
    </w:p>
    <w:p>
      <w:pPr>
        <w:ind w:right="80" w:firstLine="799"/>
        <w:spacing w:after="0" w:line="304"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i w:val="1"/>
          <w:iCs w:val="1"/>
          <w:color w:val="auto"/>
        </w:rPr>
        <w:t>Parent Shareholder Meeting</w:t>
      </w:r>
      <w:r>
        <w:rPr>
          <w:rFonts w:ascii="Arial" w:cs="Arial" w:eastAsia="Arial" w:hAnsi="Arial"/>
          <w:sz w:val="14"/>
          <w:szCs w:val="14"/>
          <w:color w:val="auto"/>
        </w:rPr>
        <w:t>. Parent shall cause a meeting of its shareholders (the “</w:t>
      </w:r>
      <w:r>
        <w:rPr>
          <w:rFonts w:ascii="Arial" w:cs="Arial" w:eastAsia="Arial" w:hAnsi="Arial"/>
          <w:sz w:val="14"/>
          <w:szCs w:val="14"/>
          <w:b w:val="1"/>
          <w:bCs w:val="1"/>
          <w:color w:val="auto"/>
        </w:rPr>
        <w:t>Parent Shareholder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4"/>
          <w:szCs w:val="14"/>
          <w:b w:val="1"/>
          <w:bCs w:val="1"/>
          <w:color w:val="auto"/>
        </w:rPr>
        <w:t>Parent Stock Issuance</w:t>
      </w:r>
      <w:r>
        <w:rPr>
          <w:rFonts w:ascii="Arial" w:cs="Arial" w:eastAsia="Arial" w:hAnsi="Arial"/>
          <w:sz w:val="14"/>
          <w:szCs w:val="14"/>
          <w:color w:val="auto"/>
        </w:rPr>
        <w:t>”). In connection with the Parent Shareholder Meeting, the Board of Directors of Parent shall (i) (1) recommend approval of the Parent Stock Issuance to Parent’s shareholders and</w:t>
      </w:r>
    </w:p>
    <w:p>
      <w:pPr>
        <w:spacing w:after="0" w:line="2" w:lineRule="exact"/>
        <w:rPr>
          <w:sz w:val="20"/>
          <w:szCs w:val="20"/>
          <w:color w:val="auto"/>
        </w:rPr>
      </w:pPr>
    </w:p>
    <w:p>
      <w:pPr>
        <w:ind w:right="20" w:firstLine="8"/>
        <w:spacing w:after="0" w:line="284" w:lineRule="auto"/>
        <w:tabs>
          <w:tab w:leader="none" w:pos="23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Certain Prohibitions</w:t>
      </w:r>
      <w:r>
        <w:rPr>
          <w:rFonts w:ascii="Arial" w:cs="Arial" w:eastAsia="Arial" w:hAnsi="Arial"/>
          <w:sz w:val="16"/>
          <w:szCs w:val="16"/>
          <w:color w:val="auto"/>
        </w:rPr>
        <w:t>. From the date hereof until May 23, 2014, neither Parent nor any of its Subsidiaries shall enter into any agreements (written or oral) providing for the divestiture of in excess of 25,000 subscribers in the aggregate.</w:t>
      </w:r>
    </w:p>
    <w:p>
      <w:pPr>
        <w:spacing w:after="0" w:line="172" w:lineRule="exact"/>
        <w:rPr>
          <w:sz w:val="20"/>
          <w:szCs w:val="20"/>
          <w:color w:val="auto"/>
        </w:rPr>
      </w:pPr>
    </w:p>
    <w:p>
      <w:pPr>
        <w:ind w:right="360" w:firstLine="799"/>
        <w:spacing w:after="0" w:line="329"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Approval by Sole Stockholder of Merger Subsidiary</w:t>
      </w:r>
      <w:r>
        <w:rPr>
          <w:rFonts w:ascii="Arial" w:cs="Arial" w:eastAsia="Arial" w:hAnsi="Arial"/>
          <w:sz w:val="15"/>
          <w:szCs w:val="15"/>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48"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Voting of Shares</w:t>
      </w:r>
      <w:r>
        <w:rPr>
          <w:rFonts w:ascii="Arial" w:cs="Arial" w:eastAsia="Arial" w:hAnsi="Arial"/>
          <w:sz w:val="16"/>
          <w:szCs w:val="16"/>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i w:val="1"/>
          <w:iCs w:val="1"/>
          <w:color w:val="auto"/>
        </w:rPr>
        <w:t>Director and Officer Indemnification</w:t>
      </w:r>
      <w:r>
        <w:rPr>
          <w:rFonts w:ascii="Arial" w:cs="Arial" w:eastAsia="Arial" w:hAnsi="Arial"/>
          <w:sz w:val="15"/>
          <w:szCs w:val="15"/>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5"/>
          <w:szCs w:val="15"/>
          <w:b w:val="1"/>
          <w:bCs w:val="1"/>
          <w:color w:val="auto"/>
        </w:rPr>
        <w:t>Indemnified Person</w:t>
      </w:r>
      <w:r>
        <w:rPr>
          <w:rFonts w:ascii="Arial" w:cs="Arial" w:eastAsia="Arial" w:hAnsi="Arial"/>
          <w:sz w:val="15"/>
          <w:szCs w:val="15"/>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83" w:lineRule="exact"/>
        <w:rPr>
          <w:sz w:val="20"/>
          <w:szCs w:val="20"/>
          <w:color w:val="auto"/>
        </w:rPr>
      </w:pPr>
    </w:p>
    <w:p>
      <w:pPr>
        <w:ind w:right="20" w:firstLine="1720"/>
        <w:spacing w:after="0" w:line="318" w:lineRule="auto"/>
        <w:tabs>
          <w:tab w:leader="none" w:pos="2144" w:val="left"/>
        </w:tabs>
        <w:numPr>
          <w:ilvl w:val="0"/>
          <w:numId w:val="324"/>
        </w:numPr>
        <w:rPr>
          <w:rFonts w:ascii="Arial" w:cs="Arial" w:eastAsia="Arial" w:hAnsi="Arial"/>
          <w:sz w:val="14"/>
          <w:szCs w:val="14"/>
          <w:color w:val="auto"/>
        </w:rPr>
      </w:pPr>
      <w:r>
        <w:rPr>
          <w:rFonts w:ascii="Arial" w:cs="Arial" w:eastAsia="Arial" w:hAnsi="Arial"/>
          <w:sz w:val="14"/>
          <w:szCs w:val="14"/>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62" w:lineRule="exact"/>
        <w:rPr>
          <w:rFonts w:ascii="Arial" w:cs="Arial" w:eastAsia="Arial" w:hAnsi="Arial"/>
          <w:sz w:val="14"/>
          <w:szCs w:val="14"/>
          <w:color w:val="auto"/>
        </w:rPr>
      </w:pPr>
    </w:p>
    <w:p>
      <w:pPr>
        <w:ind w:firstLine="1720"/>
        <w:spacing w:after="0" w:line="307" w:lineRule="auto"/>
        <w:tabs>
          <w:tab w:leader="none" w:pos="2135" w:val="left"/>
        </w:tabs>
        <w:numPr>
          <w:ilvl w:val="0"/>
          <w:numId w:val="324"/>
        </w:numPr>
        <w:rPr>
          <w:rFonts w:ascii="Arial" w:cs="Arial" w:eastAsia="Arial" w:hAnsi="Arial"/>
          <w:sz w:val="14"/>
          <w:szCs w:val="14"/>
          <w:color w:val="auto"/>
        </w:rPr>
      </w:pPr>
      <w:r>
        <w:rPr>
          <w:rFonts w:ascii="Arial" w:cs="Arial" w:eastAsia="Arial" w:hAnsi="Arial"/>
          <w:sz w:val="14"/>
          <w:szCs w:val="14"/>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4"/>
          <w:szCs w:val="14"/>
          <w:b w:val="1"/>
          <w:bCs w:val="1"/>
          <w:color w:val="auto"/>
        </w:rPr>
        <w:t>D&amp;O Insurance</w:t>
      </w:r>
      <w:r>
        <w:rPr>
          <w:rFonts w:ascii="Arial" w:cs="Arial" w:eastAsia="Arial" w:hAnsi="Arial"/>
          <w:sz w:val="14"/>
          <w:szCs w:val="14"/>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72" w:lineRule="exact"/>
        <w:rPr>
          <w:rFonts w:ascii="Arial" w:cs="Arial" w:eastAsia="Arial" w:hAnsi="Arial"/>
          <w:sz w:val="14"/>
          <w:szCs w:val="14"/>
          <w:color w:val="auto"/>
        </w:rPr>
      </w:pPr>
    </w:p>
    <w:p>
      <w:pPr>
        <w:ind w:right="140" w:firstLine="1720"/>
        <w:spacing w:after="0" w:line="273" w:lineRule="auto"/>
        <w:tabs>
          <w:tab w:leader="none" w:pos="214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89" w:lineRule="exact"/>
        <w:rPr>
          <w:rFonts w:ascii="Arial" w:cs="Arial" w:eastAsia="Arial" w:hAnsi="Arial"/>
          <w:sz w:val="16"/>
          <w:szCs w:val="16"/>
          <w:color w:val="auto"/>
        </w:rPr>
      </w:pPr>
    </w:p>
    <w:p>
      <w:pPr>
        <w:ind w:right="60" w:firstLine="1720"/>
        <w:spacing w:after="0" w:line="273" w:lineRule="auto"/>
        <w:tabs>
          <w:tab w:leader="none" w:pos="213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Stock Exchange Listing</w:t>
      </w:r>
      <w:r>
        <w:rPr>
          <w:rFonts w:ascii="Arial" w:cs="Arial" w:eastAsia="Arial" w:hAnsi="Arial"/>
          <w:sz w:val="16"/>
          <w:szCs w:val="16"/>
          <w:color w:val="auto"/>
        </w:rPr>
        <w:t>. Parent shall use its reasonable best efforts to cause the shares of Parent Class A Common Stock to be issued as part of the Merger Consideration to be listed on NASDAQ, subject to official notice of issuance.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Employee Matters</w:t>
      </w:r>
      <w:r>
        <w:rPr>
          <w:rFonts w:ascii="Arial" w:cs="Arial" w:eastAsia="Arial" w:hAnsi="Arial"/>
          <w:sz w:val="16"/>
          <w:szCs w:val="16"/>
          <w:color w:val="auto"/>
        </w:rPr>
        <w:t>. (a) During the period beginning at the Effective Time and ending on the first anniversary of the Effective Time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Continuation Period</w:t>
      </w:r>
      <w:r>
        <w:rPr>
          <w:rFonts w:ascii="Arial" w:cs="Arial" w:eastAsia="Arial" w:hAnsi="Arial"/>
          <w:sz w:val="14"/>
          <w:szCs w:val="14"/>
          <w:color w:val="auto"/>
        </w:rPr>
        <w:t>”), Parent shall provide, or shall cause to be provided, to each employee of the Company and its Subsidiaries who continues to be employed by Parent or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its Subsidiaries (including, for the avoidance of doubt the Surviving Corporation and its Subsidiaries) immediately following the Effective Time (each, a “</w:t>
      </w:r>
      <w:r>
        <w:rPr>
          <w:rFonts w:ascii="Arial" w:cs="Arial" w:eastAsia="Arial" w:hAnsi="Arial"/>
          <w:sz w:val="15"/>
          <w:szCs w:val="15"/>
          <w:b w:val="1"/>
          <w:bCs w:val="1"/>
          <w:color w:val="auto"/>
        </w:rPr>
        <w:t>Continuing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w:t>
      </w:r>
      <w:r>
        <w:rPr>
          <w:rFonts w:ascii="Arial" w:cs="Arial" w:eastAsia="Arial" w:hAnsi="Arial"/>
          <w:sz w:val="15"/>
          <w:szCs w:val="15"/>
          <w:color w:val="auto"/>
        </w:rPr>
        <w:t>”), other than any Continuing Employee included in a collective bargaining unit covered by the Collective Bargaining Agreements as in effect on the Closing Date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(each, a “</w:t>
      </w:r>
      <w:r>
        <w:rPr>
          <w:rFonts w:ascii="Arial" w:cs="Arial" w:eastAsia="Arial" w:hAnsi="Arial"/>
          <w:sz w:val="14"/>
          <w:szCs w:val="14"/>
          <w:b w:val="1"/>
          <w:bCs w:val="1"/>
          <w:color w:val="auto"/>
        </w:rPr>
        <w:t>Union Employee</w:t>
      </w:r>
      <w:r>
        <w:rPr>
          <w:rFonts w:ascii="Arial" w:cs="Arial" w:eastAsia="Arial" w:hAnsi="Arial"/>
          <w:sz w:val="14"/>
          <w:szCs w:val="14"/>
          <w:color w:val="auto"/>
        </w:rPr>
        <w:t>”), with, to the extent employed by Parent or its Subsidiaries, (i) base pay, commission opportunities and cash bonus opportunities, as applicable,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that are no less favorable in the aggregate than provided to each such Continuing Employee immediately prior to the Closing Date and (ii) employee benefits that are no less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favorable in the aggregate than provided to each such Continuing Employee immediately prior to the Closing Date; </w:t>
      </w:r>
      <w:r>
        <w:rPr>
          <w:rFonts w:ascii="Arial" w:cs="Arial" w:eastAsia="Arial" w:hAnsi="Arial"/>
          <w:sz w:val="15"/>
          <w:szCs w:val="15"/>
          <w:i w:val="1"/>
          <w:iCs w:val="1"/>
          <w:color w:val="auto"/>
        </w:rPr>
        <w:t>provided</w:t>
      </w:r>
      <w:r>
        <w:rPr>
          <w:rFonts w:ascii="Arial" w:cs="Arial" w:eastAsia="Arial" w:hAnsi="Arial"/>
          <w:sz w:val="15"/>
          <w:szCs w:val="15"/>
          <w:color w:val="auto"/>
        </w:rPr>
        <w:t>, that, for purposes of determining whether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pay, opportunities and benefits are no less favorable in the aggregate, equity compensation, defined benefit pension plan benefits, severance, retention (including, for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avoidance of doubt, any supplemental cash bonus opportunity set forth on Section 6.01(m) of the Company Disclosure Schedule), sale, stay, or change in control payments or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awards or any similar compensation or benefit, shall not be taken into account. With respect to Union Employee, Parent shall retain, or shall cause to be retained, any and all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rights and obligations it may have pursuant to Applicable Law.</w:t>
      </w:r>
    </w:p>
    <w:p>
      <w:pPr>
        <w:spacing w:after="0" w:line="231" w:lineRule="exact"/>
        <w:rPr>
          <w:sz w:val="20"/>
          <w:szCs w:val="20"/>
          <w:color w:val="auto"/>
        </w:rPr>
      </w:pPr>
    </w:p>
    <w:p>
      <w:pPr>
        <w:ind w:right="120" w:firstLine="1720"/>
        <w:spacing w:after="0" w:line="271"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86" w:lineRule="exact"/>
        <w:rPr>
          <w:rFonts w:ascii="Arial" w:cs="Arial" w:eastAsia="Arial" w:hAnsi="Arial"/>
          <w:sz w:val="16"/>
          <w:szCs w:val="16"/>
          <w:color w:val="auto"/>
        </w:rPr>
      </w:pPr>
    </w:p>
    <w:p>
      <w:pPr>
        <w:ind w:right="40" w:firstLine="1720"/>
        <w:spacing w:after="0" w:line="267" w:lineRule="auto"/>
        <w:tabs>
          <w:tab w:leader="none" w:pos="213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xml:space="preserve">”), then, for purposes of 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94" w:lineRule="exact"/>
        <w:rPr>
          <w:rFonts w:ascii="Arial" w:cs="Arial" w:eastAsia="Arial" w:hAnsi="Arial"/>
          <w:sz w:val="16"/>
          <w:szCs w:val="16"/>
          <w:color w:val="auto"/>
        </w:rPr>
      </w:pPr>
    </w:p>
    <w:p>
      <w:pPr>
        <w:ind w:right="640" w:firstLine="1720"/>
        <w:spacing w:after="0" w:line="293"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For the avoidance of doubt and to the extent required by any Company Plan or Applicable Law, Parent shall, or shall cause one of its Subsidiaries to, expressly assume such Company Plan and all obligations thereunder.</w:t>
      </w:r>
    </w:p>
    <w:p>
      <w:pPr>
        <w:spacing w:after="0" w:line="172" w:lineRule="exact"/>
        <w:rPr>
          <w:rFonts w:ascii="Arial" w:cs="Arial" w:eastAsia="Arial" w:hAnsi="Arial"/>
          <w:sz w:val="16"/>
          <w:szCs w:val="16"/>
          <w:color w:val="auto"/>
        </w:rPr>
      </w:pPr>
    </w:p>
    <w:p>
      <w:pPr>
        <w:ind w:right="40" w:firstLine="1720"/>
        <w:spacing w:after="0" w:line="271" w:lineRule="auto"/>
        <w:tabs>
          <w:tab w:leader="none" w:pos="213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1720"/>
        <w:spacing w:after="0" w:line="270" w:lineRule="auto"/>
        <w:tabs>
          <w:tab w:leader="none" w:pos="211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Parent and the Company</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parties hereto agree that:</w:t>
      </w:r>
    </w:p>
    <w:p>
      <w:pPr>
        <w:spacing w:after="0" w:line="235"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Reasonable Best Efforts</w:t>
      </w:r>
      <w:r>
        <w:rPr>
          <w:rFonts w:ascii="Arial" w:cs="Arial" w:eastAsia="Arial" w:hAnsi="Arial"/>
          <w:sz w:val="15"/>
          <w:szCs w:val="15"/>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81" w:lineRule="exact"/>
        <w:rPr>
          <w:sz w:val="20"/>
          <w:szCs w:val="20"/>
          <w:color w:val="auto"/>
        </w:rPr>
      </w:pPr>
    </w:p>
    <w:p>
      <w:pPr>
        <w:ind w:firstLine="1720"/>
        <w:spacing w:after="0" w:line="26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93" w:lineRule="exact"/>
        <w:rPr>
          <w:rFonts w:ascii="Arial" w:cs="Arial" w:eastAsia="Arial" w:hAnsi="Arial"/>
          <w:sz w:val="16"/>
          <w:szCs w:val="16"/>
          <w:color w:val="auto"/>
        </w:rPr>
      </w:pPr>
    </w:p>
    <w:p>
      <w:pPr>
        <w:ind w:firstLine="1720"/>
        <w:spacing w:after="0" w:line="287" w:lineRule="auto"/>
        <w:tabs>
          <w:tab w:leader="none" w:pos="2135" w:val="left"/>
        </w:tabs>
        <w:numPr>
          <w:ilvl w:val="0"/>
          <w:numId w:val="327"/>
        </w:numPr>
        <w:rPr>
          <w:rFonts w:ascii="Arial" w:cs="Arial" w:eastAsia="Arial" w:hAnsi="Arial"/>
          <w:sz w:val="15"/>
          <w:szCs w:val="15"/>
          <w:color w:val="auto"/>
        </w:rPr>
      </w:pPr>
      <w:r>
        <w:rPr>
          <w:rFonts w:ascii="Arial" w:cs="Arial" w:eastAsia="Arial" w:hAnsi="Arial"/>
          <w:sz w:val="15"/>
          <w:szCs w:val="15"/>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79" w:lineRule="exact"/>
        <w:rPr>
          <w:rFonts w:ascii="Arial" w:cs="Arial" w:eastAsia="Arial" w:hAnsi="Arial"/>
          <w:sz w:val="15"/>
          <w:szCs w:val="15"/>
          <w:color w:val="auto"/>
        </w:rPr>
      </w:pPr>
    </w:p>
    <w:p>
      <w:pPr>
        <w:ind w:right="320" w:firstLine="1720"/>
        <w:spacing w:after="0" w:line="27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actions referred to in Section 8.01(a)) without the other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subject to Section 8.01(c), either party may participate in or attend any such non-substantive meeting),</w:t>
      </w:r>
    </w:p>
    <w:p>
      <w:pPr>
        <w:spacing w:after="0" w:line="45" w:lineRule="exact"/>
        <w:rPr>
          <w:sz w:val="20"/>
          <w:szCs w:val="20"/>
          <w:color w:val="auto"/>
        </w:rPr>
      </w:pPr>
    </w:p>
    <w:p>
      <w:pPr>
        <w:ind w:right="40" w:firstLine="8"/>
        <w:spacing w:after="0" w:line="272" w:lineRule="auto"/>
        <w:tabs>
          <w:tab w:leader="none" w:pos="239"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84" w:lineRule="exact"/>
        <w:rPr>
          <w:rFonts w:ascii="Arial" w:cs="Arial" w:eastAsia="Arial" w:hAnsi="Arial"/>
          <w:sz w:val="16"/>
          <w:szCs w:val="16"/>
          <w:color w:val="auto"/>
        </w:rPr>
      </w:pPr>
    </w:p>
    <w:p>
      <w:pPr>
        <w:ind w:firstLine="1720"/>
        <w:spacing w:after="0" w:line="305" w:lineRule="auto"/>
        <w:tabs>
          <w:tab w:leader="none" w:pos="2135" w:val="left"/>
        </w:tabs>
        <w:numPr>
          <w:ilvl w:val="1"/>
          <w:numId w:val="328"/>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the parties hereto understand and agree that “</w:t>
      </w:r>
      <w:r>
        <w:rPr>
          <w:rFonts w:ascii="Arial" w:cs="Arial" w:eastAsia="Arial" w:hAnsi="Arial"/>
          <w:sz w:val="14"/>
          <w:szCs w:val="14"/>
          <w:b w:val="1"/>
          <w:bCs w:val="1"/>
          <w:color w:val="auto"/>
        </w:rPr>
        <w:t>reasonable best efforts</w:t>
      </w:r>
      <w:r>
        <w:rPr>
          <w:rFonts w:ascii="Arial" w:cs="Arial" w:eastAsia="Arial" w:hAnsi="Arial"/>
          <w:sz w:val="14"/>
          <w:szCs w:val="14"/>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4"/>
          <w:szCs w:val="14"/>
          <w:b w:val="1"/>
          <w:bCs w:val="1"/>
          <w:color w:val="auto"/>
        </w:rPr>
        <w:t>Undertakings</w:t>
      </w:r>
      <w:r>
        <w:rPr>
          <w:rFonts w:ascii="Arial" w:cs="Arial" w:eastAsia="Arial" w:hAnsi="Arial"/>
          <w:sz w:val="14"/>
          <w:szCs w:val="14"/>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4"/>
          <w:szCs w:val="14"/>
          <w:b w:val="1"/>
          <w:bCs w:val="1"/>
          <w:color w:val="auto"/>
        </w:rPr>
        <w:t>Burdensome Condition</w:t>
      </w:r>
      <w:r>
        <w:rPr>
          <w:rFonts w:ascii="Arial" w:cs="Arial" w:eastAsia="Arial" w:hAnsi="Arial"/>
          <w:sz w:val="14"/>
          <w:szCs w:val="14"/>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w:t>
      </w:r>
    </w:p>
    <w:p>
      <w:pPr>
        <w:spacing w:after="0" w:line="1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8.01(e) that is not conditioned upon the consummation of the Merger.</w:t>
      </w:r>
    </w:p>
    <w:p>
      <w:pPr>
        <w:spacing w:after="0" w:line="230" w:lineRule="exact"/>
        <w:rPr>
          <w:rFonts w:ascii="Arial" w:cs="Arial" w:eastAsia="Arial" w:hAnsi="Arial"/>
          <w:sz w:val="14"/>
          <w:szCs w:val="14"/>
          <w:color w:val="auto"/>
        </w:rPr>
      </w:pPr>
    </w:p>
    <w:p>
      <w:pPr>
        <w:ind w:firstLine="1720"/>
        <w:spacing w:after="0" w:line="286" w:lineRule="auto"/>
        <w:tabs>
          <w:tab w:leader="none" w:pos="2117" w:val="left"/>
        </w:tabs>
        <w:numPr>
          <w:ilvl w:val="1"/>
          <w:numId w:val="328"/>
        </w:numPr>
        <w:rPr>
          <w:rFonts w:ascii="Arial" w:cs="Arial" w:eastAsia="Arial" w:hAnsi="Arial"/>
          <w:sz w:val="15"/>
          <w:szCs w:val="15"/>
          <w:color w:val="auto"/>
        </w:rPr>
      </w:pPr>
      <w:r>
        <w:rPr>
          <w:rFonts w:ascii="Arial" w:cs="Arial" w:eastAsia="Arial" w:hAnsi="Arial"/>
          <w:sz w:val="15"/>
          <w:szCs w:val="15"/>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89" w:lineRule="auto"/>
        <w:tabs>
          <w:tab w:leader="none" w:pos="2144" w:val="left"/>
        </w:tabs>
        <w:numPr>
          <w:ilvl w:val="1"/>
          <w:numId w:val="329"/>
        </w:numPr>
        <w:rPr>
          <w:rFonts w:ascii="Arial" w:cs="Arial" w:eastAsia="Arial" w:hAnsi="Arial"/>
          <w:sz w:val="15"/>
          <w:szCs w:val="15"/>
          <w:color w:val="auto"/>
        </w:rPr>
      </w:pPr>
      <w:r>
        <w:rPr>
          <w:rFonts w:ascii="Arial" w:cs="Arial" w:eastAsia="Arial" w:hAnsi="Arial"/>
          <w:sz w:val="15"/>
          <w:szCs w:val="15"/>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80" w:lineRule="exact"/>
        <w:rPr>
          <w:rFonts w:ascii="Arial" w:cs="Arial" w:eastAsia="Arial" w:hAnsi="Arial"/>
          <w:sz w:val="15"/>
          <w:szCs w:val="15"/>
          <w:color w:val="auto"/>
        </w:rPr>
      </w:pPr>
    </w:p>
    <w:p>
      <w:pPr>
        <w:ind w:firstLine="1720"/>
        <w:spacing w:after="0" w:line="303" w:lineRule="auto"/>
        <w:tabs>
          <w:tab w:leader="none" w:pos="2144" w:val="left"/>
        </w:tabs>
        <w:numPr>
          <w:ilvl w:val="1"/>
          <w:numId w:val="329"/>
        </w:numPr>
        <w:rPr>
          <w:rFonts w:ascii="Arial" w:cs="Arial" w:eastAsia="Arial" w:hAnsi="Arial"/>
          <w:sz w:val="14"/>
          <w:szCs w:val="14"/>
          <w:color w:val="auto"/>
        </w:rPr>
      </w:pPr>
      <w:r>
        <w:rPr>
          <w:rFonts w:ascii="Arial" w:cs="Arial" w:eastAsia="Arial" w:hAnsi="Arial"/>
          <w:sz w:val="14"/>
          <w:szCs w:val="14"/>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4"/>
          <w:szCs w:val="14"/>
          <w:b w:val="1"/>
          <w:bCs w:val="1"/>
          <w:color w:val="auto"/>
        </w:rPr>
        <w:t>Outside Counsel Only Material.</w:t>
      </w:r>
      <w:r>
        <w:rPr>
          <w:rFonts w:ascii="Arial" w:cs="Arial" w:eastAsia="Arial" w:hAnsi="Arial"/>
          <w:sz w:val="14"/>
          <w:szCs w:val="14"/>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w:t>
      </w:r>
    </w:p>
    <w:p>
      <w:pPr>
        <w:ind w:right="260" w:firstLine="8"/>
        <w:spacing w:after="0" w:line="288" w:lineRule="auto"/>
        <w:tabs>
          <w:tab w:leader="none" w:pos="19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remove references concerning valuation, (ii) as necessary to comply with contractual arrangements and (iii) as necessary to address reasonable attorney-client or other privilege or confidentiality concerns.</w:t>
      </w:r>
    </w:p>
    <w:p>
      <w:pPr>
        <w:spacing w:after="0" w:line="176"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Joint Proxy Statement/Prospectus; Registration Statement</w:t>
      </w:r>
      <w:r>
        <w:rPr>
          <w:rFonts w:ascii="Arial" w:cs="Arial" w:eastAsia="Arial" w:hAnsi="Arial"/>
          <w:sz w:val="15"/>
          <w:szCs w:val="15"/>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83" w:lineRule="exact"/>
        <w:rPr>
          <w:sz w:val="20"/>
          <w:szCs w:val="20"/>
          <w:color w:val="auto"/>
        </w:rPr>
      </w:pPr>
    </w:p>
    <w:p>
      <w:pPr>
        <w:ind w:right="80" w:firstLine="1720"/>
        <w:spacing w:after="0" w:line="293" w:lineRule="auto"/>
        <w:tabs>
          <w:tab w:leader="none" w:pos="214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6"/>
          <w:szCs w:val="16"/>
          <w:b w:val="1"/>
          <w:bCs w:val="1"/>
          <w:color w:val="auto"/>
        </w:rPr>
        <w:t>blue sky</w:t>
      </w:r>
      <w:r>
        <w:rPr>
          <w:rFonts w:ascii="Arial" w:cs="Arial" w:eastAsia="Arial" w:hAnsi="Arial"/>
          <w:sz w:val="16"/>
          <w:szCs w:val="16"/>
          <w:color w:val="auto"/>
        </w:rPr>
        <w:t>” laws and the rules and regulations thereunder.</w:t>
      </w:r>
    </w:p>
    <w:p>
      <w:pPr>
        <w:spacing w:after="0" w:line="172" w:lineRule="exact"/>
        <w:rPr>
          <w:rFonts w:ascii="Arial" w:cs="Arial" w:eastAsia="Arial" w:hAnsi="Arial"/>
          <w:sz w:val="16"/>
          <w:szCs w:val="16"/>
          <w:color w:val="auto"/>
        </w:rPr>
      </w:pPr>
    </w:p>
    <w:p>
      <w:pPr>
        <w:ind w:right="420" w:firstLine="1720"/>
        <w:spacing w:after="0" w:line="273" w:lineRule="auto"/>
        <w:tabs>
          <w:tab w:leader="none" w:pos="213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89" w:lineRule="exact"/>
        <w:rPr>
          <w:rFonts w:ascii="Arial" w:cs="Arial" w:eastAsia="Arial" w:hAnsi="Arial"/>
          <w:sz w:val="16"/>
          <w:szCs w:val="16"/>
          <w:color w:val="auto"/>
        </w:rPr>
      </w:pPr>
    </w:p>
    <w:p>
      <w:pPr>
        <w:ind w:right="80" w:firstLine="1720"/>
        <w:spacing w:after="0" w:line="289" w:lineRule="auto"/>
        <w:tabs>
          <w:tab w:leader="none" w:pos="214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80"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Public Announcements</w:t>
      </w:r>
      <w:r>
        <w:rPr>
          <w:rFonts w:ascii="Arial" w:cs="Arial" w:eastAsia="Arial" w:hAnsi="Arial"/>
          <w:sz w:val="15"/>
          <w:szCs w:val="15"/>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83" w:lineRule="exact"/>
        <w:rPr>
          <w:sz w:val="20"/>
          <w:szCs w:val="20"/>
          <w:color w:val="auto"/>
        </w:rPr>
      </w:pPr>
    </w:p>
    <w:p>
      <w:pPr>
        <w:ind w:firstLine="1720"/>
        <w:spacing w:after="0" w:line="285" w:lineRule="auto"/>
        <w:tabs>
          <w:tab w:leader="none" w:pos="2144" w:val="left"/>
        </w:tabs>
        <w:numPr>
          <w:ilvl w:val="0"/>
          <w:numId w:val="332"/>
        </w:numPr>
        <w:rPr>
          <w:rFonts w:ascii="Arial" w:cs="Arial" w:eastAsia="Arial" w:hAnsi="Arial"/>
          <w:sz w:val="15"/>
          <w:szCs w:val="15"/>
          <w:color w:val="auto"/>
        </w:rPr>
      </w:pPr>
      <w:r>
        <w:rPr>
          <w:rFonts w:ascii="Arial" w:cs="Arial" w:eastAsia="Arial" w:hAnsi="Arial"/>
          <w:sz w:val="15"/>
          <w:szCs w:val="15"/>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5"/>
          <w:szCs w:val="15"/>
          <w:b w:val="1"/>
          <w:bCs w:val="1"/>
          <w:color w:val="auto"/>
        </w:rPr>
        <w:t>participants</w:t>
      </w:r>
      <w:r>
        <w:rPr>
          <w:rFonts w:ascii="Arial" w:cs="Arial" w:eastAsia="Arial" w:hAnsi="Arial"/>
          <w:sz w:val="15"/>
          <w:szCs w:val="15"/>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5"/>
          <w:szCs w:val="15"/>
          <w:b w:val="1"/>
          <w:bCs w:val="1"/>
          <w:color w:val="auto"/>
        </w:rPr>
        <w:t>soliciting material</w:t>
      </w:r>
      <w:r>
        <w:rPr>
          <w:rFonts w:ascii="Arial" w:cs="Arial" w:eastAsia="Arial" w:hAnsi="Arial"/>
          <w:sz w:val="15"/>
          <w:szCs w:val="15"/>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5"/>
          <w:szCs w:val="15"/>
          <w:b w:val="1"/>
          <w:bCs w:val="1"/>
          <w:color w:val="auto"/>
        </w:rPr>
        <w:t>Merger</w:t>
      </w:r>
      <w:r>
        <w:rPr>
          <w:rFonts w:ascii="Arial" w:cs="Arial" w:eastAsia="Arial" w:hAnsi="Arial"/>
          <w:sz w:val="15"/>
          <w:szCs w:val="15"/>
          <w:color w:val="auto"/>
        </w:rPr>
        <w:t xml:space="preserve"> </w:t>
      </w:r>
      <w:r>
        <w:rPr>
          <w:rFonts w:ascii="Arial" w:cs="Arial" w:eastAsia="Arial" w:hAnsi="Arial"/>
          <w:sz w:val="15"/>
          <w:szCs w:val="15"/>
          <w:b w:val="1"/>
          <w:bCs w:val="1"/>
          <w:color w:val="auto"/>
        </w:rPr>
        <w:t>Communication</w:t>
      </w:r>
      <w:r>
        <w:rPr>
          <w:rFonts w:ascii="Arial" w:cs="Arial" w:eastAsia="Arial" w:hAnsi="Arial"/>
          <w:sz w:val="15"/>
          <w:szCs w:val="15"/>
          <w:color w:val="auto"/>
        </w:rPr>
        <w:t>” shall mean, with respect to any Person, any document or other written communication prepared by or on behalf of that Person, or any document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5"/>
          <w:szCs w:val="15"/>
          <w:b w:val="1"/>
          <w:bCs w:val="1"/>
          <w:color w:val="auto"/>
        </w:rPr>
        <w:t>solicitation</w:t>
      </w:r>
      <w:r>
        <w:rPr>
          <w:rFonts w:ascii="Arial" w:cs="Arial" w:eastAsia="Arial" w:hAnsi="Arial"/>
          <w:sz w:val="15"/>
          <w:szCs w:val="15"/>
          <w:color w:val="auto"/>
        </w:rPr>
        <w:t>” of “</w:t>
      </w:r>
      <w:r>
        <w:rPr>
          <w:rFonts w:ascii="Arial" w:cs="Arial" w:eastAsia="Arial" w:hAnsi="Arial"/>
          <w:sz w:val="15"/>
          <w:szCs w:val="15"/>
          <w:b w:val="1"/>
          <w:bCs w:val="1"/>
          <w:color w:val="auto"/>
        </w:rPr>
        <w:t>proxies</w:t>
      </w:r>
      <w:r>
        <w:rPr>
          <w:rFonts w:ascii="Arial" w:cs="Arial" w:eastAsia="Arial" w:hAnsi="Arial"/>
          <w:sz w:val="15"/>
          <w:szCs w:val="15"/>
          <w:color w:val="auto"/>
        </w:rPr>
        <w:t>” (in each case, as defined in Rule 14a-1 of the 1934 Act) in favor of the Merger or the Parent Stock Issuance.</w:t>
      </w:r>
    </w:p>
    <w:p>
      <w:pPr>
        <w:spacing w:after="0" w:line="180" w:lineRule="exact"/>
        <w:rPr>
          <w:sz w:val="20"/>
          <w:szCs w:val="20"/>
          <w:color w:val="auto"/>
        </w:rPr>
      </w:pPr>
    </w:p>
    <w:p>
      <w:pPr>
        <w:ind w:right="60" w:firstLine="799"/>
        <w:spacing w:after="0" w:line="27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Notices of Certain Events</w:t>
      </w:r>
      <w:r>
        <w:rPr>
          <w:rFonts w:ascii="Arial" w:cs="Arial" w:eastAsia="Arial" w:hAnsi="Arial"/>
          <w:sz w:val="16"/>
          <w:szCs w:val="16"/>
          <w:color w:val="auto"/>
        </w:rPr>
        <w:t>. Each of the Company and Parent shall promptly notify and provide copies to the other of:</w:t>
      </w:r>
    </w:p>
    <w:p>
      <w:pPr>
        <w:spacing w:after="0" w:line="235" w:lineRule="exact"/>
        <w:rPr>
          <w:sz w:val="20"/>
          <w:szCs w:val="20"/>
          <w:color w:val="auto"/>
        </w:rPr>
      </w:pPr>
    </w:p>
    <w:p>
      <w:pPr>
        <w:ind w:right="700" w:firstLine="1720"/>
        <w:spacing w:after="0" w:line="29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written notice from any Person alleging that the approval or consent of such Person is or may be required in connection with the transactions contemplated by this Agreement;</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any written notice or other communication from any Governmental Authority in connection with the transactions contemplated by this</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 and</w:t>
      </w:r>
    </w:p>
    <w:p>
      <w:pPr>
        <w:spacing w:after="0" w:line="230" w:lineRule="exact"/>
        <w:rPr>
          <w:rFonts w:ascii="Arial" w:cs="Arial" w:eastAsia="Arial" w:hAnsi="Arial"/>
          <w:sz w:val="15"/>
          <w:szCs w:val="15"/>
          <w:color w:val="auto"/>
        </w:rPr>
      </w:pPr>
    </w:p>
    <w:p>
      <w:pPr>
        <w:ind w:right="80" w:firstLine="1720"/>
        <w:spacing w:after="0" w:line="27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8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delivery of any notice pursuant to this Section 8.05 shall not affect or be deemed to modify any representation or warranty made by any party hereunder or</w:t>
      </w:r>
      <w:r>
        <w:rPr>
          <w:rFonts w:ascii="Arial" w:cs="Arial" w:eastAsia="Arial" w:hAnsi="Arial"/>
          <w:sz w:val="16"/>
          <w:szCs w:val="16"/>
          <w:i w:val="1"/>
          <w:iCs w:val="1"/>
          <w:color w:val="auto"/>
        </w:rPr>
        <w:t xml:space="preserve"> </w:t>
      </w:r>
      <w:r>
        <w:rPr>
          <w:rFonts w:ascii="Arial" w:cs="Arial" w:eastAsia="Arial" w:hAnsi="Arial"/>
          <w:sz w:val="16"/>
          <w:szCs w:val="16"/>
          <w:color w:val="auto"/>
        </w:rPr>
        <w:t>limit or otherwise affect the remedies available hereunder to the party receiving such notice.</w:t>
      </w:r>
    </w:p>
    <w:p>
      <w:pPr>
        <w:spacing w:after="0" w:line="172"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i w:val="1"/>
          <w:iCs w:val="1"/>
          <w:color w:val="auto"/>
        </w:rPr>
        <w:t>Access to Information</w:t>
      </w:r>
      <w:r>
        <w:rPr>
          <w:rFonts w:ascii="Arial" w:cs="Arial" w:eastAsia="Arial" w:hAnsi="Arial"/>
          <w:sz w:val="15"/>
          <w:szCs w:val="15"/>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80"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89" w:lineRule="exact"/>
        <w:rPr>
          <w:sz w:val="20"/>
          <w:szCs w:val="20"/>
          <w:color w:val="auto"/>
        </w:rPr>
      </w:pPr>
    </w:p>
    <w:p>
      <w:pPr>
        <w:ind w:right="100" w:firstLine="1720"/>
        <w:spacing w:after="0" w:line="273" w:lineRule="auto"/>
        <w:tabs>
          <w:tab w:leader="none" w:pos="2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89"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Section 16 Matters</w:t>
      </w:r>
      <w:r>
        <w:rPr>
          <w:rFonts w:ascii="Arial" w:cs="Arial" w:eastAsia="Arial" w:hAnsi="Arial"/>
          <w:sz w:val="16"/>
          <w:szCs w:val="16"/>
          <w:color w:val="auto"/>
        </w:rPr>
        <w:t>. Prior to the Effective Time, each party shall take all such steps as may be required to cause any dispositions of Company Stock (including derivative securities with respect to Company Stock)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84" w:lineRule="exact"/>
        <w:rPr>
          <w:sz w:val="20"/>
          <w:szCs w:val="20"/>
          <w:color w:val="auto"/>
        </w:rPr>
      </w:pPr>
    </w:p>
    <w:p>
      <w:pPr>
        <w:ind w:firstLine="799"/>
        <w:spacing w:after="0" w:line="297"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i w:val="1"/>
          <w:iCs w:val="1"/>
          <w:color w:val="auto"/>
        </w:rPr>
        <w:t>Stock Exchange De-listing; 1934 Act Deregistration</w:t>
      </w:r>
      <w:r>
        <w:rPr>
          <w:rFonts w:ascii="Arial" w:cs="Arial" w:eastAsia="Arial" w:hAnsi="Arial"/>
          <w:sz w:val="15"/>
          <w:szCs w:val="15"/>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73"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Dividends</w:t>
      </w:r>
      <w:r>
        <w:rPr>
          <w:rFonts w:ascii="Arial" w:cs="Arial" w:eastAsia="Arial" w:hAnsi="Arial"/>
          <w:sz w:val="16"/>
          <w:szCs w:val="16"/>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89"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8.11. </w:t>
      </w:r>
      <w:r>
        <w:rPr>
          <w:rFonts w:ascii="Arial" w:cs="Arial" w:eastAsia="Arial" w:hAnsi="Arial"/>
          <w:sz w:val="15"/>
          <w:szCs w:val="15"/>
          <w:i w:val="1"/>
          <w:iCs w:val="1"/>
          <w:color w:val="auto"/>
        </w:rPr>
        <w:t>Stockholder Litigation</w:t>
      </w:r>
      <w:r>
        <w:rPr>
          <w:rFonts w:ascii="Arial" w:cs="Arial" w:eastAsia="Arial" w:hAnsi="Arial"/>
          <w:sz w:val="15"/>
          <w:szCs w:val="15"/>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5"/>
          <w:szCs w:val="15"/>
          <w:b w:val="1"/>
          <w:bCs w:val="1"/>
          <w:color w:val="auto"/>
        </w:rPr>
        <w:t>Company Transaction Litigation</w:t>
      </w:r>
      <w:r>
        <w:rPr>
          <w:rFonts w:ascii="Arial" w:cs="Arial" w:eastAsia="Arial" w:hAnsi="Arial"/>
          <w:sz w:val="15"/>
          <w:szCs w:val="15"/>
          <w:color w:val="auto"/>
        </w:rPr>
        <w:t>”, and any such litigation relating to Parent and/or the executive officers or members of the Board of Directors of Parent, a “</w:t>
      </w:r>
      <w:r>
        <w:rPr>
          <w:rFonts w:ascii="Arial" w:cs="Arial" w:eastAsia="Arial" w:hAnsi="Arial"/>
          <w:sz w:val="15"/>
          <w:szCs w:val="15"/>
          <w:b w:val="1"/>
          <w:bCs w:val="1"/>
          <w:color w:val="auto"/>
        </w:rPr>
        <w:t>Parent Transaction Litigation</w:t>
      </w:r>
      <w:r>
        <w:rPr>
          <w:rFonts w:ascii="Arial" w:cs="Arial" w:eastAsia="Arial" w:hAnsi="Arial"/>
          <w:sz w:val="15"/>
          <w:szCs w:val="15"/>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 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Conditions to the Merger</w:t>
      </w:r>
    </w:p>
    <w:p>
      <w:pPr>
        <w:spacing w:after="0" w:line="231"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 Merger are subject to the satisfaction or waiver of the following conditions:</w:t>
      </w:r>
    </w:p>
    <w:p>
      <w:pPr>
        <w:spacing w:after="0" w:line="172" w:lineRule="exact"/>
        <w:rPr>
          <w:sz w:val="20"/>
          <w:szCs w:val="20"/>
          <w:color w:val="auto"/>
        </w:rPr>
      </w:pPr>
    </w:p>
    <w:p>
      <w:pPr>
        <w:ind w:right="140" w:firstLine="1720"/>
        <w:spacing w:after="0" w:line="29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 the Company Stockholder Approval shall have been obtained in accordance with Delaware Law and (ii) the Parent Shareholder Approval shall have been obtained in accordance with Pennsylvania Law;</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0"/>
          <w:numId w:val="335"/>
        </w:numPr>
        <w:rPr>
          <w:rFonts w:ascii="Arial" w:cs="Arial" w:eastAsia="Arial" w:hAnsi="Arial"/>
          <w:sz w:val="15"/>
          <w:szCs w:val="15"/>
          <w:color w:val="auto"/>
        </w:rPr>
      </w:pPr>
      <w:r>
        <w:rPr>
          <w:rFonts w:ascii="Arial" w:cs="Arial" w:eastAsia="Arial" w:hAnsi="Arial"/>
          <w:sz w:val="15"/>
          <w:szCs w:val="15"/>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72" w:lineRule="exact"/>
        <w:rPr>
          <w:rFonts w:ascii="Arial" w:cs="Arial" w:eastAsia="Arial" w:hAnsi="Arial"/>
          <w:sz w:val="15"/>
          <w:szCs w:val="15"/>
          <w:color w:val="auto"/>
        </w:rPr>
      </w:pPr>
    </w:p>
    <w:p>
      <w:pPr>
        <w:ind w:right="100" w:firstLine="1720"/>
        <w:spacing w:after="0" w:line="27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303" w:lineRule="auto"/>
        <w:tabs>
          <w:tab w:leader="none" w:pos="2144" w:val="left"/>
        </w:tabs>
        <w:numPr>
          <w:ilvl w:val="1"/>
          <w:numId w:val="336"/>
        </w:numPr>
        <w:rPr>
          <w:rFonts w:ascii="Arial" w:cs="Arial" w:eastAsia="Arial" w:hAnsi="Arial"/>
          <w:sz w:val="14"/>
          <w:szCs w:val="14"/>
          <w:color w:val="auto"/>
        </w:rPr>
      </w:pPr>
      <w:r>
        <w:rPr>
          <w:rFonts w:ascii="Arial" w:cs="Arial" w:eastAsia="Arial" w:hAnsi="Arial"/>
          <w:sz w:val="14"/>
          <w:szCs w:val="14"/>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solely with respect to the obligations of Parent and Merger Subsidiary, imposes any Burdensome Condition.</w:t>
      </w:r>
    </w:p>
    <w:p>
      <w:pPr>
        <w:spacing w:after="0" w:line="230" w:lineRule="exact"/>
        <w:rPr>
          <w:rFonts w:ascii="Arial" w:cs="Arial" w:eastAsia="Arial" w:hAnsi="Arial"/>
          <w:sz w:val="16"/>
          <w:szCs w:val="16"/>
          <w:color w:val="auto"/>
        </w:rPr>
      </w:pPr>
    </w:p>
    <w:p>
      <w:pPr>
        <w:ind w:right="300" w:firstLine="1720"/>
        <w:spacing w:after="0" w:line="293" w:lineRule="auto"/>
        <w:tabs>
          <w:tab w:leader="none" w:pos="2135"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37"/>
        </w:numPr>
        <w:rPr>
          <w:rFonts w:ascii="Arial" w:cs="Arial" w:eastAsia="Arial" w:hAnsi="Arial"/>
          <w:sz w:val="15"/>
          <w:szCs w:val="15"/>
          <w:color w:val="auto"/>
        </w:rPr>
      </w:pPr>
      <w:r>
        <w:rPr>
          <w:rFonts w:ascii="Arial" w:cs="Arial" w:eastAsia="Arial" w:hAnsi="Arial"/>
          <w:sz w:val="15"/>
          <w:szCs w:val="15"/>
          <w:color w:val="auto"/>
        </w:rPr>
        <w:t>the shares of Parent Class A Common Stock to be issued in the Merger shall have been approved for listing on the NASDAQ, subject to</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official notice of issuance.</w:t>
      </w:r>
    </w:p>
    <w:p>
      <w:pPr>
        <w:spacing w:after="0" w:line="231"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Conditions to the Obligations of Parent and Merger Subsidiary</w:t>
      </w:r>
      <w:r>
        <w:rPr>
          <w:rFonts w:ascii="Arial" w:cs="Arial" w:eastAsia="Arial" w:hAnsi="Arial"/>
          <w:sz w:val="16"/>
          <w:szCs w:val="16"/>
          <w:color w:val="auto"/>
        </w:rPr>
        <w:t>. The obligations of Parent and Merger Subsidiary to consummate the Merger are subject to the satisfaction or waiver of the following further conditions:</w:t>
      </w:r>
    </w:p>
    <w:p>
      <w:pPr>
        <w:spacing w:after="0" w:line="172" w:lineRule="exact"/>
        <w:rPr>
          <w:sz w:val="20"/>
          <w:szCs w:val="20"/>
          <w:color w:val="auto"/>
        </w:rPr>
      </w:pPr>
    </w:p>
    <w:p>
      <w:pPr>
        <w:ind w:right="20" w:firstLine="1720"/>
        <w:spacing w:after="0" w:line="306" w:lineRule="auto"/>
        <w:tabs>
          <w:tab w:leader="none" w:pos="2135" w:val="left"/>
        </w:tabs>
        <w:numPr>
          <w:ilvl w:val="0"/>
          <w:numId w:val="338"/>
        </w:numPr>
        <w:rPr>
          <w:rFonts w:ascii="Arial" w:cs="Arial" w:eastAsia="Arial" w:hAnsi="Arial"/>
          <w:sz w:val="14"/>
          <w:szCs w:val="14"/>
          <w:color w:val="auto"/>
        </w:rPr>
      </w:pPr>
      <w:r>
        <w:rPr>
          <w:rFonts w:ascii="Arial" w:cs="Arial" w:eastAsia="Arial" w:hAnsi="Arial"/>
          <w:sz w:val="14"/>
          <w:szCs w:val="14"/>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73" w:lineRule="exact"/>
        <w:rPr>
          <w:rFonts w:ascii="Arial" w:cs="Arial" w:eastAsia="Arial" w:hAnsi="Arial"/>
          <w:sz w:val="14"/>
          <w:szCs w:val="14"/>
          <w:color w:val="auto"/>
        </w:rPr>
      </w:pPr>
    </w:p>
    <w:p>
      <w:pPr>
        <w:ind w:right="40" w:firstLine="1720"/>
        <w:spacing w:after="0" w:line="291" w:lineRule="auto"/>
        <w:tabs>
          <w:tab w:leader="none" w:pos="2144" w:val="left"/>
        </w:tabs>
        <w:numPr>
          <w:ilvl w:val="0"/>
          <w:numId w:val="338"/>
        </w:numPr>
        <w:rPr>
          <w:rFonts w:ascii="Arial" w:cs="Arial" w:eastAsia="Arial" w:hAnsi="Arial"/>
          <w:sz w:val="15"/>
          <w:szCs w:val="15"/>
          <w:color w:val="auto"/>
        </w:rPr>
      </w:pPr>
      <w:r>
        <w:rPr>
          <w:rFonts w:ascii="Arial" w:cs="Arial" w:eastAsia="Arial" w:hAnsi="Arial"/>
          <w:sz w:val="15"/>
          <w:szCs w:val="15"/>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5"/>
          <w:szCs w:val="15"/>
          <w:b w:val="1"/>
          <w:bCs w:val="1"/>
          <w:color w:val="auto"/>
        </w:rPr>
        <w:t>party to the reorganization</w:t>
      </w:r>
      <w:r>
        <w:rPr>
          <w:rFonts w:ascii="Arial" w:cs="Arial" w:eastAsia="Arial" w:hAnsi="Arial"/>
          <w:sz w:val="15"/>
          <w:szCs w:val="15"/>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76" w:lineRule="exact"/>
        <w:rPr>
          <w:rFonts w:ascii="Arial" w:cs="Arial" w:eastAsia="Arial" w:hAnsi="Arial"/>
          <w:sz w:val="15"/>
          <w:szCs w:val="15"/>
          <w:color w:val="auto"/>
        </w:rPr>
      </w:pPr>
    </w:p>
    <w:p>
      <w:pPr>
        <w:ind w:right="220" w:firstLine="1720"/>
        <w:spacing w:after="0" w:line="293" w:lineRule="auto"/>
        <w:tabs>
          <w:tab w:leader="none" w:pos="213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Conditions to the Obligations of the Company</w:t>
      </w:r>
      <w:r>
        <w:rPr>
          <w:rFonts w:ascii="Arial" w:cs="Arial" w:eastAsia="Arial" w:hAnsi="Arial"/>
          <w:sz w:val="16"/>
          <w:szCs w:val="16"/>
          <w:color w:val="auto"/>
        </w:rPr>
        <w:t>. The obligations of the Company to consummate the Merger are subject to the satisfaction or waiver of the following further conditions:</w:t>
      </w:r>
    </w:p>
    <w:p>
      <w:pPr>
        <w:spacing w:after="0" w:line="172" w:lineRule="exact"/>
        <w:rPr>
          <w:sz w:val="20"/>
          <w:szCs w:val="20"/>
          <w:color w:val="auto"/>
        </w:rPr>
      </w:pPr>
    </w:p>
    <w:p>
      <w:pPr>
        <w:ind w:right="20" w:firstLine="1720"/>
        <w:spacing w:after="0" w:line="285" w:lineRule="auto"/>
        <w:tabs>
          <w:tab w:leader="none" w:pos="2135"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86" w:lineRule="exact"/>
        <w:rPr>
          <w:rFonts w:ascii="Arial" w:cs="Arial" w:eastAsia="Arial" w:hAnsi="Arial"/>
          <w:sz w:val="15"/>
          <w:szCs w:val="15"/>
          <w:color w:val="auto"/>
        </w:rPr>
      </w:pPr>
    </w:p>
    <w:p>
      <w:pPr>
        <w:ind w:firstLine="1720"/>
        <w:spacing w:after="0" w:line="269" w:lineRule="auto"/>
        <w:tabs>
          <w:tab w:leader="none" w:pos="214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6"/>
          <w:szCs w:val="16"/>
          <w:b w:val="1"/>
          <w:bCs w:val="1"/>
          <w:color w:val="auto"/>
        </w:rPr>
        <w:t>party to the</w:t>
      </w:r>
      <w:r>
        <w:rPr>
          <w:rFonts w:ascii="Arial" w:cs="Arial" w:eastAsia="Arial" w:hAnsi="Arial"/>
          <w:sz w:val="16"/>
          <w:szCs w:val="16"/>
          <w:color w:val="auto"/>
        </w:rPr>
        <w:t xml:space="preserve"> </w:t>
      </w:r>
      <w:r>
        <w:rPr>
          <w:rFonts w:ascii="Arial" w:cs="Arial" w:eastAsia="Arial" w:hAnsi="Arial"/>
          <w:sz w:val="16"/>
          <w:szCs w:val="16"/>
          <w:b w:val="1"/>
          <w:bCs w:val="1"/>
          <w:color w:val="auto"/>
        </w:rPr>
        <w:t>reorganization</w:t>
      </w:r>
      <w:r>
        <w:rPr>
          <w:rFonts w:ascii="Arial" w:cs="Arial" w:eastAsia="Arial" w:hAnsi="Arial"/>
          <w:sz w:val="16"/>
          <w:szCs w:val="16"/>
          <w:color w:val="auto"/>
        </w:rPr>
        <w:t>” within the meaning of Section 368(b) of the Code, which opinion shall not have been withdrawn or modified in any material respect. In rendering the opinion</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this Section 9.03(b), Paul, Weiss, Rifkind, Wharton &amp; Garrison LLP shall have received and may rely upon the Tax Representation Letters referred to in Section 8.07(b) hereof; and</w:t>
      </w:r>
    </w:p>
    <w:p>
      <w:pPr>
        <w:spacing w:after="0" w:line="190" w:lineRule="exact"/>
        <w:rPr>
          <w:rFonts w:ascii="Arial" w:cs="Arial" w:eastAsia="Arial" w:hAnsi="Arial"/>
          <w:sz w:val="16"/>
          <w:szCs w:val="16"/>
          <w:color w:val="auto"/>
        </w:rPr>
      </w:pPr>
    </w:p>
    <w:p>
      <w:pPr>
        <w:ind w:right="180" w:firstLine="1720"/>
        <w:spacing w:after="0" w:line="293" w:lineRule="auto"/>
        <w:tabs>
          <w:tab w:leader="none" w:pos="21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ARTICLE 10</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Termination</w:t>
      </w:r>
    </w:p>
    <w:p>
      <w:pPr>
        <w:spacing w:after="0" w:line="231" w:lineRule="exact"/>
        <w:rPr>
          <w:sz w:val="20"/>
          <w:szCs w:val="20"/>
          <w:color w:val="auto"/>
        </w:rPr>
      </w:pPr>
    </w:p>
    <w:p>
      <w:pPr>
        <w:ind w:right="120" w:firstLine="799"/>
        <w:spacing w:after="0" w:line="293"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Merger may be abandoned at any time prior to the Effective Time (notwithstanding any approval of this Agreement by the stockholders of the Company):</w:t>
      </w:r>
    </w:p>
    <w:p>
      <w:pPr>
        <w:spacing w:after="0" w:line="172" w:lineRule="exact"/>
        <w:rPr>
          <w:sz w:val="20"/>
          <w:szCs w:val="20"/>
          <w:color w:val="auto"/>
        </w:rPr>
      </w:pPr>
    </w:p>
    <w:p>
      <w:pPr>
        <w:ind w:left="2140" w:hanging="420"/>
        <w:spacing w:after="0"/>
        <w:tabs>
          <w:tab w:leader="none" w:pos="2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mutual written agreement of the Company and Parent;</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either the Company or Parent, if:</w:t>
      </w:r>
    </w:p>
    <w:p>
      <w:pPr>
        <w:spacing w:after="0" w:line="230" w:lineRule="exact"/>
        <w:rPr>
          <w:rFonts w:ascii="Arial" w:cs="Arial" w:eastAsia="Arial" w:hAnsi="Arial"/>
          <w:sz w:val="16"/>
          <w:szCs w:val="16"/>
          <w:color w:val="auto"/>
        </w:rPr>
      </w:pPr>
    </w:p>
    <w:p>
      <w:pPr>
        <w:ind w:left="1720" w:right="20" w:firstLine="679"/>
        <w:spacing w:after="0" w:line="289" w:lineRule="auto"/>
        <w:tabs>
          <w:tab w:leader="none" w:pos="2795" w:val="left"/>
        </w:tabs>
        <w:numPr>
          <w:ilvl w:val="1"/>
          <w:numId w:val="340"/>
        </w:numPr>
        <w:rPr>
          <w:rFonts w:ascii="Arial" w:cs="Arial" w:eastAsia="Arial" w:hAnsi="Arial"/>
          <w:sz w:val="15"/>
          <w:szCs w:val="15"/>
          <w:color w:val="auto"/>
        </w:rPr>
      </w:pPr>
      <w:r>
        <w:rPr>
          <w:rFonts w:ascii="Arial" w:cs="Arial" w:eastAsia="Arial" w:hAnsi="Arial"/>
          <w:sz w:val="15"/>
          <w:szCs w:val="15"/>
          <w:color w:val="auto"/>
        </w:rPr>
        <w:t>if the Merger is not consummated on or before February 12, 2015 (the “</w:t>
      </w:r>
      <w:r>
        <w:rPr>
          <w:rFonts w:ascii="Arial" w:cs="Arial" w:eastAsia="Arial" w:hAnsi="Arial"/>
          <w:sz w:val="15"/>
          <w:szCs w:val="15"/>
          <w:b w:val="1"/>
          <w:bCs w:val="1"/>
          <w:color w:val="auto"/>
        </w:rPr>
        <w:t>End Date</w:t>
      </w:r>
      <w:r>
        <w:rPr>
          <w:rFonts w:ascii="Arial" w:cs="Arial" w:eastAsia="Arial" w:hAnsi="Arial"/>
          <w:sz w:val="15"/>
          <w:szCs w:val="15"/>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360"/>
          </w:cols>
          <w:pgMar w:left="240" w:top="459" w:right="2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840" w:hanging="441"/>
        <w:spacing w:after="0"/>
        <w:tabs>
          <w:tab w:leader="none" w:pos="284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w:t>
      </w:r>
    </w:p>
    <w:p>
      <w:pPr>
        <w:spacing w:after="0" w:line="22" w:lineRule="exact"/>
        <w:rPr>
          <w:rFonts w:ascii="Arial" w:cs="Arial" w:eastAsia="Arial" w:hAnsi="Arial"/>
          <w:sz w:val="16"/>
          <w:szCs w:val="16"/>
          <w:color w:val="auto"/>
        </w:rPr>
      </w:pPr>
    </w:p>
    <w:p>
      <w:pPr>
        <w:ind w:left="1720" w:right="220"/>
        <w:spacing w:after="0" w:line="272" w:lineRule="auto"/>
        <w:tabs>
          <w:tab w:leader="none" w:pos="197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permanently enjoins the Company or Parent from consummating the Merger and, in the case of clauses (A) and (B) any such Applicable Law, including an injunction, shall have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88" w:lineRule="exact"/>
        <w:rPr>
          <w:rFonts w:ascii="Arial" w:cs="Arial" w:eastAsia="Arial" w:hAnsi="Arial"/>
          <w:sz w:val="16"/>
          <w:szCs w:val="16"/>
          <w:color w:val="auto"/>
        </w:rPr>
      </w:pPr>
    </w:p>
    <w:p>
      <w:pPr>
        <w:ind w:left="1720" w:right="300" w:firstLine="679"/>
        <w:spacing w:after="0" w:line="278" w:lineRule="auto"/>
        <w:tabs>
          <w:tab w:leader="none" w:pos="2885"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93" w:lineRule="exact"/>
        <w:rPr>
          <w:sz w:val="20"/>
          <w:szCs w:val="20"/>
          <w:color w:val="auto"/>
        </w:rPr>
      </w:pPr>
    </w:p>
    <w:p>
      <w:pPr>
        <w:ind w:left="2140" w:hanging="420"/>
        <w:spacing w:after="0"/>
        <w:tabs>
          <w:tab w:leader="none" w:pos="21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Parent, if:</w:t>
      </w:r>
    </w:p>
    <w:p>
      <w:pPr>
        <w:spacing w:after="0" w:line="234" w:lineRule="exact"/>
        <w:rPr>
          <w:rFonts w:ascii="Arial" w:cs="Arial" w:eastAsia="Arial" w:hAnsi="Arial"/>
          <w:sz w:val="16"/>
          <w:szCs w:val="16"/>
          <w:color w:val="auto"/>
        </w:rPr>
      </w:pPr>
    </w:p>
    <w:p>
      <w:pPr>
        <w:ind w:left="1720" w:right="60" w:firstLine="679"/>
        <w:spacing w:after="0" w:line="270"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89" w:lineRule="exact"/>
        <w:rPr>
          <w:rFonts w:ascii="Arial" w:cs="Arial" w:eastAsia="Arial" w:hAnsi="Arial"/>
          <w:sz w:val="16"/>
          <w:szCs w:val="16"/>
          <w:color w:val="auto"/>
        </w:rPr>
      </w:pPr>
    </w:p>
    <w:p>
      <w:pPr>
        <w:ind w:left="1720" w:right="380" w:firstLine="679"/>
        <w:spacing w:after="0" w:line="278" w:lineRule="auto"/>
        <w:tabs>
          <w:tab w:leader="none" w:pos="284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84" w:lineRule="exact"/>
        <w:rPr>
          <w:rFonts w:ascii="Arial" w:cs="Arial" w:eastAsia="Arial" w:hAnsi="Arial"/>
          <w:sz w:val="16"/>
          <w:szCs w:val="16"/>
          <w:color w:val="auto"/>
        </w:rPr>
      </w:pPr>
    </w:p>
    <w:p>
      <w:pPr>
        <w:ind w:left="1720" w:right="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90" w:lineRule="exact"/>
        <w:rPr>
          <w:rFonts w:ascii="Arial" w:cs="Arial" w:eastAsia="Arial" w:hAnsi="Arial"/>
          <w:sz w:val="16"/>
          <w:szCs w:val="16"/>
          <w:color w:val="auto"/>
        </w:rPr>
      </w:pPr>
    </w:p>
    <w:p>
      <w:pPr>
        <w:ind w:left="1720" w:right="80" w:firstLine="679"/>
        <w:spacing w:after="0" w:line="273" w:lineRule="auto"/>
        <w:tabs>
          <w:tab w:leader="none" w:pos="287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prior to the Company Stockholder Approval having been obtained, an intentional and material breach of (A) 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189" w:lineRule="exact"/>
        <w:rPr>
          <w:rFonts w:ascii="Arial" w:cs="Arial" w:eastAsia="Arial" w:hAnsi="Arial"/>
          <w:sz w:val="16"/>
          <w:szCs w:val="16"/>
          <w:color w:val="auto"/>
        </w:rPr>
      </w:pPr>
    </w:p>
    <w:p>
      <w:pPr>
        <w:ind w:left="2160" w:hanging="440"/>
        <w:spacing w:after="0"/>
        <w:tabs>
          <w:tab w:leader="none" w:pos="21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the Company, if:</w:t>
      </w:r>
    </w:p>
    <w:p>
      <w:pPr>
        <w:spacing w:after="0" w:line="234" w:lineRule="exact"/>
        <w:rPr>
          <w:rFonts w:ascii="Arial" w:cs="Arial" w:eastAsia="Arial" w:hAnsi="Arial"/>
          <w:sz w:val="16"/>
          <w:szCs w:val="16"/>
          <w:color w:val="auto"/>
        </w:rPr>
      </w:pPr>
    </w:p>
    <w:p>
      <w:pPr>
        <w:ind w:left="1720" w:right="40" w:firstLine="679"/>
        <w:spacing w:after="0" w:line="293"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an intentional and material breach of the first sentence of Section 7.03 shall have occurred (taking into account the right of Parent to postpone the Parent Shareholder Meeting in accordance with Section 7.03);</w:t>
      </w:r>
    </w:p>
    <w:p>
      <w:pPr>
        <w:spacing w:after="0" w:line="172" w:lineRule="exact"/>
        <w:rPr>
          <w:rFonts w:ascii="Arial" w:cs="Arial" w:eastAsia="Arial" w:hAnsi="Arial"/>
          <w:sz w:val="16"/>
          <w:szCs w:val="16"/>
          <w:color w:val="auto"/>
        </w:rPr>
      </w:pPr>
    </w:p>
    <w:p>
      <w:pPr>
        <w:ind w:left="2840" w:hanging="441"/>
        <w:spacing w:after="0"/>
        <w:tabs>
          <w:tab w:leader="none" w:pos="2840" w:val="left"/>
        </w:tabs>
        <w:numPr>
          <w:ilvl w:val="1"/>
          <w:numId w:val="343"/>
        </w:numPr>
        <w:rPr>
          <w:rFonts w:ascii="Arial" w:cs="Arial" w:eastAsia="Arial" w:hAnsi="Arial"/>
          <w:sz w:val="14"/>
          <w:szCs w:val="14"/>
          <w:color w:val="auto"/>
        </w:rPr>
      </w:pPr>
      <w:r>
        <w:rPr>
          <w:rFonts w:ascii="Arial" w:cs="Arial" w:eastAsia="Arial" w:hAnsi="Arial"/>
          <w:sz w:val="14"/>
          <w:szCs w:val="14"/>
          <w:color w:val="auto"/>
        </w:rPr>
        <w:t>a material breach of the Voting Agreement shall have occurred that is noncurable or, if curable, is not cured within 30 days’ notice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thereof; or</w:t>
      </w:r>
    </w:p>
    <w:p>
      <w:pPr>
        <w:spacing w:after="0" w:line="230" w:lineRule="exact"/>
        <w:rPr>
          <w:rFonts w:ascii="Arial" w:cs="Arial" w:eastAsia="Arial" w:hAnsi="Arial"/>
          <w:sz w:val="14"/>
          <w:szCs w:val="14"/>
          <w:color w:val="auto"/>
        </w:rPr>
      </w:pPr>
    </w:p>
    <w:p>
      <w:pPr>
        <w:ind w:left="17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72" w:lineRule="exact"/>
        <w:rPr>
          <w:sz w:val="20"/>
          <w:szCs w:val="20"/>
          <w:color w:val="auto"/>
        </w:rPr>
      </w:pPr>
    </w:p>
    <w:p>
      <w:pPr>
        <w:ind w:right="480" w:firstLine="799"/>
        <w:spacing w:after="0" w:line="303" w:lineRule="auto"/>
        <w:rPr>
          <w:sz w:val="20"/>
          <w:szCs w:val="20"/>
          <w:color w:val="auto"/>
        </w:rPr>
      </w:pPr>
      <w:r>
        <w:rPr>
          <w:rFonts w:ascii="Arial" w:cs="Arial" w:eastAsia="Arial" w:hAnsi="Arial"/>
          <w:sz w:val="14"/>
          <w:szCs w:val="14"/>
          <w:color w:val="auto"/>
        </w:rPr>
        <w:t xml:space="preserve">Section 10.02. </w:t>
      </w:r>
      <w:r>
        <w:rPr>
          <w:rFonts w:ascii="Arial" w:cs="Arial" w:eastAsia="Arial" w:hAnsi="Arial"/>
          <w:sz w:val="14"/>
          <w:szCs w:val="14"/>
          <w:i w:val="1"/>
          <w:iCs w:val="1"/>
          <w:color w:val="auto"/>
        </w:rPr>
        <w:t>Effect of Termination</w:t>
      </w:r>
      <w:r>
        <w:rPr>
          <w:rFonts w:ascii="Arial" w:cs="Arial" w:eastAsia="Arial" w:hAnsi="Arial"/>
          <w:sz w:val="14"/>
          <w:szCs w:val="14"/>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w:t>
      </w:r>
    </w:p>
    <w:p>
      <w:pPr>
        <w:spacing w:after="0" w:line="2" w:lineRule="exact"/>
        <w:rPr>
          <w:sz w:val="20"/>
          <w:szCs w:val="20"/>
          <w:color w:val="auto"/>
        </w:rPr>
      </w:pPr>
    </w:p>
    <w:p>
      <w:pPr>
        <w:ind w:right="60" w:firstLine="8"/>
        <w:spacing w:after="0" w:line="270" w:lineRule="auto"/>
        <w:tabs>
          <w:tab w:leader="none" w:pos="23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ARTICLE 11</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Miscellaneous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i w:val="1"/>
          <w:iCs w:val="1"/>
          <w:color w:val="auto"/>
        </w:rPr>
        <w:t>Notices</w:t>
      </w:r>
      <w:r>
        <w:rPr>
          <w:rFonts w:ascii="Arial" w:cs="Arial" w:eastAsia="Arial" w:hAnsi="Arial"/>
          <w:sz w:val="15"/>
          <w:szCs w:val="15"/>
          <w:color w:val="auto"/>
        </w:rPr>
        <w:t>. All notices, requests and other communications to any party hereunder shall be in writing (including facsimile transmission) and shall be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given,</w:t>
      </w:r>
    </w:p>
    <w:p>
      <w:pPr>
        <w:spacing w:after="0" w:line="1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Parent or Merger Subsidiary,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Comcast Corporation</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1701 John F. Kennedy Boulevard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Philadelphia, PA 19103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Arthur R. Block</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(215) 981-7794</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Davis Polk &amp; Wardwell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450 Lexington Avenue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10017</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David L. Caplan</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William J. Chudd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450-3800</w:t>
      </w:r>
    </w:p>
    <w:p>
      <w:pPr>
        <w:spacing w:after="0" w:line="23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if to the Company,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364-8459</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Robert B. Schumer</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757-3990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180" w:firstLine="799"/>
        <w:spacing w:after="0" w:line="278"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Survival of Representations and Warranties</w:t>
      </w:r>
      <w:r>
        <w:rPr>
          <w:rFonts w:ascii="Arial" w:cs="Arial" w:eastAsia="Arial" w:hAnsi="Arial"/>
          <w:sz w:val="16"/>
          <w:szCs w:val="16"/>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93" w:lineRule="exact"/>
        <w:rPr>
          <w:sz w:val="20"/>
          <w:szCs w:val="20"/>
          <w:color w:val="auto"/>
        </w:rPr>
      </w:pPr>
    </w:p>
    <w:p>
      <w:pPr>
        <w:ind w:right="100" w:firstLine="799"/>
        <w:spacing w:after="0" w:line="27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90" w:lineRule="exact"/>
        <w:rPr>
          <w:sz w:val="20"/>
          <w:szCs w:val="20"/>
          <w:color w:val="auto"/>
        </w:rPr>
      </w:pPr>
    </w:p>
    <w:p>
      <w:pPr>
        <w:ind w:right="120" w:firstLine="1720"/>
        <w:spacing w:after="0" w:line="278" w:lineRule="auto"/>
        <w:tabs>
          <w:tab w:leader="none" w:pos="214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11.04. </w:t>
      </w:r>
      <w:r>
        <w:rPr>
          <w:rFonts w:ascii="Arial" w:cs="Arial" w:eastAsia="Arial" w:hAnsi="Arial"/>
          <w:sz w:val="14"/>
          <w:szCs w:val="14"/>
          <w:i w:val="1"/>
          <w:iCs w:val="1"/>
          <w:color w:val="auto"/>
        </w:rPr>
        <w:t>Expenses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General</w:t>
      </w:r>
      <w:r>
        <w:rPr>
          <w:rFonts w:ascii="Arial" w:cs="Arial" w:eastAsia="Arial" w:hAnsi="Arial"/>
          <w:sz w:val="14"/>
          <w:szCs w:val="14"/>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11.05. </w:t>
      </w:r>
      <w:r>
        <w:rPr>
          <w:rFonts w:ascii="Arial" w:cs="Arial" w:eastAsia="Arial" w:hAnsi="Arial"/>
          <w:sz w:val="15"/>
          <w:szCs w:val="15"/>
          <w:i w:val="1"/>
          <w:iCs w:val="1"/>
          <w:color w:val="auto"/>
        </w:rPr>
        <w:t>Disclosure Schedule and SEC Document References</w:t>
      </w:r>
      <w:r>
        <w:rPr>
          <w:rFonts w:ascii="Arial" w:cs="Arial" w:eastAsia="Arial" w:hAnsi="Arial"/>
          <w:sz w:val="15"/>
          <w:szCs w:val="15"/>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76" w:lineRule="exact"/>
        <w:rPr>
          <w:sz w:val="20"/>
          <w:szCs w:val="20"/>
          <w:color w:val="auto"/>
        </w:rPr>
      </w:pPr>
    </w:p>
    <w:p>
      <w:pPr>
        <w:ind w:right="20" w:firstLine="1720"/>
        <w:spacing w:after="0" w:line="291" w:lineRule="auto"/>
        <w:tabs>
          <w:tab w:leader="none" w:pos="2141" w:val="left"/>
        </w:tabs>
        <w:numPr>
          <w:ilvl w:val="0"/>
          <w:numId w:val="346"/>
        </w:numPr>
        <w:rPr>
          <w:rFonts w:ascii="Arial" w:cs="Arial" w:eastAsia="Arial" w:hAnsi="Arial"/>
          <w:sz w:val="15"/>
          <w:szCs w:val="15"/>
          <w:color w:val="auto"/>
        </w:rPr>
      </w:pPr>
      <w:r>
        <w:rPr>
          <w:rFonts w:ascii="Arial" w:cs="Arial" w:eastAsia="Arial" w:hAnsi="Arial"/>
          <w:sz w:val="15"/>
          <w:szCs w:val="15"/>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5"/>
          <w:szCs w:val="15"/>
          <w:b w:val="1"/>
          <w:bCs w:val="1"/>
          <w:color w:val="auto"/>
        </w:rPr>
        <w:t>Risk</w:t>
      </w:r>
      <w:r>
        <w:rPr>
          <w:rFonts w:ascii="Arial" w:cs="Arial" w:eastAsia="Arial" w:hAnsi="Arial"/>
          <w:sz w:val="15"/>
          <w:szCs w:val="15"/>
          <w:color w:val="auto"/>
        </w:rPr>
        <w:t xml:space="preserve"> </w:t>
      </w:r>
      <w:r>
        <w:rPr>
          <w:rFonts w:ascii="Arial" w:cs="Arial" w:eastAsia="Arial" w:hAnsi="Arial"/>
          <w:sz w:val="15"/>
          <w:szCs w:val="15"/>
          <w:b w:val="1"/>
          <w:bCs w:val="1"/>
          <w:color w:val="auto"/>
        </w:rPr>
        <w:t>Factors</w:t>
      </w:r>
      <w:r>
        <w:rPr>
          <w:rFonts w:ascii="Arial" w:cs="Arial" w:eastAsia="Arial" w:hAnsi="Arial"/>
          <w:sz w:val="15"/>
          <w:szCs w:val="15"/>
          <w:color w:val="auto"/>
        </w:rPr>
        <w:t>” (or words of similar import) or containing a description or explanation of “</w:t>
      </w:r>
      <w:r>
        <w:rPr>
          <w:rFonts w:ascii="Arial" w:cs="Arial" w:eastAsia="Arial" w:hAnsi="Arial"/>
          <w:sz w:val="15"/>
          <w:szCs w:val="15"/>
          <w:b w:val="1"/>
          <w:bCs w:val="1"/>
          <w:color w:val="auto"/>
        </w:rPr>
        <w:t>Forward-Looking Statements</w:t>
      </w:r>
      <w:r>
        <w:rPr>
          <w:rFonts w:ascii="Arial" w:cs="Arial" w:eastAsia="Arial" w:hAnsi="Arial"/>
          <w:sz w:val="15"/>
          <w:szCs w:val="15"/>
          <w:color w:val="auto"/>
        </w:rPr>
        <w:t>” be deemed to be an exception to (or a disclosure for</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any representations and warranties of any party contained in this Agreement.</w:t>
      </w:r>
    </w:p>
    <w:p>
      <w:pPr>
        <w:spacing w:after="0" w:line="177" w:lineRule="exact"/>
        <w:rPr>
          <w:sz w:val="20"/>
          <w:szCs w:val="20"/>
          <w:color w:val="auto"/>
        </w:rPr>
      </w:pPr>
    </w:p>
    <w:p>
      <w:pPr>
        <w:ind w:right="80" w:firstLine="799"/>
        <w:spacing w:after="0" w:line="269"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Binding Effect; Benefit; Assignment</w:t>
      </w:r>
      <w:r>
        <w:rPr>
          <w:rFonts w:ascii="Arial" w:cs="Arial" w:eastAsia="Arial" w:hAnsi="Arial"/>
          <w:sz w:val="16"/>
          <w:szCs w:val="16"/>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97" w:lineRule="auto"/>
        <w:tabs>
          <w:tab w:leader="none" w:pos="2144" w:val="left"/>
        </w:tabs>
        <w:numPr>
          <w:ilvl w:val="0"/>
          <w:numId w:val="347"/>
        </w:numPr>
        <w:rPr>
          <w:rFonts w:ascii="Arial" w:cs="Arial" w:eastAsia="Arial" w:hAnsi="Arial"/>
          <w:sz w:val="15"/>
          <w:szCs w:val="15"/>
          <w:color w:val="auto"/>
        </w:rPr>
      </w:pPr>
      <w:r>
        <w:rPr>
          <w:rFonts w:ascii="Arial" w:cs="Arial" w:eastAsia="Arial" w:hAnsi="Arial"/>
          <w:sz w:val="15"/>
          <w:szCs w:val="15"/>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73" w:lineRule="exact"/>
        <w:rPr>
          <w:sz w:val="20"/>
          <w:szCs w:val="20"/>
          <w:color w:val="auto"/>
        </w:rPr>
      </w:pPr>
    </w:p>
    <w:p>
      <w:pPr>
        <w:ind w:right="220" w:firstLine="799"/>
        <w:spacing w:after="0" w:line="293"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11.08. </w:t>
      </w:r>
      <w:r>
        <w:rPr>
          <w:rFonts w:ascii="Arial" w:cs="Arial" w:eastAsia="Arial" w:hAnsi="Arial"/>
          <w:sz w:val="15"/>
          <w:szCs w:val="15"/>
          <w:i w:val="1"/>
          <w:iCs w:val="1"/>
          <w:color w:val="auto"/>
        </w:rPr>
        <w:t>Jurisdiction.</w:t>
      </w:r>
      <w:r>
        <w:rPr>
          <w:rFonts w:ascii="Arial" w:cs="Arial" w:eastAsia="Arial" w:hAnsi="Arial"/>
          <w:sz w:val="15"/>
          <w:szCs w:val="15"/>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8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Counterparts; Effectiveness.</w:t>
      </w:r>
      <w:r>
        <w:rPr>
          <w:rFonts w:ascii="Arial" w:cs="Arial" w:eastAsia="Arial" w:hAnsi="Arial"/>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90" w:lineRule="exact"/>
        <w:rPr>
          <w:sz w:val="20"/>
          <w:szCs w:val="20"/>
          <w:color w:val="auto"/>
        </w:rPr>
      </w:pPr>
    </w:p>
    <w:p>
      <w:pPr>
        <w:jc w:val="both"/>
        <w:ind w:right="20" w:firstLine="799"/>
        <w:spacing w:after="0" w:line="278"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84" w:lineRule="exact"/>
        <w:rPr>
          <w:sz w:val="20"/>
          <w:szCs w:val="20"/>
          <w:color w:val="auto"/>
        </w:rPr>
      </w:pPr>
    </w:p>
    <w:p>
      <w:pPr>
        <w:ind w:right="40" w:firstLine="799"/>
        <w:spacing w:after="0" w:line="318" w:lineRule="auto"/>
        <w:rPr>
          <w:sz w:val="20"/>
          <w:szCs w:val="20"/>
          <w:color w:val="auto"/>
        </w:rPr>
      </w:pPr>
      <w:r>
        <w:rPr>
          <w:rFonts w:ascii="Arial" w:cs="Arial" w:eastAsia="Arial" w:hAnsi="Arial"/>
          <w:sz w:val="14"/>
          <w:szCs w:val="14"/>
          <w:color w:val="auto"/>
        </w:rPr>
        <w:t xml:space="preserve">Section 11.12.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 xml:space="preserve">Section 11.13. </w:t>
      </w:r>
      <w:r>
        <w:rPr>
          <w:rFonts w:ascii="Arial" w:cs="Arial" w:eastAsia="Arial" w:hAnsi="Arial"/>
          <w:sz w:val="15"/>
          <w:szCs w:val="15"/>
          <w:i w:val="1"/>
          <w:iCs w:val="1"/>
          <w:color w:val="auto"/>
        </w:rPr>
        <w:t>Specific Performance.</w:t>
      </w:r>
      <w:r>
        <w:rPr>
          <w:rFonts w:ascii="Arial" w:cs="Arial" w:eastAsia="Arial" w:hAnsi="Arial"/>
          <w:sz w:val="15"/>
          <w:szCs w:val="15"/>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IN WITNESS WHEREOF, the parties hereto have caused this Agreement to be duly executed by their respective authorized officers as of the date set forth on the cover page of this Agreement.</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Arthur T. Minson, Jr.</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Executive Vice President and</w:t>
      </w:r>
    </w:p>
    <w:p>
      <w:pPr>
        <w:spacing w:after="0" w:line="19"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TANGO ACQUISITION SUB,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00"/>
          </w:cols>
          <w:pgMar w:left="240" w:top="459" w:right="3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B</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AGREEMENT</w:t>
      </w:r>
    </w:p>
    <w:p>
      <w:pPr>
        <w:spacing w:after="0" w:line="235" w:lineRule="exact"/>
        <w:rPr>
          <w:sz w:val="20"/>
          <w:szCs w:val="20"/>
          <w:color w:val="auto"/>
        </w:rPr>
      </w:pPr>
    </w:p>
    <w:p>
      <w:pPr>
        <w:ind w:right="280" w:firstLine="799"/>
        <w:spacing w:after="0" w:line="298" w:lineRule="auto"/>
        <w:rPr>
          <w:sz w:val="20"/>
          <w:szCs w:val="20"/>
          <w:color w:val="auto"/>
        </w:rPr>
      </w:pPr>
      <w:r>
        <w:rPr>
          <w:rFonts w:ascii="Arial" w:cs="Arial" w:eastAsia="Arial" w:hAnsi="Arial"/>
          <w:sz w:val="16"/>
          <w:szCs w:val="16"/>
          <w:color w:val="auto"/>
        </w:rPr>
        <w:t>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individuals or entities listed on Schedule 1.01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164" w:lineRule="exact"/>
        <w:rPr>
          <w:sz w:val="20"/>
          <w:szCs w:val="20"/>
          <w:color w:val="auto"/>
        </w:rPr>
      </w:pPr>
    </w:p>
    <w:p>
      <w:pPr>
        <w:ind w:right="200" w:firstLine="799"/>
        <w:spacing w:after="0" w:line="275" w:lineRule="auto"/>
        <w:rPr>
          <w:sz w:val="20"/>
          <w:szCs w:val="20"/>
          <w:color w:val="auto"/>
        </w:rPr>
      </w:pPr>
      <w:r>
        <w:rPr>
          <w:rFonts w:ascii="Arial" w:cs="Arial" w:eastAsia="Arial" w:hAnsi="Arial"/>
          <w:sz w:val="16"/>
          <w:szCs w:val="16"/>
          <w:color w:val="auto"/>
        </w:rPr>
        <w:t>WHEREAS, concurrently with the execution and delivery of this Agreement, the Company,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are entering into an Agreement and Plan of Merger (as amended or modified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Subsidiary will be merged with and into the Company, with the Company continuing as the surviving corporation and a wholly owned subsidiary of Parent;</w:t>
      </w:r>
    </w:p>
    <w:p>
      <w:pPr>
        <w:spacing w:after="0" w:line="187"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WHEREAS, as of the date hereof, each Stockholder is the record and beneficial owner of the shares of “Parent Class A Common Stock,” and “Parent Class B Common Stock,” respectively, on Schedule 1.01; and</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WHEREAS, in order to induce the Company to enter into the Merger Agreement, each Stockholder has agreed to enter into this Agreement.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NOW, THEREFORE, the parties hereto agree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EFINED</w:t>
      </w:r>
      <w:r>
        <w:rPr>
          <w:rFonts w:ascii="Arial" w:cs="Arial" w:eastAsia="Arial" w:hAnsi="Arial"/>
          <w:sz w:val="16"/>
          <w:szCs w:val="16"/>
          <w:color w:val="auto"/>
        </w:rPr>
        <w:t xml:space="preserve"> T</w:t>
      </w:r>
      <w:r>
        <w:rPr>
          <w:rFonts w:ascii="Arial" w:cs="Arial" w:eastAsia="Arial" w:hAnsi="Arial"/>
          <w:sz w:val="13"/>
          <w:szCs w:val="13"/>
          <w:color w:val="auto"/>
        </w:rPr>
        <w:t>ERMS</w:t>
      </w:r>
    </w:p>
    <w:p>
      <w:pPr>
        <w:spacing w:after="0" w:line="231"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Definitions Generally</w:t>
      </w:r>
      <w:r>
        <w:rPr>
          <w:rFonts w:ascii="Arial" w:cs="Arial" w:eastAsia="Arial" w:hAnsi="Arial"/>
          <w:sz w:val="16"/>
          <w:szCs w:val="16"/>
          <w:color w:val="auto"/>
        </w:rPr>
        <w:t>. For purposes of this Agreement, terms used in this Agreement that are defined in the Merger Agreement but not in this Agreement shall have the respective meanings ascribed to them in the Merger Agreement.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Certain Definitions</w:t>
      </w:r>
      <w:r>
        <w:rPr>
          <w:rFonts w:ascii="Arial" w:cs="Arial" w:eastAsia="Arial" w:hAnsi="Arial"/>
          <w:sz w:val="16"/>
          <w:szCs w:val="16"/>
          <w:color w:val="auto"/>
        </w:rPr>
        <w:t>. In addition, the following terms, as used herein, have the following meanings:</w:t>
      </w:r>
    </w:p>
    <w:p>
      <w:pPr>
        <w:spacing w:after="0" w:line="231" w:lineRule="exact"/>
        <w:rPr>
          <w:sz w:val="20"/>
          <w:szCs w:val="20"/>
          <w:color w:val="auto"/>
        </w:rPr>
      </w:pPr>
    </w:p>
    <w:p>
      <w:pPr>
        <w:ind w:left="1940" w:hanging="390"/>
        <w:spacing w:after="0"/>
        <w:tabs>
          <w:tab w:leader="none" w:pos="19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means the Amended and Restated Articles of Incorporation of Parent.</w:t>
      </w:r>
    </w:p>
    <w:p>
      <w:pPr>
        <w:spacing w:after="0" w:line="234" w:lineRule="exact"/>
        <w:rPr>
          <w:rFonts w:ascii="Arial" w:cs="Arial" w:eastAsia="Arial" w:hAnsi="Arial"/>
          <w:sz w:val="16"/>
          <w:szCs w:val="16"/>
          <w:color w:val="auto"/>
        </w:rPr>
      </w:pPr>
    </w:p>
    <w:p>
      <w:pPr>
        <w:ind w:left="800" w:right="220" w:firstLine="750"/>
        <w:spacing w:after="0" w:line="281" w:lineRule="auto"/>
        <w:tabs>
          <w:tab w:leader="none" w:pos="198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16"/>
          <w:szCs w:val="16"/>
          <w:b w:val="1"/>
          <w:bCs w:val="1"/>
          <w:color w:val="auto"/>
        </w:rPr>
        <w:t>beneficially owned</w:t>
      </w:r>
      <w:r>
        <w:rPr>
          <w:rFonts w:ascii="Arial" w:cs="Arial" w:eastAsia="Arial" w:hAnsi="Arial"/>
          <w:sz w:val="16"/>
          <w:szCs w:val="16"/>
          <w:color w:val="auto"/>
        </w:rPr>
        <w:t>” and “</w:t>
      </w:r>
      <w:r>
        <w:rPr>
          <w:rFonts w:ascii="Arial" w:cs="Arial" w:eastAsia="Arial" w:hAnsi="Arial"/>
          <w:sz w:val="16"/>
          <w:szCs w:val="16"/>
          <w:b w:val="1"/>
          <w:bCs w:val="1"/>
          <w:color w:val="auto"/>
        </w:rPr>
        <w:t>beneficial owner</w:t>
      </w:r>
      <w:r>
        <w:rPr>
          <w:rFonts w:ascii="Arial" w:cs="Arial" w:eastAsia="Arial" w:hAnsi="Arial"/>
          <w:sz w:val="16"/>
          <w:szCs w:val="16"/>
          <w:color w:val="auto"/>
        </w:rPr>
        <w:t>” shall have correlative meanings.</w:t>
      </w:r>
    </w:p>
    <w:p>
      <w:pPr>
        <w:spacing w:after="0" w:line="177" w:lineRule="exact"/>
        <w:rPr>
          <w:rFonts w:ascii="Arial" w:cs="Arial" w:eastAsia="Arial" w:hAnsi="Arial"/>
          <w:sz w:val="16"/>
          <w:szCs w:val="16"/>
          <w:color w:val="auto"/>
        </w:rPr>
      </w:pPr>
    </w:p>
    <w:p>
      <w:pPr>
        <w:ind w:left="2040" w:hanging="490"/>
        <w:spacing w:after="0"/>
        <w:tabs>
          <w:tab w:leader="none" w:pos="20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Covered Shares</w:t>
      </w:r>
      <w:r>
        <w:rPr>
          <w:rFonts w:ascii="Arial" w:cs="Arial" w:eastAsia="Arial" w:hAnsi="Arial"/>
          <w:sz w:val="15"/>
          <w:szCs w:val="15"/>
          <w:color w:val="auto"/>
        </w:rPr>
        <w:t>” means, with respect to any Stockholder at any time, such Stockholder’s Existing Shares and New Shares as of such time.</w:t>
      </w:r>
    </w:p>
    <w:p>
      <w:pPr>
        <w:spacing w:after="0" w:line="246" w:lineRule="exact"/>
        <w:rPr>
          <w:rFonts w:ascii="Arial" w:cs="Arial" w:eastAsia="Arial" w:hAnsi="Arial"/>
          <w:sz w:val="15"/>
          <w:szCs w:val="15"/>
          <w:color w:val="auto"/>
        </w:rPr>
      </w:pPr>
    </w:p>
    <w:p>
      <w:pPr>
        <w:ind w:left="800" w:right="160" w:firstLine="750"/>
        <w:spacing w:after="0" w:line="281"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Shares</w:t>
      </w:r>
      <w:r>
        <w:rPr>
          <w:rFonts w:ascii="Arial" w:cs="Arial" w:eastAsia="Arial" w:hAnsi="Arial"/>
          <w:sz w:val="16"/>
          <w:szCs w:val="16"/>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77" w:lineRule="exact"/>
        <w:rPr>
          <w:rFonts w:ascii="Arial" w:cs="Arial" w:eastAsia="Arial" w:hAnsi="Arial"/>
          <w:sz w:val="16"/>
          <w:szCs w:val="16"/>
          <w:color w:val="auto"/>
        </w:rPr>
      </w:pPr>
    </w:p>
    <w:p>
      <w:pPr>
        <w:ind w:left="800" w:right="280" w:firstLine="750"/>
        <w:spacing w:after="0" w:line="281" w:lineRule="auto"/>
        <w:tabs>
          <w:tab w:leader="none" w:pos="19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Shares</w:t>
      </w:r>
      <w:r>
        <w:rPr>
          <w:rFonts w:ascii="Arial" w:cs="Arial" w:eastAsia="Arial" w:hAnsi="Arial"/>
          <w:sz w:val="16"/>
          <w:szCs w:val="16"/>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77" w:lineRule="exact"/>
        <w:rPr>
          <w:rFonts w:ascii="Arial" w:cs="Arial" w:eastAsia="Arial" w:hAnsi="Arial"/>
          <w:sz w:val="16"/>
          <w:szCs w:val="16"/>
          <w:color w:val="auto"/>
        </w:rPr>
      </w:pPr>
    </w:p>
    <w:p>
      <w:pPr>
        <w:ind w:left="800" w:right="420" w:firstLine="750"/>
        <w:spacing w:after="0" w:line="298"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Shares</w:t>
      </w:r>
      <w:r>
        <w:rPr>
          <w:rFonts w:ascii="Arial" w:cs="Arial" w:eastAsia="Arial" w:hAnsi="Arial"/>
          <w:sz w:val="16"/>
          <w:szCs w:val="16"/>
          <w:color w:val="auto"/>
        </w:rPr>
        <w:t>” means, with respect to any Stockholder, all shares of Parent Stock (other than shares of Parent Class A Special Common Stock) issuable upon exercise of options held by such Stockholder.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hanging="530"/>
        <w:spacing w:after="0"/>
        <w:tabs>
          <w:tab w:leader="none" w:pos="20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234" w:lineRule="exact"/>
        <w:rPr>
          <w:rFonts w:ascii="Arial" w:cs="Arial" w:eastAsia="Arial" w:hAnsi="Arial"/>
          <w:sz w:val="16"/>
          <w:szCs w:val="16"/>
          <w:color w:val="auto"/>
        </w:rPr>
      </w:pPr>
    </w:p>
    <w:p>
      <w:pPr>
        <w:ind w:left="2120" w:hanging="570"/>
        <w:spacing w:after="0"/>
        <w:tabs>
          <w:tab w:leader="none" w:pos="21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w:t>
      </w:r>
      <w:r>
        <w:rPr>
          <w:rFonts w:ascii="Arial" w:cs="Arial" w:eastAsia="Arial" w:hAnsi="Arial"/>
          <w:sz w:val="16"/>
          <w:szCs w:val="16"/>
          <w:color w:val="auto"/>
        </w:rPr>
        <w:t>” means Brian L. Roberts.</w:t>
      </w:r>
    </w:p>
    <w:p>
      <w:pPr>
        <w:spacing w:after="0" w:line="234" w:lineRule="exact"/>
        <w:rPr>
          <w:rFonts w:ascii="Arial" w:cs="Arial" w:eastAsia="Arial" w:hAnsi="Arial"/>
          <w:sz w:val="16"/>
          <w:szCs w:val="16"/>
          <w:color w:val="auto"/>
        </w:rPr>
      </w:pPr>
    </w:p>
    <w:p>
      <w:pPr>
        <w:jc w:val="both"/>
        <w:ind w:left="800" w:firstLine="750"/>
        <w:spacing w:after="0" w:line="275" w:lineRule="auto"/>
        <w:tabs>
          <w:tab w:leader="none" w:pos="20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87"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r>
        <w:rPr>
          <w:rFonts w:ascii="Arial" w:cs="Arial" w:eastAsia="Arial" w:hAnsi="Arial"/>
          <w:sz w:val="13"/>
          <w:szCs w:val="13"/>
          <w:color w:val="auto"/>
        </w:rPr>
        <w:t>OTING</w:t>
      </w:r>
      <w:r>
        <w:rPr>
          <w:rFonts w:ascii="Arial" w:cs="Arial" w:eastAsia="Arial" w:hAnsi="Arial"/>
          <w:sz w:val="16"/>
          <w:szCs w:val="16"/>
          <w:color w:val="auto"/>
        </w:rPr>
        <w:t xml:space="preserve"> A</w:t>
      </w:r>
      <w:r>
        <w:rPr>
          <w:rFonts w:ascii="Arial" w:cs="Arial" w:eastAsia="Arial" w:hAnsi="Arial"/>
          <w:sz w:val="13"/>
          <w:szCs w:val="13"/>
          <w:color w:val="auto"/>
        </w:rPr>
        <w:t>GREEMENT AND</w:t>
      </w:r>
      <w:r>
        <w:rPr>
          <w:rFonts w:ascii="Arial" w:cs="Arial" w:eastAsia="Arial" w:hAnsi="Arial"/>
          <w:sz w:val="16"/>
          <w:szCs w:val="16"/>
          <w:color w:val="auto"/>
        </w:rPr>
        <w:t xml:space="preserve"> I</w:t>
      </w:r>
      <w:r>
        <w:rPr>
          <w:rFonts w:ascii="Arial" w:cs="Arial" w:eastAsia="Arial" w:hAnsi="Arial"/>
          <w:sz w:val="13"/>
          <w:szCs w:val="13"/>
          <w:color w:val="auto"/>
        </w:rPr>
        <w:t>RREVOCABLE</w:t>
      </w:r>
      <w:r>
        <w:rPr>
          <w:rFonts w:ascii="Arial" w:cs="Arial" w:eastAsia="Arial" w:hAnsi="Arial"/>
          <w:sz w:val="16"/>
          <w:szCs w:val="16"/>
          <w:color w:val="auto"/>
        </w:rPr>
        <w:t xml:space="preserve"> P</w:t>
      </w:r>
      <w:r>
        <w:rPr>
          <w:rFonts w:ascii="Arial" w:cs="Arial" w:eastAsia="Arial" w:hAnsi="Arial"/>
          <w:sz w:val="13"/>
          <w:szCs w:val="13"/>
          <w:color w:val="auto"/>
        </w:rPr>
        <w:t>ROXY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Agreement to Vote</w:t>
      </w:r>
      <w:r>
        <w:rPr>
          <w:rFonts w:ascii="Arial" w:cs="Arial" w:eastAsia="Arial" w:hAnsi="Arial"/>
          <w:sz w:val="16"/>
          <w:szCs w:val="16"/>
          <w:color w:val="auto"/>
        </w:rPr>
        <w:t>.</w:t>
      </w:r>
    </w:p>
    <w:p>
      <w:pPr>
        <w:spacing w:after="0" w:line="235" w:lineRule="exact"/>
        <w:rPr>
          <w:sz w:val="20"/>
          <w:szCs w:val="20"/>
          <w:color w:val="auto"/>
        </w:rPr>
      </w:pPr>
    </w:p>
    <w:p>
      <w:pPr>
        <w:ind w:firstLine="807"/>
        <w:spacing w:after="0" w:line="269" w:lineRule="auto"/>
        <w:tabs>
          <w:tab w:leader="none" w:pos="1222"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Written Consent</w:t>
      </w:r>
      <w:r>
        <w:rPr>
          <w:rFonts w:ascii="Arial" w:cs="Arial" w:eastAsia="Arial" w:hAnsi="Arial"/>
          <w:sz w:val="16"/>
          <w:szCs w:val="16"/>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90" w:lineRule="exact"/>
        <w:rPr>
          <w:rFonts w:ascii="Arial" w:cs="Arial" w:eastAsia="Arial" w:hAnsi="Arial"/>
          <w:sz w:val="16"/>
          <w:szCs w:val="16"/>
          <w:color w:val="auto"/>
        </w:rPr>
      </w:pPr>
    </w:p>
    <w:p>
      <w:pPr>
        <w:ind w:right="60" w:firstLine="807"/>
        <w:spacing w:after="0" w:line="273" w:lineRule="auto"/>
        <w:tabs>
          <w:tab w:leader="none" w:pos="123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89" w:lineRule="exact"/>
        <w:rPr>
          <w:rFonts w:ascii="Arial" w:cs="Arial" w:eastAsia="Arial" w:hAnsi="Arial"/>
          <w:sz w:val="16"/>
          <w:szCs w:val="16"/>
          <w:color w:val="auto"/>
        </w:rPr>
      </w:pPr>
    </w:p>
    <w:p>
      <w:pPr>
        <w:ind w:left="800" w:right="620" w:firstLine="750"/>
        <w:spacing w:after="0" w:line="293" w:lineRule="auto"/>
        <w:tabs>
          <w:tab w:leader="none" w:pos="193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in favor of the approval of the Parent Stock Issuance (other than in respect of the separate approval right of the holders of Parent Class B Common Stock that is the subject of Section 2.01(a));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800" w:right="400" w:firstLine="750"/>
        <w:spacing w:after="0" w:line="278" w:lineRule="auto"/>
        <w:tabs>
          <w:tab w:leader="none" w:pos="1984"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84" w:lineRule="exact"/>
        <w:rPr>
          <w:rFonts w:ascii="Arial" w:cs="Arial" w:eastAsia="Arial" w:hAnsi="Arial"/>
          <w:sz w:val="16"/>
          <w:szCs w:val="16"/>
          <w:color w:val="auto"/>
        </w:rPr>
      </w:pPr>
    </w:p>
    <w:p>
      <w:pPr>
        <w:ind w:left="800" w:right="520" w:firstLine="750"/>
        <w:spacing w:after="0" w:line="293" w:lineRule="auto"/>
        <w:tabs>
          <w:tab w:leader="none" w:pos="2029"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against any corporate action the consummation of which would frustrate the purposes of, or prevent or impede the consummation of, the transactions contemplated by the Merger Agreement.</w:t>
      </w:r>
    </w:p>
    <w:p>
      <w:pPr>
        <w:spacing w:after="0" w:line="172" w:lineRule="exact"/>
        <w:rPr>
          <w:rFonts w:ascii="Arial" w:cs="Arial" w:eastAsia="Arial" w:hAnsi="Arial"/>
          <w:sz w:val="16"/>
          <w:szCs w:val="16"/>
          <w:color w:val="auto"/>
        </w:rPr>
      </w:pPr>
    </w:p>
    <w:p>
      <w:pPr>
        <w:ind w:right="220" w:firstLine="807"/>
        <w:spacing w:after="0" w:line="278" w:lineRule="auto"/>
        <w:tabs>
          <w:tab w:leader="none" w:pos="122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Certain Procedural Matters</w:t>
      </w:r>
      <w:r>
        <w:rPr>
          <w:rFonts w:ascii="Arial" w:cs="Arial" w:eastAsia="Arial" w:hAnsi="Arial"/>
          <w:sz w:val="16"/>
          <w:szCs w:val="16"/>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84" w:lineRule="exact"/>
        <w:rPr>
          <w:rFonts w:ascii="Arial" w:cs="Arial" w:eastAsia="Arial" w:hAnsi="Arial"/>
          <w:sz w:val="16"/>
          <w:szCs w:val="16"/>
          <w:color w:val="auto"/>
        </w:rPr>
      </w:pPr>
    </w:p>
    <w:p>
      <w:pPr>
        <w:ind w:right="620" w:firstLine="807"/>
        <w:spacing w:after="0" w:line="278" w:lineRule="auto"/>
        <w:tabs>
          <w:tab w:leader="none" w:pos="1231"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84"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Irrevocable Proxy</w:t>
      </w:r>
      <w:r>
        <w:rPr>
          <w:rFonts w:ascii="Arial" w:cs="Arial" w:eastAsia="Arial" w:hAnsi="Arial"/>
          <w:sz w:val="15"/>
          <w:szCs w:val="15"/>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3</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Each Stockholder represents and warrants to the Company that:</w:t>
      </w:r>
    </w:p>
    <w:p>
      <w:pPr>
        <w:spacing w:after="0" w:line="235"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Organization</w:t>
      </w:r>
      <w:r>
        <w:rPr>
          <w:rFonts w:ascii="Arial" w:cs="Arial" w:eastAsia="Arial" w:hAnsi="Arial"/>
          <w:sz w:val="16"/>
          <w:szCs w:val="16"/>
          <w:color w:val="auto"/>
        </w:rPr>
        <w:t>. Such Stockholder, if it is a corporation, partnership, limited liability company, trust or other entity, is duly organized and validly existing and in good standing under the laws of the jurisdiction of its organization.</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Authorization</w:t>
      </w:r>
      <w:r>
        <w:rPr>
          <w:rFonts w:ascii="Arial" w:cs="Arial" w:eastAsia="Arial" w:hAnsi="Arial"/>
          <w:sz w:val="15"/>
          <w:szCs w:val="15"/>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ind w:right="40" w:firstLine="799"/>
        <w:spacing w:after="0" w:line="283"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No Conflict; Required Filings and Consents</w:t>
      </w:r>
      <w:r>
        <w:rPr>
          <w:rFonts w:ascii="Arial" w:cs="Arial" w:eastAsia="Arial" w:hAnsi="Arial"/>
          <w:sz w:val="15"/>
          <w:szCs w:val="15"/>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w:t>
      </w:r>
    </w:p>
    <w:p>
      <w:pPr>
        <w:spacing w:after="0" w:line="1" w:lineRule="exact"/>
        <w:rPr>
          <w:sz w:val="20"/>
          <w:szCs w:val="20"/>
          <w:color w:val="auto"/>
        </w:rPr>
      </w:pPr>
    </w:p>
    <w:p>
      <w:pPr>
        <w:ind w:left="300" w:hanging="292"/>
        <w:spacing w:after="0"/>
        <w:tabs>
          <w:tab w:leader="none" w:pos="3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require any consent or other action by any person under, constitute a default under, or give rise to</w:t>
      </w:r>
    </w:p>
    <w:p>
      <w:pPr>
        <w:spacing w:after="0" w:line="15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4" w:lineRule="exact"/>
        <w:rPr>
          <w:sz w:val="20"/>
          <w:szCs w:val="20"/>
          <w:color w:val="auto"/>
        </w:rPr>
      </w:pPr>
    </w:p>
    <w:p>
      <w:pPr>
        <w:ind w:firstLine="799"/>
        <w:spacing w:after="0" w:line="289" w:lineRule="auto"/>
        <w:rPr>
          <w:sz w:val="20"/>
          <w:szCs w:val="20"/>
          <w:color w:val="auto"/>
        </w:rPr>
      </w:pPr>
      <w:r>
        <w:rPr>
          <w:rFonts w:ascii="Arial" w:cs="Arial" w:eastAsia="Arial" w:hAnsi="Arial"/>
          <w:sz w:val="15"/>
          <w:szCs w:val="15"/>
          <w:color w:val="auto"/>
        </w:rPr>
        <w:t>Section 3.04</w:t>
      </w:r>
      <w:r>
        <w:rPr>
          <w:rFonts w:ascii="Arial" w:cs="Arial" w:eastAsia="Arial" w:hAnsi="Arial"/>
          <w:sz w:val="15"/>
          <w:szCs w:val="15"/>
          <w:i w:val="1"/>
          <w:iCs w:val="1"/>
          <w:color w:val="auto"/>
        </w:rPr>
        <w:t>. Ownership of Shares</w:t>
      </w:r>
      <w:r>
        <w:rPr>
          <w:rFonts w:ascii="Arial" w:cs="Arial" w:eastAsia="Arial" w:hAnsi="Arial"/>
          <w:sz w:val="15"/>
          <w:szCs w:val="15"/>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80" w:lineRule="exact"/>
        <w:rPr>
          <w:sz w:val="20"/>
          <w:szCs w:val="20"/>
          <w:color w:val="auto"/>
        </w:rPr>
      </w:pPr>
    </w:p>
    <w:p>
      <w:pPr>
        <w:ind w:right="120" w:firstLine="799"/>
        <w:spacing w:after="0" w:line="305"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Total Shares</w:t>
      </w:r>
      <w:r>
        <w:rPr>
          <w:rFonts w:ascii="Arial" w:cs="Arial" w:eastAsia="Arial" w:hAnsi="Arial"/>
          <w:sz w:val="15"/>
          <w:szCs w:val="15"/>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66"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Opportunity to Review; Reliance</w:t>
      </w:r>
      <w:r>
        <w:rPr>
          <w:rFonts w:ascii="Arial" w:cs="Arial" w:eastAsia="Arial" w:hAnsi="Arial"/>
          <w:sz w:val="16"/>
          <w:szCs w:val="16"/>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4</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represents and warrants to each Stockholder that:</w:t>
      </w:r>
    </w:p>
    <w:p>
      <w:pPr>
        <w:spacing w:after="0" w:line="235"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Authorization</w:t>
      </w:r>
      <w:r>
        <w:rPr>
          <w:rFonts w:ascii="Arial" w:cs="Arial" w:eastAsia="Arial" w:hAnsi="Arial"/>
          <w:sz w:val="16"/>
          <w:szCs w:val="16"/>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9" w:lineRule="exact"/>
        <w:rPr>
          <w:sz w:val="20"/>
          <w:szCs w:val="20"/>
          <w:color w:val="auto"/>
        </w:rPr>
      </w:pPr>
    </w:p>
    <w:p>
      <w:pPr>
        <w:ind w:firstLine="799"/>
        <w:spacing w:after="0" w:line="269"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No Conflict; Required Filings and Consents</w:t>
      </w:r>
      <w:r>
        <w:rPr>
          <w:rFonts w:ascii="Arial" w:cs="Arial" w:eastAsia="Arial" w:hAnsi="Arial"/>
          <w:sz w:val="16"/>
          <w:szCs w:val="16"/>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60" w:right="2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w:t>
      </w:r>
      <w:r>
        <w:rPr>
          <w:rFonts w:ascii="Arial" w:cs="Arial" w:eastAsia="Arial" w:hAnsi="Arial"/>
          <w:sz w:val="13"/>
          <w:szCs w:val="13"/>
          <w:color w:val="auto"/>
        </w:rPr>
        <w:t>OVENANTS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right="20" w:firstLine="799"/>
        <w:spacing w:after="0" w:line="291" w:lineRule="auto"/>
        <w:rPr>
          <w:sz w:val="20"/>
          <w:szCs w:val="20"/>
          <w:color w:val="auto"/>
        </w:rPr>
      </w:pPr>
      <w:r>
        <w:rPr>
          <w:rFonts w:ascii="Arial" w:cs="Arial" w:eastAsia="Arial" w:hAnsi="Arial"/>
          <w:sz w:val="15"/>
          <w:szCs w:val="15"/>
          <w:color w:val="auto"/>
        </w:rPr>
        <w:t>Section 5.01</w:t>
      </w:r>
      <w:r>
        <w:rPr>
          <w:rFonts w:ascii="Arial" w:cs="Arial" w:eastAsia="Arial" w:hAnsi="Arial"/>
          <w:sz w:val="15"/>
          <w:szCs w:val="15"/>
          <w:i w:val="1"/>
          <w:iCs w:val="1"/>
          <w:color w:val="auto"/>
        </w:rPr>
        <w:t>. Restrictions on Transfer</w:t>
      </w:r>
      <w:r>
        <w:rPr>
          <w:rFonts w:ascii="Arial" w:cs="Arial" w:eastAsia="Arial" w:hAnsi="Arial"/>
          <w:sz w:val="15"/>
          <w:szCs w:val="15"/>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5"/>
          <w:szCs w:val="15"/>
          <w:b w:val="1"/>
          <w:bCs w:val="1"/>
          <w:color w:val="auto"/>
        </w:rPr>
        <w:t>Transfer</w:t>
      </w:r>
      <w:r>
        <w:rPr>
          <w:rFonts w:ascii="Arial" w:cs="Arial" w:eastAsia="Arial" w:hAnsi="Arial"/>
          <w:sz w:val="15"/>
          <w:szCs w:val="15"/>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77" w:lineRule="exact"/>
        <w:rPr>
          <w:sz w:val="20"/>
          <w:szCs w:val="20"/>
          <w:color w:val="auto"/>
        </w:rPr>
      </w:pPr>
    </w:p>
    <w:p>
      <w:pPr>
        <w:ind w:right="20" w:firstLine="807"/>
        <w:spacing w:after="0" w:line="269" w:lineRule="auto"/>
        <w:tabs>
          <w:tab w:leader="none" w:pos="1231" w:val="left"/>
        </w:tabs>
        <w:numPr>
          <w:ilvl w:val="0"/>
          <w:numId w:val="354"/>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191" w:lineRule="exact"/>
        <w:rPr>
          <w:sz w:val="20"/>
          <w:szCs w:val="20"/>
          <w:color w:val="auto"/>
        </w:rPr>
      </w:pPr>
    </w:p>
    <w:p>
      <w:pPr>
        <w:jc w:val="both"/>
        <w:ind w:right="100" w:firstLine="799"/>
        <w:spacing w:after="0" w:line="27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No Conversion</w:t>
      </w:r>
      <w:r>
        <w:rPr>
          <w:rFonts w:ascii="Arial" w:cs="Arial" w:eastAsia="Arial" w:hAnsi="Arial"/>
          <w:sz w:val="16"/>
          <w:szCs w:val="16"/>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84" w:lineRule="exact"/>
        <w:rPr>
          <w:sz w:val="20"/>
          <w:szCs w:val="20"/>
          <w:color w:val="auto"/>
        </w:rPr>
      </w:pPr>
    </w:p>
    <w:p>
      <w:pPr>
        <w:ind w:right="20" w:firstLine="799"/>
        <w:spacing w:after="0" w:line="27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No Proxies</w:t>
      </w:r>
      <w:r>
        <w:rPr>
          <w:rFonts w:ascii="Arial" w:cs="Arial" w:eastAsia="Arial" w:hAnsi="Arial"/>
          <w:sz w:val="16"/>
          <w:szCs w:val="16"/>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6</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ERMINATION</w:t>
      </w:r>
    </w:p>
    <w:p>
      <w:pPr>
        <w:spacing w:after="0" w:line="231" w:lineRule="exact"/>
        <w:rPr>
          <w:sz w:val="20"/>
          <w:szCs w:val="20"/>
          <w:color w:val="auto"/>
        </w:rPr>
      </w:pPr>
    </w:p>
    <w:p>
      <w:pPr>
        <w:ind w:firstLine="799"/>
        <w:spacing w:after="0" w:line="303" w:lineRule="auto"/>
        <w:rPr>
          <w:sz w:val="20"/>
          <w:szCs w:val="20"/>
          <w:color w:val="auto"/>
        </w:rPr>
      </w:pPr>
      <w:r>
        <w:rPr>
          <w:rFonts w:ascii="Arial" w:cs="Arial" w:eastAsia="Arial" w:hAnsi="Arial"/>
          <w:sz w:val="14"/>
          <w:szCs w:val="14"/>
          <w:color w:val="auto"/>
        </w:rPr>
        <w:t>Section 6.01</w:t>
      </w:r>
      <w:r>
        <w:rPr>
          <w:rFonts w:ascii="Arial" w:cs="Arial" w:eastAsia="Arial" w:hAnsi="Arial"/>
          <w:sz w:val="14"/>
          <w:szCs w:val="14"/>
          <w:i w:val="1"/>
          <w:iCs w:val="1"/>
          <w:color w:val="auto"/>
        </w:rPr>
        <w:t>. Termination</w:t>
      </w:r>
      <w:r>
        <w:rPr>
          <w:rFonts w:ascii="Arial" w:cs="Arial" w:eastAsia="Arial" w:hAnsi="Arial"/>
          <w:sz w:val="14"/>
          <w:szCs w:val="14"/>
          <w:color w:val="auto"/>
        </w:rPr>
        <w:t>.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w:t>
      </w:r>
    </w:p>
    <w:p>
      <w:pPr>
        <w:spacing w:after="0" w:line="2" w:lineRule="exact"/>
        <w:rPr>
          <w:sz w:val="20"/>
          <w:szCs w:val="20"/>
          <w:color w:val="auto"/>
        </w:rPr>
      </w:pPr>
    </w:p>
    <w:p>
      <w:pPr>
        <w:ind w:right="40" w:firstLine="8"/>
        <w:spacing w:after="0" w:line="290" w:lineRule="auto"/>
        <w:tabs>
          <w:tab w:leader="none" w:pos="26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59" w:right="2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ISCELLANEOUS</w:t>
      </w:r>
    </w:p>
    <w:p>
      <w:pPr>
        <w:spacing w:after="0" w:line="231" w:lineRule="exact"/>
        <w:rPr>
          <w:sz w:val="20"/>
          <w:szCs w:val="20"/>
          <w:color w:val="auto"/>
        </w:rPr>
      </w:pPr>
    </w:p>
    <w:p>
      <w:pPr>
        <w:ind w:right="20" w:firstLine="799"/>
        <w:spacing w:after="0" w:line="329"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Further Assurances</w:t>
      </w:r>
      <w:r>
        <w:rPr>
          <w:rFonts w:ascii="Arial" w:cs="Arial" w:eastAsia="Arial" w:hAnsi="Arial"/>
          <w:sz w:val="15"/>
          <w:szCs w:val="15"/>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148"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Notices.</w:t>
      </w:r>
      <w:r>
        <w:rPr>
          <w:rFonts w:ascii="Arial" w:cs="Arial" w:eastAsia="Arial" w:hAnsi="Arial"/>
          <w:sz w:val="16"/>
          <w:szCs w:val="16"/>
          <w:color w:val="auto"/>
        </w:rPr>
        <w:t xml:space="preserve"> All notices, requests and other communications to any party hereunder shall be in writing (including facsimile transmission) and shall be given, if to the Company, to:</w:t>
      </w:r>
    </w:p>
    <w:p>
      <w:pPr>
        <w:spacing w:after="0" w:line="17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364-8459</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with a copy to:</w:t>
      </w:r>
    </w:p>
    <w:p>
      <w:pPr>
        <w:spacing w:after="0" w:line="23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Robert B. Schumer</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757-3990</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to a Stockholder, to such Stockholder and its counsel at their respective addresses or facsimile numbers set forth on the applicable signature page hereof,</w:t>
      </w:r>
    </w:p>
    <w:p>
      <w:pPr>
        <w:spacing w:after="0" w:line="24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Covered Shares Held in Trust</w:t>
      </w:r>
      <w:r>
        <w:rPr>
          <w:rFonts w:ascii="Arial" w:cs="Arial" w:eastAsia="Arial" w:hAnsi="Arial"/>
          <w:sz w:val="16"/>
          <w:szCs w:val="16"/>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89" w:lineRule="exact"/>
        <w:rPr>
          <w:sz w:val="20"/>
          <w:szCs w:val="20"/>
          <w:color w:val="auto"/>
        </w:rPr>
      </w:pPr>
    </w:p>
    <w:p>
      <w:pPr>
        <w:jc w:val="both"/>
        <w:ind w:right="320" w:firstLine="799"/>
        <w:spacing w:after="0" w:line="278"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Amendments and Waivers</w:t>
      </w:r>
      <w:r>
        <w:rPr>
          <w:rFonts w:ascii="Arial" w:cs="Arial" w:eastAsia="Arial" w:hAnsi="Arial"/>
          <w:sz w:val="16"/>
          <w:szCs w:val="16"/>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84" w:lineRule="exact"/>
        <w:rPr>
          <w:sz w:val="20"/>
          <w:szCs w:val="20"/>
          <w:color w:val="auto"/>
        </w:rPr>
      </w:pPr>
    </w:p>
    <w:p>
      <w:pPr>
        <w:jc w:val="both"/>
        <w:ind w:firstLine="807"/>
        <w:spacing w:after="0" w:line="278" w:lineRule="auto"/>
        <w:tabs>
          <w:tab w:leader="none" w:pos="123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4"/>
          <w:szCs w:val="14"/>
          <w:i w:val="1"/>
          <w:iCs w:val="1"/>
          <w:color w:val="auto"/>
        </w:rPr>
        <w:t>Documentation and Information</w:t>
      </w:r>
      <w:r>
        <w:rPr>
          <w:rFonts w:ascii="Arial" w:cs="Arial" w:eastAsia="Arial" w:hAnsi="Arial"/>
          <w:sz w:val="14"/>
          <w:szCs w:val="14"/>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reasonable opportunity to review and comment on such publications or disclosure prior to their being made public, and the Company shall consider in good faith all comments of such Stockholder in connection therewith.</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7.06</w:t>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 expense.</w:t>
      </w:r>
    </w:p>
    <w:p>
      <w:pPr>
        <w:spacing w:after="0" w:line="235" w:lineRule="exact"/>
        <w:rPr>
          <w:sz w:val="20"/>
          <w:szCs w:val="20"/>
          <w:color w:val="auto"/>
        </w:rPr>
      </w:pPr>
    </w:p>
    <w:p>
      <w:pPr>
        <w:ind w:right="240" w:firstLine="799"/>
        <w:spacing w:after="0" w:line="293" w:lineRule="auto"/>
        <w:rPr>
          <w:sz w:val="20"/>
          <w:szCs w:val="20"/>
          <w:color w:val="auto"/>
        </w:rPr>
      </w:pPr>
      <w:r>
        <w:rPr>
          <w:rFonts w:ascii="Arial" w:cs="Arial" w:eastAsia="Arial" w:hAnsi="Arial"/>
          <w:sz w:val="16"/>
          <w:szCs w:val="16"/>
          <w:color w:val="auto"/>
        </w:rPr>
        <w:t>Section 7.07</w:t>
      </w:r>
      <w:r>
        <w:rPr>
          <w:rFonts w:ascii="Arial" w:cs="Arial" w:eastAsia="Arial" w:hAnsi="Arial"/>
          <w:sz w:val="16"/>
          <w:szCs w:val="16"/>
          <w:i w:val="1"/>
          <w:iCs w:val="1"/>
          <w:color w:val="auto"/>
        </w:rPr>
        <w:t>. Other Capacities.</w:t>
      </w:r>
      <w:r>
        <w:rPr>
          <w:rFonts w:ascii="Arial" w:cs="Arial" w:eastAsia="Arial" w:hAnsi="Arial"/>
          <w:sz w:val="16"/>
          <w:szCs w:val="16"/>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72" w:lineRule="exact"/>
        <w:rPr>
          <w:sz w:val="20"/>
          <w:szCs w:val="20"/>
          <w:color w:val="auto"/>
        </w:rPr>
      </w:pPr>
    </w:p>
    <w:p>
      <w:pPr>
        <w:ind w:right="260" w:firstLine="799"/>
        <w:spacing w:after="0" w:line="369" w:lineRule="auto"/>
        <w:rPr>
          <w:sz w:val="20"/>
          <w:szCs w:val="20"/>
          <w:color w:val="auto"/>
        </w:rPr>
      </w:pPr>
      <w:r>
        <w:rPr>
          <w:rFonts w:ascii="Arial" w:cs="Arial" w:eastAsia="Arial" w:hAnsi="Arial"/>
          <w:sz w:val="14"/>
          <w:szCs w:val="14"/>
          <w:color w:val="auto"/>
        </w:rPr>
        <w:t xml:space="preserve">Section 7.08. </w:t>
      </w:r>
      <w:r>
        <w:rPr>
          <w:rFonts w:ascii="Arial" w:cs="Arial" w:eastAsia="Arial" w:hAnsi="Arial"/>
          <w:sz w:val="14"/>
          <w:szCs w:val="14"/>
          <w:i w:val="1"/>
          <w:iCs w:val="1"/>
          <w:color w:val="auto"/>
        </w:rPr>
        <w:t>Entire Agreement</w:t>
      </w:r>
      <w:r>
        <w:rPr>
          <w:rFonts w:ascii="Arial" w:cs="Arial" w:eastAsia="Arial" w:hAnsi="Arial"/>
          <w:sz w:val="14"/>
          <w:szCs w:val="14"/>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26" w:lineRule="exact"/>
        <w:rPr>
          <w:sz w:val="20"/>
          <w:szCs w:val="20"/>
          <w:color w:val="auto"/>
        </w:rPr>
      </w:pPr>
    </w:p>
    <w:p>
      <w:pPr>
        <w:ind w:right="200" w:firstLine="799"/>
        <w:spacing w:after="0" w:line="278" w:lineRule="auto"/>
        <w:rPr>
          <w:sz w:val="20"/>
          <w:szCs w:val="20"/>
          <w:color w:val="auto"/>
        </w:rPr>
      </w:pPr>
      <w:r>
        <w:rPr>
          <w:rFonts w:ascii="Arial" w:cs="Arial" w:eastAsia="Arial" w:hAnsi="Arial"/>
          <w:sz w:val="16"/>
          <w:szCs w:val="16"/>
          <w:color w:val="auto"/>
        </w:rPr>
        <w:t>Section 7.09</w:t>
      </w:r>
      <w:r>
        <w:rPr>
          <w:rFonts w:ascii="Arial" w:cs="Arial" w:eastAsia="Arial" w:hAnsi="Arial"/>
          <w:sz w:val="16"/>
          <w:szCs w:val="16"/>
          <w:i w:val="1"/>
          <w:iCs w:val="1"/>
          <w:color w:val="auto"/>
        </w:rPr>
        <w:t>. 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5.01(b), no party may assign, delegate or otherwise transfer any of its rights or obligations under this Agreement without the consent of the other parties hereto.</w:t>
      </w:r>
    </w:p>
    <w:p>
      <w:pPr>
        <w:spacing w:after="0" w:line="184"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Governing Law</w:t>
      </w:r>
      <w:r>
        <w:rPr>
          <w:rFonts w:ascii="Arial" w:cs="Arial" w:eastAsia="Arial" w:hAnsi="Arial"/>
          <w:sz w:val="16"/>
          <w:szCs w:val="16"/>
          <w:color w:val="auto"/>
        </w:rPr>
        <w:t>.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right="60" w:firstLine="799"/>
        <w:spacing w:after="0" w:line="297" w:lineRule="auto"/>
        <w:rPr>
          <w:sz w:val="20"/>
          <w:szCs w:val="20"/>
          <w:color w:val="auto"/>
        </w:rPr>
      </w:pPr>
      <w:r>
        <w:rPr>
          <w:rFonts w:ascii="Arial" w:cs="Arial" w:eastAsia="Arial" w:hAnsi="Arial"/>
          <w:sz w:val="15"/>
          <w:szCs w:val="15"/>
          <w:color w:val="auto"/>
        </w:rPr>
        <w:t>Section 7.11</w:t>
      </w:r>
      <w:r>
        <w:rPr>
          <w:rFonts w:ascii="Arial" w:cs="Arial" w:eastAsia="Arial" w:hAnsi="Arial"/>
          <w:sz w:val="15"/>
          <w:szCs w:val="15"/>
          <w:i w:val="1"/>
          <w:iCs w:val="1"/>
          <w:color w:val="auto"/>
        </w:rPr>
        <w:t>. Counterparts; Effectiveness</w:t>
      </w:r>
      <w:r>
        <w:rPr>
          <w:rFonts w:ascii="Arial" w:cs="Arial" w:eastAsia="Arial" w:hAnsi="Arial"/>
          <w:sz w:val="15"/>
          <w:szCs w:val="15"/>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73"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Severability</w:t>
      </w:r>
      <w:r>
        <w:rPr>
          <w:rFonts w:ascii="Arial" w:cs="Arial" w:eastAsia="Arial" w:hAnsi="Arial"/>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7.13. </w:t>
      </w:r>
      <w:r>
        <w:rPr>
          <w:rFonts w:ascii="Arial" w:cs="Arial" w:eastAsia="Arial" w:hAnsi="Arial"/>
          <w:sz w:val="15"/>
          <w:szCs w:val="15"/>
          <w:i w:val="1"/>
          <w:iCs w:val="1"/>
          <w:color w:val="auto"/>
        </w:rPr>
        <w:t>Jurisdiction</w:t>
      </w:r>
      <w:r>
        <w:rPr>
          <w:rFonts w:ascii="Arial" w:cs="Arial" w:eastAsia="Arial" w:hAnsi="Arial"/>
          <w:sz w:val="15"/>
          <w:szCs w:val="15"/>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81"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right="400" w:firstLine="799"/>
        <w:spacing w:after="0" w:line="27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provisions hereof in any federal court located in the State of Delaware or any Delaware state court, in addition to any other remedy to which they are entitled at law or in equity.</w:t>
      </w:r>
    </w:p>
    <w:p>
      <w:pPr>
        <w:spacing w:after="0" w:line="172"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4"/>
          <w:szCs w:val="14"/>
          <w:color w:val="auto"/>
        </w:rPr>
        <w:t>Section 7.16</w:t>
      </w:r>
      <w:r>
        <w:rPr>
          <w:rFonts w:ascii="Arial" w:cs="Arial" w:eastAsia="Arial" w:hAnsi="Arial"/>
          <w:sz w:val="14"/>
          <w:szCs w:val="14"/>
          <w:i w:val="1"/>
          <w:iCs w:val="1"/>
          <w:color w:val="auto"/>
        </w:rPr>
        <w:t>. No Ownership Interest.</w:t>
      </w:r>
      <w:r>
        <w:rPr>
          <w:rFonts w:ascii="Arial" w:cs="Arial" w:eastAsia="Arial" w:hAnsi="Arial"/>
          <w:sz w:val="14"/>
          <w:szCs w:val="14"/>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80"/>
          </w:cols>
          <w:pgMar w:left="240" w:top="459" w:right="3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above written.</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2" w:lineRule="exact"/>
        <w:rPr>
          <w:sz w:val="20"/>
          <w:szCs w:val="20"/>
          <w:color w:val="auto"/>
        </w:rPr>
      </w:pPr>
    </w:p>
    <w:tbl>
      <w:tblPr>
        <w:tblLayout w:type="fixed"/>
        <w:tblInd w:w="7200" w:type="dxa"/>
        <w:tblCellMar>
          <w:top w:w="0" w:type="dxa"/>
          <w:left w:w="0" w:type="dxa"/>
          <w:bottom w:w="0" w:type="dxa"/>
          <w:right w:w="0" w:type="dxa"/>
        </w:tblCellMar>
      </w:tblPr>
      <w:tr>
        <w:trPr>
          <w:trHeight w:val="206"/>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6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Arthur T. Minson, Jr.</w:t>
            </w:r>
          </w:p>
        </w:tc>
      </w:tr>
      <w:tr>
        <w:trPr>
          <w:trHeight w:val="203"/>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620" w:type="dxa"/>
            <w:vAlign w:val="bottom"/>
          </w:tcPr>
          <w:p>
            <w:pPr>
              <w:ind w:left="160"/>
              <w:spacing w:after="0"/>
              <w:rPr>
                <w:sz w:val="20"/>
                <w:szCs w:val="20"/>
                <w:color w:val="auto"/>
              </w:rPr>
            </w:pPr>
            <w:r>
              <w:rPr>
                <w:rFonts w:ascii="Arial" w:cs="Arial" w:eastAsia="Arial" w:hAnsi="Arial"/>
                <w:sz w:val="16"/>
                <w:szCs w:val="16"/>
                <w:color w:val="auto"/>
              </w:rPr>
              <w:t>Executive Vice President</w:t>
            </w:r>
          </w:p>
        </w:tc>
      </w:tr>
      <w:tr>
        <w:trPr>
          <w:trHeight w:val="206"/>
        </w:trPr>
        <w:tc>
          <w:tcPr>
            <w:tcW w:w="600" w:type="dxa"/>
            <w:vAlign w:val="bottom"/>
          </w:tcPr>
          <w:p>
            <w:pPr>
              <w:spacing w:after="0"/>
              <w:rPr>
                <w:sz w:val="17"/>
                <w:szCs w:val="17"/>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and Chief Financial Officer</w:t>
            </w:r>
          </w:p>
        </w:tc>
      </w:tr>
    </w:tbl>
    <w:p>
      <w:pPr>
        <w:spacing w:after="0" w:line="3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Brian L. Roberts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Comcast Corporation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Philadelphia, PA 19103</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BRCC Holdings LLC</w:t>
      </w:r>
    </w:p>
    <w:p>
      <w:pPr>
        <w:spacing w:after="0" w:line="200" w:lineRule="exact"/>
        <w:rPr>
          <w:sz w:val="20"/>
          <w:szCs w:val="20"/>
          <w:color w:val="auto"/>
        </w:rPr>
      </w:pPr>
    </w:p>
    <w:p>
      <w:pPr>
        <w:spacing w:after="0" w:line="251"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Manager</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1105 North Market Street</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1300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P.O. Box 8985</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Wilmington, DE 19807</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Irrevocable Deed of Trust of Brian L.</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Roberts for Children and Other Issue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dated June 10, 1998</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General Trustee</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Christiana Trust, Trustee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3801 Kennett Pike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C200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Voting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Irrevocable Deed of Trust of Ralph J.</w:t>
      </w:r>
    </w:p>
    <w:p>
      <w:pPr>
        <w:spacing w:after="0" w:line="3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Roberts for Brian L. Roberts and Other</w:t>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Beneficiaries dated May 11, 1993</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339"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231" w:lineRule="exact"/>
        <w:rPr>
          <w:sz w:val="20"/>
          <w:szCs w:val="20"/>
          <w:color w:val="auto"/>
        </w:rPr>
      </w:pPr>
    </w:p>
    <w:p>
      <w:pPr>
        <w:ind w:left="690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c/o Sheldon M. Bonovitz, Trustee</w:t>
      </w:r>
    </w:p>
    <w:p>
      <w:pPr>
        <w:spacing w:after="0" w:line="1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Duane Morris LLP</w:t>
      </w:r>
    </w:p>
    <w:p>
      <w:pPr>
        <w:ind w:left="6900"/>
        <w:spacing w:after="0" w:line="185" w:lineRule="auto"/>
        <w:rPr>
          <w:sz w:val="20"/>
          <w:szCs w:val="20"/>
          <w:color w:val="auto"/>
        </w:rPr>
      </w:pPr>
      <w:r>
        <w:rPr>
          <w:rFonts w:ascii="Arial" w:cs="Arial" w:eastAsia="Arial" w:hAnsi="Arial"/>
          <w:sz w:val="16"/>
          <w:szCs w:val="16"/>
          <w:color w:val="auto"/>
        </w:rPr>
        <w:t>30 South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80"/>
        <w:spacing w:after="0"/>
        <w:rPr>
          <w:sz w:val="20"/>
          <w:szCs w:val="20"/>
          <w:color w:val="auto"/>
        </w:rPr>
      </w:pPr>
      <w:r>
        <w:rPr>
          <w:rFonts w:ascii="Arial" w:cs="Arial" w:eastAsia="Arial" w:hAnsi="Arial"/>
          <w:sz w:val="16"/>
          <w:szCs w:val="16"/>
          <w:i w:val="1"/>
          <w:iCs w:val="1"/>
          <w:color w:val="auto"/>
        </w:rPr>
        <w:t>[Signature Page to Voting Agreement]</w:t>
      </w:r>
    </w:p>
    <w:p>
      <w:pPr>
        <w:sectPr>
          <w:pgSz w:w="11900" w:h="16838" w:orient="portrait"/>
          <w:cols w:equalWidth="0" w:num="1">
            <w:col w:w="10219"/>
          </w:cols>
          <w:pgMar w:left="240" w:top="459" w:right="1440" w:bottom="1440" w:gutter="0" w:footer="0" w:header="0"/>
        </w:sectPr>
      </w:pPr>
    </w:p>
    <w:p>
      <w:pPr>
        <w:spacing w:after="0" w:line="1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0219"/>
          </w:cols>
          <w:pgMar w:left="240" w:top="459" w:right="1440" w:bottom="1440" w:gutter="0" w:footer="0" w:header="0"/>
          <w:type w:val="continuous"/>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ALLEN &amp; COMPANY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We understand that Time Warner Cable Inc., a Delaware corporation (“</w:t>
      </w:r>
      <w:r>
        <w:rPr>
          <w:rFonts w:ascii="Arial" w:cs="Arial" w:eastAsia="Arial" w:hAnsi="Arial"/>
          <w:sz w:val="16"/>
          <w:szCs w:val="16"/>
          <w:u w:val="single" w:color="auto"/>
          <w:color w:val="auto"/>
        </w:rPr>
        <w:t>TWC</w:t>
      </w:r>
      <w:r>
        <w:rPr>
          <w:rFonts w:ascii="Arial" w:cs="Arial" w:eastAsia="Arial" w:hAnsi="Arial"/>
          <w:sz w:val="16"/>
          <w:szCs w:val="16"/>
          <w:color w:val="auto"/>
        </w:rPr>
        <w:t>”), Comcast Corporation, a Pennsylvania corporation (“</w:t>
      </w:r>
      <w:r>
        <w:rPr>
          <w:rFonts w:ascii="Arial" w:cs="Arial" w:eastAsia="Arial" w:hAnsi="Arial"/>
          <w:sz w:val="16"/>
          <w:szCs w:val="16"/>
          <w:u w:val="single" w:color="auto"/>
          <w:color w:val="auto"/>
        </w:rPr>
        <w:t>Comcast</w:t>
      </w:r>
      <w:r>
        <w:rPr>
          <w:rFonts w:ascii="Arial" w:cs="Arial" w:eastAsia="Arial" w:hAnsi="Arial"/>
          <w:sz w:val="16"/>
          <w:szCs w:val="16"/>
          <w:color w:val="auto"/>
        </w:rPr>
        <w:t>”), and Tango Acquisition Sub, Inc., a Delaware corporation and wholly owned subsidiary of Comcast (“Merger Sub”), propose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pursuant to which (i) Merger Sub will be merged with and into TWC (the “</w:t>
      </w:r>
      <w:r>
        <w:rPr>
          <w:rFonts w:ascii="Arial" w:cs="Arial" w:eastAsia="Arial" w:hAnsi="Arial"/>
          <w:sz w:val="16"/>
          <w:szCs w:val="16"/>
          <w:u w:val="single" w:color="auto"/>
          <w:color w:val="auto"/>
        </w:rPr>
        <w:t>Merger</w:t>
      </w:r>
      <w:r>
        <w:rPr>
          <w:rFonts w:ascii="Arial" w:cs="Arial" w:eastAsia="Arial" w:hAnsi="Arial"/>
          <w:sz w:val="16"/>
          <w:szCs w:val="16"/>
          <w:color w:val="auto"/>
        </w:rPr>
        <w:t>”) and (ii) each outstanding share of the common stock, par value $0.01 per share, of TWC (“</w:t>
      </w:r>
      <w:r>
        <w:rPr>
          <w:rFonts w:ascii="Arial" w:cs="Arial" w:eastAsia="Arial" w:hAnsi="Arial"/>
          <w:sz w:val="16"/>
          <w:szCs w:val="16"/>
          <w:u w:val="single" w:color="auto"/>
          <w:color w:val="auto"/>
        </w:rPr>
        <w:t>TWC Common Stock</w:t>
      </w:r>
      <w:r>
        <w:rPr>
          <w:rFonts w:ascii="Arial" w:cs="Arial" w:eastAsia="Arial" w:hAnsi="Arial"/>
          <w:sz w:val="16"/>
          <w:szCs w:val="16"/>
          <w:color w:val="auto"/>
        </w:rPr>
        <w:t>”) will be converted into the right to receive 2.8750 (the “</w:t>
      </w:r>
      <w:r>
        <w:rPr>
          <w:rFonts w:ascii="Arial" w:cs="Arial" w:eastAsia="Arial" w:hAnsi="Arial"/>
          <w:sz w:val="16"/>
          <w:szCs w:val="16"/>
          <w:u w:val="single" w:color="auto"/>
          <w:color w:val="auto"/>
        </w:rPr>
        <w:t>Exchange Ratio</w:t>
      </w:r>
      <w:r>
        <w:rPr>
          <w:rFonts w:ascii="Arial" w:cs="Arial" w:eastAsia="Arial" w:hAnsi="Arial"/>
          <w:sz w:val="16"/>
          <w:szCs w:val="16"/>
          <w:color w:val="auto"/>
        </w:rPr>
        <w:t>”) shares of Class A common stock, par value $0.01 per share, of Comcast (“</w:t>
      </w:r>
      <w:r>
        <w:rPr>
          <w:rFonts w:ascii="Arial" w:cs="Arial" w:eastAsia="Arial" w:hAnsi="Arial"/>
          <w:sz w:val="16"/>
          <w:szCs w:val="16"/>
          <w:u w:val="single" w:color="auto"/>
          <w:color w:val="auto"/>
        </w:rPr>
        <w:t>Comcast Class A Common Stock</w:t>
      </w:r>
      <w:r>
        <w:rPr>
          <w:rFonts w:ascii="Arial" w:cs="Arial" w:eastAsia="Arial" w:hAnsi="Arial"/>
          <w:sz w:val="16"/>
          <w:szCs w:val="16"/>
          <w:color w:val="auto"/>
        </w:rPr>
        <w:t>”).</w:t>
      </w:r>
    </w:p>
    <w:p>
      <w:pPr>
        <w:spacing w:after="0" w:line="190" w:lineRule="exact"/>
        <w:rPr>
          <w:sz w:val="20"/>
          <w:szCs w:val="20"/>
          <w:color w:val="auto"/>
        </w:rPr>
      </w:pPr>
    </w:p>
    <w:p>
      <w:pPr>
        <w:ind w:right="140" w:firstLine="799"/>
        <w:spacing w:after="0" w:line="318" w:lineRule="auto"/>
        <w:rPr>
          <w:sz w:val="20"/>
          <w:szCs w:val="20"/>
          <w:color w:val="auto"/>
        </w:rPr>
      </w:pPr>
      <w:r>
        <w:rPr>
          <w:rFonts w:ascii="Arial" w:cs="Arial" w:eastAsia="Arial" w:hAnsi="Arial"/>
          <w:sz w:val="14"/>
          <w:szCs w:val="14"/>
          <w:color w:val="auto"/>
        </w:rPr>
        <w:t>As you know, Allen &amp; Company LLC (“</w:t>
      </w:r>
      <w:r>
        <w:rPr>
          <w:rFonts w:ascii="Arial" w:cs="Arial" w:eastAsia="Arial" w:hAnsi="Arial"/>
          <w:sz w:val="14"/>
          <w:szCs w:val="14"/>
          <w:u w:val="single" w:color="auto"/>
          <w:color w:val="auto"/>
        </w:rPr>
        <w:t>Allen</w:t>
      </w:r>
      <w:r>
        <w:rPr>
          <w:rFonts w:ascii="Arial" w:cs="Arial" w:eastAsia="Arial" w:hAnsi="Arial"/>
          <w:sz w:val="14"/>
          <w:szCs w:val="14"/>
          <w:color w:val="auto"/>
        </w:rPr>
        <w:t>”) has acted as financial advisor to TWC in connection with the proposed Merger and has been asked to render an opinion to the Board of Directors of TWC (the “</w:t>
      </w:r>
      <w:r>
        <w:rPr>
          <w:rFonts w:ascii="Arial" w:cs="Arial" w:eastAsia="Arial" w:hAnsi="Arial"/>
          <w:sz w:val="14"/>
          <w:szCs w:val="14"/>
          <w:u w:val="single" w:color="auto"/>
          <w:color w:val="auto"/>
        </w:rPr>
        <w:t>Board</w:t>
      </w:r>
      <w:r>
        <w:rPr>
          <w:rFonts w:ascii="Arial" w:cs="Arial" w:eastAsia="Arial" w:hAnsi="Arial"/>
          <w:sz w:val="14"/>
          <w:szCs w:val="14"/>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4"/>
          <w:szCs w:val="14"/>
          <w:u w:val="single" w:color="auto"/>
          <w:color w:val="auto"/>
        </w:rPr>
        <w:t>Transaction Fee</w:t>
      </w:r>
      <w:r>
        <w:rPr>
          <w:rFonts w:ascii="Arial" w:cs="Arial" w:eastAsia="Arial" w:hAnsi="Arial"/>
          <w:sz w:val="14"/>
          <w:szCs w:val="14"/>
          <w:color w:val="auto"/>
        </w:rPr>
        <w:t>”) and TWC also has agreed to pay Allen a cash fee upon delivery of this opinion (the “</w:t>
      </w:r>
      <w:r>
        <w:rPr>
          <w:rFonts w:ascii="Arial" w:cs="Arial" w:eastAsia="Arial" w:hAnsi="Arial"/>
          <w:sz w:val="14"/>
          <w:szCs w:val="14"/>
          <w:u w:val="single" w:color="auto"/>
          <w:color w:val="auto"/>
        </w:rPr>
        <w:t>Opinion Fee</w:t>
      </w:r>
      <w:r>
        <w:rPr>
          <w:rFonts w:ascii="Arial" w:cs="Arial" w:eastAsia="Arial" w:hAnsi="Arial"/>
          <w:sz w:val="14"/>
          <w:szCs w:val="14"/>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62" w:lineRule="exact"/>
        <w:rPr>
          <w:sz w:val="20"/>
          <w:szCs w:val="20"/>
          <w:color w:val="auto"/>
        </w:rPr>
      </w:pPr>
    </w:p>
    <w:p>
      <w:pPr>
        <w:ind w:right="20" w:firstLine="799"/>
        <w:spacing w:after="0" w:line="267" w:lineRule="auto"/>
        <w:rPr>
          <w:sz w:val="20"/>
          <w:szCs w:val="20"/>
          <w:color w:val="auto"/>
        </w:rPr>
      </w:pPr>
      <w:r>
        <w:rPr>
          <w:rFonts w:ascii="Arial" w:cs="Arial" w:eastAsia="Arial" w:hAnsi="Arial"/>
          <w:sz w:val="16"/>
          <w:szCs w:val="16"/>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197" w:lineRule="exact"/>
        <w:rPr>
          <w:sz w:val="20"/>
          <w:szCs w:val="20"/>
          <w:color w:val="auto"/>
        </w:rPr>
      </w:pPr>
    </w:p>
    <w:p>
      <w:pPr>
        <w:ind w:right="160" w:firstLine="799"/>
        <w:spacing w:after="0" w:line="271" w:lineRule="auto"/>
        <w:rPr>
          <w:sz w:val="20"/>
          <w:szCs w:val="20"/>
          <w:color w:val="auto"/>
        </w:rPr>
      </w:pPr>
      <w:r>
        <w:rPr>
          <w:rFonts w:ascii="Arial" w:cs="Arial" w:eastAsia="Arial" w:hAnsi="Arial"/>
          <w:sz w:val="16"/>
          <w:szCs w:val="16"/>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arriving at our opinion, we have, among other things:</w:t>
      </w:r>
    </w:p>
    <w:p>
      <w:pPr>
        <w:spacing w:after="0" w:line="262" w:lineRule="exact"/>
        <w:rPr>
          <w:sz w:val="20"/>
          <w:szCs w:val="20"/>
          <w:color w:val="auto"/>
        </w:rPr>
      </w:pPr>
    </w:p>
    <w:p>
      <w:pPr>
        <w:ind w:left="580" w:hanging="572"/>
        <w:spacing w:after="0"/>
        <w:tabs>
          <w:tab w:leader="none" w:pos="5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6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left="580" w:right="32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99" w:lineRule="exact"/>
        <w:rPr>
          <w:rFonts w:ascii="Arial" w:cs="Arial" w:eastAsia="Arial" w:hAnsi="Arial"/>
          <w:sz w:val="16"/>
          <w:szCs w:val="16"/>
          <w:color w:val="auto"/>
        </w:rPr>
      </w:pPr>
    </w:p>
    <w:p>
      <w:pPr>
        <w:ind w:left="580" w:right="1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held discussions with the managements of TWC and Comcast relating to the past and current operations and financial condition and prospects of TWC and Comcast;</w:t>
      </w:r>
    </w:p>
    <w:p>
      <w:pPr>
        <w:spacing w:after="0" w:line="284" w:lineRule="exact"/>
        <w:rPr>
          <w:rFonts w:ascii="Arial" w:cs="Arial" w:eastAsia="Arial" w:hAnsi="Arial"/>
          <w:sz w:val="14"/>
          <w:szCs w:val="14"/>
          <w:color w:val="auto"/>
        </w:rPr>
      </w:pPr>
    </w:p>
    <w:p>
      <w:pPr>
        <w:ind w:left="580" w:right="36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the strategic rationale for the Merger and certain information relating to potential cost savings anticipated by the managements of TWC and Comcast to result from the Merger;</w:t>
      </w:r>
    </w:p>
    <w:p>
      <w:pPr>
        <w:spacing w:after="0" w:line="199" w:lineRule="exact"/>
        <w:rPr>
          <w:rFonts w:ascii="Arial" w:cs="Arial" w:eastAsia="Arial" w:hAnsi="Arial"/>
          <w:sz w:val="16"/>
          <w:szCs w:val="16"/>
          <w:color w:val="auto"/>
        </w:rPr>
      </w:pPr>
    </w:p>
    <w:p>
      <w:pPr>
        <w:ind w:left="580" w:right="2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99" w:lineRule="exact"/>
        <w:rPr>
          <w:rFonts w:ascii="Arial" w:cs="Arial" w:eastAsia="Arial" w:hAnsi="Arial"/>
          <w:sz w:val="16"/>
          <w:szCs w:val="16"/>
          <w:color w:val="auto"/>
        </w:rPr>
      </w:pPr>
    </w:p>
    <w:p>
      <w:pPr>
        <w:ind w:left="580" w:right="4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financial information relating to selected transactions that we deemed generally relevant in evaluating the Merger; and</w:t>
      </w:r>
    </w:p>
    <w:p>
      <w:pPr>
        <w:spacing w:after="0" w:line="261"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we deemed necessary or appropriate for purposes of the opinion expressed herein.</w:t>
      </w:r>
    </w:p>
    <w:p>
      <w:pPr>
        <w:spacing w:after="0" w:line="235" w:lineRule="exact"/>
        <w:rPr>
          <w:sz w:val="20"/>
          <w:szCs w:val="20"/>
          <w:color w:val="auto"/>
        </w:rPr>
      </w:pPr>
    </w:p>
    <w:p>
      <w:pPr>
        <w:ind w:firstLine="799"/>
        <w:spacing w:after="0" w:line="284" w:lineRule="auto"/>
        <w:rPr>
          <w:sz w:val="20"/>
          <w:szCs w:val="20"/>
          <w:color w:val="auto"/>
        </w:rPr>
      </w:pPr>
      <w:r>
        <w:rPr>
          <w:rFonts w:ascii="Arial" w:cs="Arial" w:eastAsia="Arial" w:hAnsi="Arial"/>
          <w:sz w:val="15"/>
          <w:szCs w:val="15"/>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jc w:val="both"/>
        <w:ind w:right="180" w:firstLine="799"/>
        <w:spacing w:after="0" w:line="335" w:lineRule="auto"/>
        <w:rPr>
          <w:sz w:val="20"/>
          <w:szCs w:val="20"/>
          <w:color w:val="auto"/>
        </w:rPr>
      </w:pPr>
      <w:r>
        <w:rPr>
          <w:rFonts w:ascii="Arial" w:cs="Arial" w:eastAsia="Arial" w:hAnsi="Arial"/>
          <w:sz w:val="14"/>
          <w:szCs w:val="14"/>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50"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79" w:lineRule="exact"/>
        <w:rPr>
          <w:sz w:val="20"/>
          <w:szCs w:val="20"/>
          <w:color w:val="auto"/>
        </w:rPr>
      </w:pPr>
    </w:p>
    <w:p>
      <w:pPr>
        <w:ind w:right="80" w:firstLine="799"/>
        <w:spacing w:after="0" w:line="288" w:lineRule="auto"/>
        <w:rPr>
          <w:sz w:val="20"/>
          <w:szCs w:val="20"/>
          <w:color w:val="auto"/>
        </w:rPr>
      </w:pPr>
      <w:r>
        <w:rPr>
          <w:rFonts w:ascii="Arial" w:cs="Arial" w:eastAsia="Arial" w:hAnsi="Arial"/>
          <w:sz w:val="15"/>
          <w:szCs w:val="15"/>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81" w:lineRule="exact"/>
        <w:rPr>
          <w:sz w:val="20"/>
          <w:szCs w:val="20"/>
          <w:color w:val="auto"/>
        </w:rPr>
      </w:pPr>
    </w:p>
    <w:p>
      <w:pPr>
        <w:ind w:right="120" w:firstLine="799"/>
        <w:spacing w:after="0" w:line="278" w:lineRule="auto"/>
        <w:rPr>
          <w:sz w:val="20"/>
          <w:szCs w:val="20"/>
          <w:color w:val="auto"/>
        </w:rPr>
      </w:pPr>
      <w:r>
        <w:rPr>
          <w:rFonts w:ascii="Arial" w:cs="Arial" w:eastAsia="Arial" w:hAnsi="Arial"/>
          <w:sz w:val="16"/>
          <w:szCs w:val="16"/>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8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Based upon and subject to the foregoing, it is our opinion that, as of the date hereof, the Exchange Ratio provided for in the Merger is fair, from a financial point of view, to holders of TWC Common Stock.</w:t>
      </w: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ALLEN &amp; COMPANY LLC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9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 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pacing w:after="0" w:line="2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ectPr>
          <w:pgSz w:w="11900" w:h="16838" w:orient="portrait"/>
          <w:cols w:equalWidth="0" w:num="1">
            <w:col w:w="11340"/>
          </w:cols>
          <w:pgMar w:left="240" w:top="459" w:right="3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MORGAN STANLEY &amp; CO.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w:t>
      </w:r>
    </w:p>
    <w:p>
      <w:pPr>
        <w:spacing w:after="0" w:line="23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7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You have asked for our opinion as to whether the Exchange Ratio pursuant to the Merger Agreement is fair from a financial point of view to the holders of shares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opinion set forth herein, we have:</w:t>
      </w:r>
    </w:p>
    <w:p>
      <w:pPr>
        <w:spacing w:after="0" w:line="262" w:lineRule="exact"/>
        <w:rPr>
          <w:sz w:val="20"/>
          <w:szCs w:val="20"/>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TWC and Comcast, respectively;</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financial projections relating to TWC provided to or discussed with us by the management of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and discussed with Comcast certain publicly available financial projections relating to Comcast (the “Comcast Public Projections”);</w:t>
      </w:r>
    </w:p>
    <w:p>
      <w:pPr>
        <w:spacing w:after="0" w:line="261" w:lineRule="exact"/>
        <w:rPr>
          <w:rFonts w:ascii="Arial" w:cs="Arial" w:eastAsia="Arial" w:hAnsi="Arial"/>
          <w:sz w:val="16"/>
          <w:szCs w:val="16"/>
          <w:color w:val="auto"/>
        </w:rPr>
      </w:pPr>
    </w:p>
    <w:p>
      <w:pPr>
        <w:ind w:left="340" w:right="5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information relating to certain strategic, financial and operational benefits (including potential cost savings) anticipated from the Merger prepared by the managements of TWC and Comcast;</w:t>
      </w:r>
    </w:p>
    <w:p>
      <w:pPr>
        <w:spacing w:after="0" w:line="199" w:lineRule="exact"/>
        <w:rPr>
          <w:rFonts w:ascii="Arial" w:cs="Arial" w:eastAsia="Arial" w:hAnsi="Arial"/>
          <w:sz w:val="16"/>
          <w:szCs w:val="16"/>
          <w:color w:val="auto"/>
        </w:rPr>
      </w:pPr>
    </w:p>
    <w:p>
      <w:pPr>
        <w:ind w:left="340" w:right="14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9" w:lineRule="exact"/>
        <w:rPr>
          <w:rFonts w:ascii="Arial" w:cs="Arial" w:eastAsia="Arial" w:hAnsi="Arial"/>
          <w:sz w:val="16"/>
          <w:szCs w:val="16"/>
          <w:color w:val="auto"/>
        </w:rPr>
      </w:pPr>
    </w:p>
    <w:p>
      <w:pPr>
        <w:ind w:left="340" w:right="7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potential pro forma financial impact of the Merger on Comcast’s levered free cash flow per share;</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TWC Common Stock and Comcast Class A Common Stock;</w:t>
      </w:r>
    </w:p>
    <w:p>
      <w:pPr>
        <w:spacing w:after="0" w:line="261" w:lineRule="exact"/>
        <w:rPr>
          <w:rFonts w:ascii="Arial" w:cs="Arial" w:eastAsia="Arial" w:hAnsi="Arial"/>
          <w:sz w:val="16"/>
          <w:szCs w:val="16"/>
          <w:color w:val="auto"/>
        </w:rPr>
      </w:pPr>
    </w:p>
    <w:p>
      <w:pPr>
        <w:ind w:left="340" w:right="1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financial terms, to the extent publicly available, of certain comparable acquisition transactions;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Merger Agreement and certain related documents; and</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we have deemed appropriate.</w:t>
      </w:r>
    </w:p>
    <w:p>
      <w:pPr>
        <w:spacing w:after="0" w:line="23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 assessment of TWC and Comcast and their respective legal, tax or regulatory advisors with respect to legal, tax, or regulatory matters.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72"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9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 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7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MORGAN STANLEY &amp; CO.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80"/>
          </w:cols>
          <w:pgMar w:left="240" w:top="459" w:right="2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Centerview Partners LLC</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31 West 52nd Street</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New York, NY 10019</w:t>
      </w: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firstLine="799"/>
        <w:spacing w:after="0" w:line="267"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 2.8750 (the “Exchange Ratio”) shares of Class A common stock, par value $0.01 per share, of Comcast (“Comcast Class A Common Stock”). The terms and conditions of the Merger are more fully set forth in the Agreement.</w:t>
      </w:r>
    </w:p>
    <w:p>
      <w:pPr>
        <w:spacing w:after="0" w:line="197"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89" w:lineRule="exact"/>
        <w:rPr>
          <w:sz w:val="20"/>
          <w:szCs w:val="20"/>
          <w:color w:val="auto"/>
        </w:rPr>
      </w:pPr>
    </w:p>
    <w:p>
      <w:pPr>
        <w:ind w:right="140" w:firstLine="799"/>
        <w:spacing w:after="0" w:line="289" w:lineRule="auto"/>
        <w:rPr>
          <w:sz w:val="20"/>
          <w:szCs w:val="20"/>
          <w:color w:val="auto"/>
        </w:rPr>
      </w:pPr>
      <w:r>
        <w:rPr>
          <w:rFonts w:ascii="Arial" w:cs="Arial" w:eastAsia="Arial" w:hAnsi="Arial"/>
          <w:sz w:val="15"/>
          <w:szCs w:val="15"/>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80" w:lineRule="exact"/>
        <w:rPr>
          <w:sz w:val="20"/>
          <w:szCs w:val="20"/>
          <w:color w:val="auto"/>
        </w:rPr>
      </w:pPr>
    </w:p>
    <w:p>
      <w:pPr>
        <w:ind w:right="80" w:firstLine="799"/>
        <w:spacing w:after="0" w:line="318" w:lineRule="auto"/>
        <w:rPr>
          <w:sz w:val="20"/>
          <w:szCs w:val="20"/>
          <w:color w:val="auto"/>
        </w:rPr>
      </w:pPr>
      <w:r>
        <w:rPr>
          <w:rFonts w:ascii="Arial" w:cs="Arial" w:eastAsia="Arial" w:hAnsi="Arial"/>
          <w:sz w:val="14"/>
          <w:szCs w:val="14"/>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80"/>
        <w:spacing w:after="0" w:line="309" w:lineRule="auto"/>
        <w:rPr>
          <w:sz w:val="20"/>
          <w:szCs w:val="20"/>
          <w:color w:val="auto"/>
        </w:rPr>
      </w:pPr>
      <w:r>
        <w:rPr>
          <w:rFonts w:ascii="Arial" w:cs="Arial" w:eastAsia="Arial" w:hAnsi="Arial"/>
          <w:sz w:val="14"/>
          <w:szCs w:val="14"/>
          <w:color w:val="auto"/>
        </w:rPr>
        <w:t>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169" w:lineRule="exact"/>
        <w:rPr>
          <w:sz w:val="20"/>
          <w:szCs w:val="20"/>
          <w:color w:val="auto"/>
        </w:rPr>
      </w:pPr>
    </w:p>
    <w:p>
      <w:pPr>
        <w:ind w:firstLine="799"/>
        <w:spacing w:after="0" w:line="306" w:lineRule="auto"/>
        <w:rPr>
          <w:sz w:val="20"/>
          <w:szCs w:val="20"/>
          <w:color w:val="auto"/>
        </w:rPr>
      </w:pPr>
      <w:r>
        <w:rPr>
          <w:rFonts w:ascii="Arial" w:cs="Arial" w:eastAsia="Arial" w:hAnsi="Arial"/>
          <w:sz w:val="14"/>
          <w:szCs w:val="14"/>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 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firstLine="799"/>
        <w:spacing w:after="0" w:line="309" w:lineRule="auto"/>
        <w:rPr>
          <w:sz w:val="20"/>
          <w:szCs w:val="20"/>
          <w:color w:val="auto"/>
        </w:rPr>
      </w:pPr>
      <w:r>
        <w:rPr>
          <w:rFonts w:ascii="Arial" w:cs="Arial" w:eastAsia="Arial" w:hAnsi="Arial"/>
          <w:sz w:val="14"/>
          <w:szCs w:val="14"/>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obligations when they come due, or as to the impact of the Merger on such matters, under any state, federal or other laws relating to bankruptcy, insolvency or similar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are not legal, regulatory, tax or accounting advisors, and we express no opinion as to any legal, regulatory, tax or accounting matters.</w:t>
      </w:r>
    </w:p>
    <w:p>
      <w:pPr>
        <w:spacing w:after="0" w:line="231"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 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83" w:lineRule="exact"/>
        <w:rPr>
          <w:sz w:val="20"/>
          <w:szCs w:val="20"/>
          <w:color w:val="auto"/>
        </w:rPr>
      </w:pPr>
    </w:p>
    <w:p>
      <w:pPr>
        <w:ind w:right="40" w:firstLine="799"/>
        <w:spacing w:after="0" w:line="269" w:lineRule="auto"/>
        <w:rPr>
          <w:sz w:val="20"/>
          <w:szCs w:val="20"/>
          <w:color w:val="auto"/>
        </w:rPr>
      </w:pPr>
      <w:r>
        <w:rPr>
          <w:rFonts w:ascii="Arial" w:cs="Arial" w:eastAsia="Arial" w:hAnsi="Arial"/>
          <w:sz w:val="16"/>
          <w:szCs w:val="16"/>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91" w:lineRule="exact"/>
        <w:rPr>
          <w:sz w:val="20"/>
          <w:szCs w:val="20"/>
          <w:color w:val="auto"/>
        </w:rPr>
      </w:pPr>
    </w:p>
    <w:p>
      <w:pPr>
        <w:ind w:right="20" w:firstLine="799"/>
        <w:spacing w:after="0" w:line="324" w:lineRule="auto"/>
        <w:rPr>
          <w:sz w:val="20"/>
          <w:szCs w:val="20"/>
          <w:color w:val="auto"/>
        </w:rPr>
      </w:pPr>
      <w:r>
        <w:rPr>
          <w:rFonts w:ascii="Arial" w:cs="Arial" w:eastAsia="Arial" w:hAnsi="Arial"/>
          <w:sz w:val="14"/>
          <w:szCs w:val="14"/>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57" w:lineRule="exact"/>
        <w:rPr>
          <w:sz w:val="20"/>
          <w:szCs w:val="20"/>
          <w:color w:val="auto"/>
        </w:rPr>
      </w:pPr>
    </w:p>
    <w:p>
      <w:pPr>
        <w:ind w:right="240" w:firstLine="799"/>
        <w:spacing w:after="0" w:line="329" w:lineRule="auto"/>
        <w:rPr>
          <w:sz w:val="20"/>
          <w:szCs w:val="20"/>
          <w:color w:val="auto"/>
        </w:rPr>
      </w:pPr>
      <w:r>
        <w:rPr>
          <w:rFonts w:ascii="Arial" w:cs="Arial" w:eastAsia="Arial" w:hAnsi="Arial"/>
          <w:sz w:val="15"/>
          <w:szCs w:val="15"/>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CENTERVIEW PARTNERS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175260</wp:posOffset>
            </wp:positionV>
            <wp:extent cx="1329055" cy="274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290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19103-2838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 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37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87"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5"/>
          <w:szCs w:val="15"/>
          <w:b w:val="1"/>
          <w:bCs w:val="1"/>
          <w:color w:val="auto"/>
        </w:rPr>
        <w:t>.</w:t>
      </w:r>
      <w:r>
        <w:rPr>
          <w:rFonts w:ascii="Arial" w:cs="Arial" w:eastAsia="Arial" w:hAnsi="Arial"/>
          <w:sz w:val="15"/>
          <w:szCs w:val="15"/>
          <w:color w:val="auto"/>
        </w:rPr>
        <w:t xml:space="preserve"> We are expressing no opinion herein as to the price at which the Merger Partner Common Stock or the Company Common Stock will trade at any future time.</w:t>
      </w:r>
    </w:p>
    <w:p>
      <w:pPr>
        <w:spacing w:after="0" w:line="180"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the basis of and subject to the foregoing, it is our opinion as of the date hereof that the Exchange Ratio in the proposed Transaction is fair, from a financial point of view, to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 J.P. Morgan Securities LLC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J.P. Morgan Securities LLC</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300"/>
          </w:cols>
          <w:pgMar w:left="240" w:top="459" w:right="3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Articles of Incorporation and By-laws.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6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87"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Comcast’s articles and by-laws. II-2</w:t>
      </w:r>
    </w:p>
    <w:p>
      <w:pPr>
        <w:sectPr>
          <w:pgSz w:w="11900" w:h="16838" w:orient="portrait"/>
          <w:cols w:equalWidth="0" w:num="1">
            <w:col w:w="11400"/>
          </w:cols>
          <w:pgMar w:left="240" w:top="460" w:right="2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8"/>
              </w:rPr>
              <w:t>Form of Consent of Paul, Weiss, Rifkind, Wharton &amp; Garrison LLP (included in the opinion filed as Exhibit 8.2 to this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60"/>
          </w:cols>
          <w:pgMar w:left="240" w:top="459" w:right="3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20" w:right="60" w:hanging="440"/>
        <w:spacing w:after="0" w:line="291" w:lineRule="auto"/>
        <w:tabs>
          <w:tab w:leader="none" w:pos="192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2" w:lineRule="exact"/>
        <w:rPr>
          <w:rFonts w:ascii="Arial" w:cs="Arial" w:eastAsia="Arial" w:hAnsi="Arial"/>
          <w:sz w:val="16"/>
          <w:szCs w:val="16"/>
          <w:color w:val="auto"/>
        </w:rPr>
      </w:pPr>
    </w:p>
    <w:p>
      <w:pPr>
        <w:ind w:left="1920" w:right="2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right="80" w:hanging="567"/>
        <w:spacing w:after="0" w:line="276" w:lineRule="auto"/>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92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400" w:hanging="440"/>
        <w:spacing w:after="0" w:line="277" w:lineRule="auto"/>
        <w:tabs>
          <w:tab w:leader="none" w:pos="19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900" w:right="100" w:hanging="446"/>
        <w:spacing w:after="0" w:line="257"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1480" w:right="20" w:hanging="567"/>
        <w:spacing w:after="0" w:line="255" w:lineRule="auto"/>
        <w:tabs>
          <w:tab w:leader="none" w:pos="14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CORPORATION</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September 3, 2014.</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tbl>
      <w:tblPr>
        <w:tblLayout w:type="fixed"/>
        <w:tblInd w:w="7120" w:type="dxa"/>
        <w:tblCellMar>
          <w:top w:w="0" w:type="dxa"/>
          <w:left w:w="0" w:type="dxa"/>
          <w:bottom w:w="0" w:type="dxa"/>
          <w:right w:w="0" w:type="dxa"/>
        </w:tblCellMar>
      </w:tblPr>
      <w:tr>
        <w:trPr>
          <w:trHeight w:val="209"/>
        </w:trPr>
        <w:tc>
          <w:tcPr>
            <w:tcW w:w="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16"/>
        </w:trPr>
        <w:tc>
          <w:tcPr>
            <w:tcW w:w="70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80"/>
              <w:spacing w:after="0"/>
              <w:rPr>
                <w:sz w:val="20"/>
                <w:szCs w:val="20"/>
                <w:color w:val="auto"/>
              </w:rPr>
            </w:pPr>
            <w:r>
              <w:rPr>
                <w:rFonts w:ascii="Arial" w:cs="Arial" w:eastAsia="Arial" w:hAnsi="Arial"/>
                <w:sz w:val="18"/>
                <w:szCs w:val="18"/>
                <w:color w:val="auto"/>
              </w:rPr>
              <w:t>Senior Vice President, General</w:t>
            </w:r>
          </w:p>
        </w:tc>
      </w:tr>
      <w:tr>
        <w:trPr>
          <w:trHeight w:val="230"/>
        </w:trPr>
        <w:tc>
          <w:tcPr>
            <w:tcW w:w="70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Counsel and Secretary</w:t>
            </w: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3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40" w:type="dxa"/>
            <w:vAlign w:val="bottom"/>
            <w:vMerge w:val="restart"/>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Chairman and CEO; Director (Principal Executive</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w w:val="98"/>
              </w:rPr>
              <w:t>Officer)</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Brian L.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Founder; Chairman Emeritus of the Board</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Ralph J.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Vice Chairman and CFO (Principal Financial Officer)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Michael J. Angelakis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840" w:type="dxa"/>
            <w:vAlign w:val="bottom"/>
            <w:gridSpan w:val="2"/>
            <w:vMerge w:val="restart"/>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Senior Vice President; Chief Accounting Officer and</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gridSpan w:val="2"/>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00" w:type="dxa"/>
            <w:vAlign w:val="bottom"/>
            <w:gridSpan w:val="3"/>
          </w:tcPr>
          <w:p>
            <w:pPr>
              <w:jc w:val="center"/>
              <w:ind w:right="180"/>
              <w:spacing w:after="0" w:line="203" w:lineRule="exact"/>
              <w:rPr>
                <w:sz w:val="20"/>
                <w:szCs w:val="20"/>
                <w:color w:val="auto"/>
              </w:rPr>
            </w:pPr>
            <w:r>
              <w:rPr>
                <w:rFonts w:ascii="Arial" w:cs="Arial" w:eastAsia="Arial" w:hAnsi="Arial"/>
                <w:sz w:val="18"/>
                <w:szCs w:val="18"/>
                <w:color w:val="auto"/>
                <w:w w:val="94"/>
              </w:rPr>
              <w:t>Controller (Principal Accounting Officer)</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Lawrence J. Salva</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Kenneth J. Bacon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Sheldon M. Bonovitz</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Edward D. Breen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Joseph J. Collins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3,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3"/>
              </w:rPr>
              <w:t>J. Michael Cook</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7"/>
              </w:rPr>
              <w:t>Title</w:t>
            </w:r>
          </w:p>
        </w:tc>
        <w:tc>
          <w:tcPr>
            <w:tcW w:w="2480" w:type="dxa"/>
            <w:vAlign w:val="bottom"/>
            <w:gridSpan w:val="3"/>
          </w:tcPr>
          <w:p>
            <w:pPr>
              <w:jc w:val="center"/>
              <w:ind w:left="101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3,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Gerald L. Hassell</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3,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Jeffrey A. Honickman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3,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Eduardo G. Mestre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3,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Johnathan A. Rodgers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3,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Dr. Judith Rodin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5"/>
          </w:tcPr>
          <w:p>
            <w:pPr>
              <w:ind w:left="180"/>
              <w:spacing w:after="0"/>
              <w:rPr>
                <w:sz w:val="20"/>
                <w:szCs w:val="20"/>
                <w:color w:val="auto"/>
              </w:rPr>
            </w:pPr>
            <w:r>
              <w:rPr>
                <w:rFonts w:ascii="Arial" w:cs="Arial" w:eastAsia="Arial" w:hAnsi="Arial"/>
                <w:sz w:val="18"/>
                <w:szCs w:val="18"/>
                <w:color w:val="auto"/>
              </w:rPr>
              <w:t>/s/ Arthur R. Block</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Arthur R. Block</w:t>
            </w: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4"/>
          </w:tcPr>
          <w:p>
            <w:pPr>
              <w:ind w:left="80"/>
              <w:spacing w:after="0"/>
              <w:rPr>
                <w:sz w:val="20"/>
                <w:szCs w:val="20"/>
                <w:color w:val="auto"/>
              </w:rPr>
            </w:pPr>
            <w:r>
              <w:rPr>
                <w:rFonts w:ascii="Arial" w:cs="Arial" w:eastAsia="Arial" w:hAnsi="Arial"/>
                <w:sz w:val="18"/>
                <w:szCs w:val="18"/>
                <w:color w:val="auto"/>
              </w:rPr>
              <w:t>Attorney-in-Fact</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ectPr>
          <w:pgSz w:w="11900" w:h="16838" w:orient="portrait"/>
          <w:cols w:equalWidth="0" w:num="1">
            <w:col w:w="11060"/>
          </w:cols>
          <w:pgMar w:left="240" w:top="459" w:right="5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8"/>
              </w:rPr>
              <w:t>Form of Consent of Paul, Weiss, Rifkind, Wharton &amp; Garrison LLP (included in the opinion filed as Exhibit 8.2 to this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260"/>
          </w:cols>
          <w:pgMar w:left="240" w:top="459" w:right="39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this Amendment No. 5 to Registration Statement No. 333-194698 on Form S-4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 and to the reference to us under the heading “Experts” in the joint proxy statement/prospectus, which is part of such Registration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2014</w:t>
      </w:r>
    </w:p>
    <w:p>
      <w:pPr>
        <w:sectPr>
          <w:pgSz w:w="11900" w:h="16838" w:orient="portrait"/>
          <w:cols w:equalWidth="0" w:num="1">
            <w:col w:w="11420"/>
          </w:cols>
          <w:pgMar w:left="240" w:top="121"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We consent to the reference to our firm under the captions “Experts” and “Selected Historical Consolidated Financial Data of TWC” in the Registration Statement (Form S-4) and related joint proxy statement/prospectus of Comcast Corporation and to the incorporation by reference therein of our reports</w:t>
      </w:r>
    </w:p>
    <w:p>
      <w:pPr>
        <w:ind w:right="180" w:firstLine="8"/>
        <w:spacing w:after="0" w:line="254" w:lineRule="auto"/>
        <w:tabs>
          <w:tab w:leader="none" w:pos="24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dated February 18, 2014 with respect to the effectiveness of internal control over financial reporting of Time Warner Cable Inc. in its Annual Report (Form 10-K) for the year ended December 31, 2013, and (b) dated February 18, 2014 (except Notes 1, 6 and 16, as to which the date is April 24, 2014) with respect to the consolidated financial statements of Time Warner Cable Inc. included in its Report on Form 8-K dated April 24, 2014, both filed with the Securities and Exchange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2014</w:t>
      </w:r>
    </w:p>
    <w:p>
      <w:pPr>
        <w:sectPr>
          <w:pgSz w:w="11900" w:h="16838" w:orient="portrait"/>
          <w:cols w:equalWidth="0" w:num="1">
            <w:col w:w="11420"/>
          </w:cols>
          <w:pgMar w:left="240" w:top="121"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hereby consent to (i) the use of our opinion letter dated February 12, 2014 to the Board of Directors of Comcast Corporation (the “Company”) included in Annex G to Amendment No. 5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BABB3"/>
    <w:multiLevelType w:val="hybridMultilevel"/>
    <w:lvl w:ilvl="0">
      <w:lvlJc w:val="left"/>
      <w:lvlText w:val="•"/>
      <w:numFmt w:val="bullet"/>
      <w:start w:val="1"/>
    </w:lvl>
  </w:abstractNum>
  <w:abstractNum w:abstractNumId="1">
    <w:nsid w:val="51BF6B48"/>
    <w:multiLevelType w:val="hybridMultilevel"/>
    <w:lvl w:ilvl="0">
      <w:lvlJc w:val="left"/>
      <w:lvlText w:val="•"/>
      <w:numFmt w:val="bullet"/>
      <w:start w:val="1"/>
    </w:lvl>
  </w:abstractNum>
  <w:abstractNum w:abstractNumId="2">
    <w:nsid w:val="7E0F6384"/>
    <w:multiLevelType w:val="hybridMultilevel"/>
    <w:lvl w:ilvl="0">
      <w:lvlJc w:val="left"/>
      <w:lvlText w:val="%1:"/>
      <w:numFmt w:val="upperLetter"/>
      <w:start w:val="17"/>
    </w:lvl>
  </w:abstractNum>
  <w:abstractNum w:abstractNumId="3">
    <w:nsid w:val="2B4B8B53"/>
    <w:multiLevelType w:val="hybridMultilevel"/>
    <w:lvl w:ilvl="0">
      <w:lvlJc w:val="left"/>
      <w:lvlText w:val="%1:"/>
      <w:numFmt w:val="upperLetter"/>
      <w:start w:val="1"/>
    </w:lvl>
  </w:abstractNum>
  <w:abstractNum w:abstractNumId="4">
    <w:nsid w:val="72E3413A"/>
    <w:multiLevelType w:val="hybridMultilevel"/>
    <w:lvl w:ilvl="0">
      <w:lvlJc w:val="left"/>
      <w:lvlText w:val="%1:"/>
      <w:numFmt w:val="upperLetter"/>
      <w:start w:val="17"/>
    </w:lvl>
  </w:abstractNum>
  <w:abstractNum w:abstractNumId="5">
    <w:nsid w:val="116AE494"/>
    <w:multiLevelType w:val="hybridMultilevel"/>
    <w:lvl w:ilvl="0">
      <w:lvlJc w:val="left"/>
      <w:lvlText w:val="%1:"/>
      <w:numFmt w:val="upperLetter"/>
      <w:start w:val="1"/>
    </w:lvl>
  </w:abstractNum>
  <w:abstractNum w:abstractNumId="6">
    <w:nsid w:val="3494B2FB"/>
    <w:multiLevelType w:val="hybridMultilevel"/>
    <w:lvl w:ilvl="0">
      <w:lvlJc w:val="left"/>
      <w:lvlText w:val="%1:"/>
      <w:numFmt w:val="upperLetter"/>
      <w:start w:val="17"/>
    </w:lvl>
  </w:abstractNum>
  <w:abstractNum w:abstractNumId="7">
    <w:nsid w:val="B13A31"/>
    <w:multiLevelType w:val="hybridMultilevel"/>
    <w:lvl w:ilvl="0">
      <w:lvlJc w:val="left"/>
      <w:lvlText w:val="%1:"/>
      <w:numFmt w:val="upperLetter"/>
      <w:start w:val="1"/>
    </w:lvl>
  </w:abstractNum>
  <w:abstractNum w:abstractNumId="8">
    <w:nsid w:val="64429599"/>
    <w:multiLevelType w:val="hybridMultilevel"/>
    <w:lvl w:ilvl="0">
      <w:lvlJc w:val="left"/>
      <w:lvlText w:val="%1:"/>
      <w:numFmt w:val="upperLetter"/>
      <w:start w:val="17"/>
    </w:lvl>
  </w:abstractNum>
  <w:abstractNum w:abstractNumId="9">
    <w:nsid w:val="631F1690"/>
    <w:multiLevelType w:val="hybridMultilevel"/>
    <w:lvl w:ilvl="0">
      <w:lvlJc w:val="left"/>
      <w:lvlText w:val="%1:"/>
      <w:numFmt w:val="upperLetter"/>
      <w:start w:val="1"/>
    </w:lvl>
    <w:lvl w:ilvl="1">
      <w:lvlJc w:val="left"/>
      <w:lvlText w:val="•"/>
      <w:numFmt w:val="bullet"/>
      <w:start w:val="1"/>
    </w:lvl>
  </w:abstractNum>
  <w:abstractNum w:abstractNumId="10">
    <w:nsid w:val="25973E32"/>
    <w:multiLevelType w:val="hybridMultilevel"/>
    <w:lvl w:ilvl="0">
      <w:lvlJc w:val="left"/>
      <w:lvlText w:val="%1:"/>
      <w:numFmt w:val="upperLetter"/>
      <w:start w:val="17"/>
    </w:lvl>
  </w:abstractNum>
  <w:abstractNum w:abstractNumId="11">
    <w:nsid w:val="EAD6F57"/>
    <w:multiLevelType w:val="hybridMultilevel"/>
    <w:lvl w:ilvl="0">
      <w:lvlJc w:val="left"/>
      <w:lvlText w:val="%1:"/>
      <w:numFmt w:val="upperLetter"/>
      <w:start w:val="1"/>
    </w:lvl>
    <w:lvl w:ilvl="1">
      <w:lvlJc w:val="left"/>
      <w:lvlText w:val="•"/>
      <w:numFmt w:val="bullet"/>
      <w:start w:val="1"/>
    </w:lvl>
  </w:abstractNum>
  <w:abstractNum w:abstractNumId="12">
    <w:nsid w:val="6EC9D844"/>
    <w:multiLevelType w:val="hybridMultilevel"/>
    <w:lvl w:ilvl="0">
      <w:lvlJc w:val="left"/>
      <w:lvlText w:val="%1:"/>
      <w:numFmt w:val="upperLetter"/>
      <w:start w:val="17"/>
    </w:lvl>
  </w:abstractNum>
  <w:abstractNum w:abstractNumId="13">
    <w:nsid w:val="5C49EAEE"/>
    <w:multiLevelType w:val="hybridMultilevel"/>
    <w:lvl w:ilvl="0">
      <w:lvlJc w:val="left"/>
      <w:lvlText w:val="%1:"/>
      <w:numFmt w:val="upperLetter"/>
      <w:start w:val="1"/>
    </w:lvl>
  </w:abstractNum>
  <w:abstractNum w:abstractNumId="14">
    <w:nsid w:val="64AF49B"/>
    <w:multiLevelType w:val="hybridMultilevel"/>
    <w:lvl w:ilvl="0">
      <w:lvlJc w:val="left"/>
      <w:lvlText w:val="%1:"/>
      <w:numFmt w:val="upperLetter"/>
      <w:start w:val="17"/>
    </w:lvl>
  </w:abstractNum>
  <w:abstractNum w:abstractNumId="15">
    <w:nsid w:val="397C46BC"/>
    <w:multiLevelType w:val="hybridMultilevel"/>
    <w:lvl w:ilvl="0">
      <w:lvlJc w:val="left"/>
      <w:lvlText w:val="%1:"/>
      <w:numFmt w:val="upperLetter"/>
      <w:start w:val="1"/>
    </w:lvl>
  </w:abstractNum>
  <w:abstractNum w:abstractNumId="16">
    <w:nsid w:val="7E448DE9"/>
    <w:multiLevelType w:val="hybridMultilevel"/>
    <w:lvl w:ilvl="0">
      <w:lvlJc w:val="left"/>
      <w:lvlText w:val="%1:"/>
      <w:numFmt w:val="upperLetter"/>
      <w:start w:val="17"/>
    </w:lvl>
  </w:abstractNum>
  <w:abstractNum w:abstractNumId="17">
    <w:nsid w:val="5A9CC3E5"/>
    <w:multiLevelType w:val="hybridMultilevel"/>
    <w:lvl w:ilvl="0">
      <w:lvlJc w:val="left"/>
      <w:lvlText w:val="%1:"/>
      <w:numFmt w:val="upperLetter"/>
      <w:start w:val="1"/>
    </w:lvl>
  </w:abstractNum>
  <w:abstractNum w:abstractNumId="18">
    <w:nsid w:val="1AFE3625"/>
    <w:multiLevelType w:val="hybridMultilevel"/>
    <w:lvl w:ilvl="0">
      <w:lvlJc w:val="left"/>
      <w:lvlText w:val="%1:"/>
      <w:numFmt w:val="upperLetter"/>
      <w:start w:val="17"/>
    </w:lvl>
  </w:abstractNum>
  <w:abstractNum w:abstractNumId="19">
    <w:nsid w:val="3CA88ECF"/>
    <w:multiLevelType w:val="hybridMultilevel"/>
    <w:lvl w:ilvl="0">
      <w:lvlJc w:val="left"/>
      <w:lvlText w:val="%1:"/>
      <w:numFmt w:val="upperLetter"/>
      <w:start w:val="1"/>
    </w:lvl>
  </w:abstractNum>
  <w:abstractNum w:abstractNumId="20">
    <w:nsid w:val="6EBE4208"/>
    <w:multiLevelType w:val="hybridMultilevel"/>
    <w:lvl w:ilvl="0">
      <w:lvlJc w:val="left"/>
      <w:lvlText w:val="%1:"/>
      <w:numFmt w:val="upperLetter"/>
      <w:start w:val="17"/>
    </w:lvl>
  </w:abstractNum>
  <w:abstractNum w:abstractNumId="21">
    <w:nsid w:val="C058DF5"/>
    <w:multiLevelType w:val="hybridMultilevel"/>
    <w:lvl w:ilvl="0">
      <w:lvlJc w:val="left"/>
      <w:lvlText w:val="%1:"/>
      <w:numFmt w:val="upperLetter"/>
      <w:start w:val="1"/>
    </w:lvl>
  </w:abstractNum>
  <w:abstractNum w:abstractNumId="22">
    <w:nsid w:val="CBE5BE9"/>
    <w:multiLevelType w:val="hybridMultilevel"/>
    <w:lvl w:ilvl="0">
      <w:lvlJc w:val="left"/>
      <w:lvlText w:val="%1:"/>
      <w:numFmt w:val="upperLetter"/>
      <w:start w:val="17"/>
    </w:lvl>
  </w:abstractNum>
  <w:abstractNum w:abstractNumId="23">
    <w:nsid w:val="3102BBE2"/>
    <w:multiLevelType w:val="hybridMultilevel"/>
    <w:lvl w:ilvl="0">
      <w:lvlJc w:val="left"/>
      <w:lvlText w:val="%1:"/>
      <w:numFmt w:val="upperLetter"/>
      <w:start w:val="1"/>
    </w:lvl>
  </w:abstractNum>
  <w:abstractNum w:abstractNumId="24">
    <w:nsid w:val="26A02C5E"/>
    <w:multiLevelType w:val="hybridMultilevel"/>
    <w:lvl w:ilvl="0">
      <w:lvlJc w:val="left"/>
      <w:lvlText w:val="%1:"/>
      <w:numFmt w:val="upperLetter"/>
      <w:start w:val="17"/>
    </w:lvl>
  </w:abstractNum>
  <w:abstractNum w:abstractNumId="25">
    <w:nsid w:val="541C8153"/>
    <w:multiLevelType w:val="hybridMultilevel"/>
    <w:lvl w:ilvl="0">
      <w:lvlJc w:val="left"/>
      <w:lvlText w:val="%1:"/>
      <w:numFmt w:val="upperLetter"/>
      <w:start w:val="1"/>
    </w:lvl>
    <w:lvl w:ilvl="1">
      <w:lvlJc w:val="left"/>
      <w:lvlText w:val="•"/>
      <w:numFmt w:val="bullet"/>
      <w:start w:val="1"/>
    </w:lvl>
  </w:abstractNum>
  <w:abstractNum w:abstractNumId="26">
    <w:nsid w:val="67906F60"/>
    <w:multiLevelType w:val="hybridMultilevel"/>
    <w:lvl w:ilvl="0">
      <w:lvlJc w:val="left"/>
      <w:lvlText w:val="%1:"/>
      <w:numFmt w:val="upperLetter"/>
      <w:start w:val="17"/>
    </w:lvl>
  </w:abstractNum>
  <w:abstractNum w:abstractNumId="27">
    <w:nsid w:val="10DB9DAA"/>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8">
    <w:nsid w:val="697D2D2"/>
    <w:multiLevelType w:val="hybridMultilevel"/>
    <w:lvl w:ilvl="0">
      <w:lvlJc w:val="left"/>
      <w:lvlText w:val="%1:"/>
      <w:numFmt w:val="upperLetter"/>
      <w:start w:val="16"/>
    </w:lvl>
    <w:lvl w:ilvl="1">
      <w:lvlJc w:val="left"/>
      <w:lvlText w:val="•"/>
      <w:numFmt w:val="bullet"/>
      <w:start w:val="1"/>
    </w:lvl>
  </w:abstractNum>
  <w:abstractNum w:abstractNumId="29">
    <w:nsid w:val="6D68AB2"/>
    <w:multiLevelType w:val="hybridMultilevel"/>
    <w:lvl w:ilvl="0">
      <w:lvlJc w:val="left"/>
      <w:lvlText w:val="%1:"/>
      <w:numFmt w:val="upperLetter"/>
      <w:start w:val="1"/>
    </w:lvl>
  </w:abstractNum>
  <w:abstractNum w:abstractNumId="30">
    <w:nsid w:val="3A966CD0"/>
    <w:multiLevelType w:val="hybridMultilevel"/>
    <w:lvl w:ilvl="0">
      <w:lvlJc w:val="left"/>
      <w:lvlText w:val="%1:"/>
      <w:numFmt w:val="upperLetter"/>
      <w:start w:val="17"/>
    </w:lvl>
  </w:abstractNum>
  <w:abstractNum w:abstractNumId="31">
    <w:nsid w:val="63F37E85"/>
    <w:multiLevelType w:val="hybridMultilevel"/>
    <w:lvl w:ilvl="0">
      <w:lvlJc w:val="left"/>
      <w:lvlText w:val="%1:"/>
      <w:numFmt w:val="upperLetter"/>
      <w:start w:val="1"/>
    </w:lvl>
  </w:abstractNum>
  <w:abstractNum w:abstractNumId="32">
    <w:nsid w:val="5895F5FA"/>
    <w:multiLevelType w:val="hybridMultilevel"/>
    <w:lvl w:ilvl="0">
      <w:lvlJc w:val="left"/>
      <w:lvlText w:val="%1:"/>
      <w:numFmt w:val="upperLetter"/>
      <w:start w:val="17"/>
    </w:lvl>
  </w:abstractNum>
  <w:abstractNum w:abstractNumId="33">
    <w:nsid w:val="38A5D054"/>
    <w:multiLevelType w:val="hybridMultilevel"/>
    <w:lvl w:ilvl="0">
      <w:lvlJc w:val="left"/>
      <w:lvlText w:val="%1:"/>
      <w:numFmt w:val="upperLetter"/>
      <w:start w:val="1"/>
    </w:lvl>
  </w:abstractNum>
  <w:abstractNum w:abstractNumId="34">
    <w:nsid w:val="F3F09D8"/>
    <w:multiLevelType w:val="hybridMultilevel"/>
    <w:lvl w:ilvl="0">
      <w:lvlJc w:val="left"/>
      <w:lvlText w:val="%1:"/>
      <w:numFmt w:val="upperLetter"/>
      <w:start w:val="17"/>
    </w:lvl>
  </w:abstractNum>
  <w:abstractNum w:abstractNumId="35">
    <w:nsid w:val="4B793735"/>
    <w:multiLevelType w:val="hybridMultilevel"/>
    <w:lvl w:ilvl="0">
      <w:lvlJc w:val="left"/>
      <w:lvlText w:val="%1:"/>
      <w:numFmt w:val="upperLetter"/>
      <w:start w:val="1"/>
    </w:lvl>
  </w:abstractNum>
  <w:abstractNum w:abstractNumId="36">
    <w:nsid w:val="4A10B4E8"/>
    <w:multiLevelType w:val="hybridMultilevel"/>
    <w:lvl w:ilvl="0">
      <w:lvlJc w:val="left"/>
      <w:lvlText w:val="%1:"/>
      <w:numFmt w:val="upperLetter"/>
      <w:start w:val="17"/>
    </w:lvl>
  </w:abstractNum>
  <w:abstractNum w:abstractNumId="37">
    <w:nsid w:val="43D3BCD4"/>
    <w:multiLevelType w:val="hybridMultilevel"/>
    <w:lvl w:ilvl="0">
      <w:lvlJc w:val="left"/>
      <w:lvlText w:val="%1:"/>
      <w:numFmt w:val="upperLetter"/>
      <w:start w:val="1"/>
    </w:lvl>
  </w:abstractNum>
  <w:abstractNum w:abstractNumId="38">
    <w:nsid w:val="4C2A7166"/>
    <w:multiLevelType w:val="hybridMultilevel"/>
    <w:lvl w:ilvl="0">
      <w:lvlJc w:val="left"/>
      <w:lvlText w:val="%1:"/>
      <w:numFmt w:val="upperLetter"/>
      <w:start w:val="17"/>
    </w:lvl>
  </w:abstractNum>
  <w:abstractNum w:abstractNumId="39">
    <w:nsid w:val="2E534A82"/>
    <w:multiLevelType w:val="hybridMultilevel"/>
    <w:lvl w:ilvl="0">
      <w:lvlJc w:val="left"/>
      <w:lvlText w:val="%1:"/>
      <w:numFmt w:val="upperLetter"/>
      <w:start w:val="1"/>
    </w:lvl>
  </w:abstractNum>
  <w:abstractNum w:abstractNumId="40">
    <w:nsid w:val="26F2D364"/>
    <w:multiLevelType w:val="hybridMultilevel"/>
    <w:lvl w:ilvl="0">
      <w:lvlJc w:val="left"/>
      <w:lvlText w:val="%1:"/>
      <w:numFmt w:val="upperLetter"/>
      <w:start w:val="17"/>
    </w:lvl>
  </w:abstractNum>
  <w:abstractNum w:abstractNumId="41">
    <w:nsid w:val="71C1AF98"/>
    <w:multiLevelType w:val="hybridMultilevel"/>
    <w:lvl w:ilvl="0">
      <w:lvlJc w:val="left"/>
      <w:lvlText w:val="%1:"/>
      <w:numFmt w:val="upperLetter"/>
      <w:start w:val="1"/>
    </w:lvl>
  </w:abstractNum>
  <w:abstractNum w:abstractNumId="42">
    <w:nsid w:val="3D00B9D9"/>
    <w:multiLevelType w:val="hybridMultilevel"/>
    <w:lvl w:ilvl="0">
      <w:lvlJc w:val="left"/>
      <w:lvlText w:val="%1:"/>
      <w:numFmt w:val="upperLetter"/>
      <w:start w:val="17"/>
    </w:lvl>
  </w:abstractNum>
  <w:abstractNum w:abstractNumId="43">
    <w:nsid w:val="15BCABA8"/>
    <w:multiLevelType w:val="hybridMultilevel"/>
    <w:lvl w:ilvl="0">
      <w:lvlJc w:val="left"/>
      <w:lvlText w:val="%1:"/>
      <w:numFmt w:val="upperLetter"/>
      <w:start w:val="1"/>
    </w:lvl>
  </w:abstractNum>
  <w:abstractNum w:abstractNumId="44">
    <w:nsid w:val="4E0B9A87"/>
    <w:multiLevelType w:val="hybridMultilevel"/>
    <w:lvl w:ilvl="0">
      <w:lvlJc w:val="left"/>
      <w:lvlText w:val="%1:"/>
      <w:numFmt w:val="upperLetter"/>
      <w:start w:val="17"/>
    </w:lvl>
  </w:abstractNum>
  <w:abstractNum w:abstractNumId="45">
    <w:nsid w:val="434BAE75"/>
    <w:multiLevelType w:val="hybridMultilevel"/>
    <w:lvl w:ilvl="0">
      <w:lvlJc w:val="left"/>
      <w:lvlText w:val="%1:"/>
      <w:numFmt w:val="upperLetter"/>
      <w:start w:val="1"/>
    </w:lvl>
  </w:abstractNum>
  <w:abstractNum w:abstractNumId="46">
    <w:nsid w:val="4F38F265"/>
    <w:multiLevelType w:val="hybridMultilevel"/>
    <w:lvl w:ilvl="0">
      <w:lvlJc w:val="left"/>
      <w:lvlText w:val="%1:"/>
      <w:numFmt w:val="upperLetter"/>
      <w:start w:val="17"/>
    </w:lvl>
  </w:abstractNum>
  <w:abstractNum w:abstractNumId="47">
    <w:nsid w:val="4C502870"/>
    <w:multiLevelType w:val="hybridMultilevel"/>
    <w:lvl w:ilvl="0">
      <w:lvlJc w:val="left"/>
      <w:lvlText w:val="%1:"/>
      <w:numFmt w:val="upperLetter"/>
      <w:start w:val="1"/>
    </w:lvl>
  </w:abstractNum>
  <w:abstractNum w:abstractNumId="48">
    <w:nsid w:val="1DE8725A"/>
    <w:multiLevelType w:val="hybridMultilevel"/>
    <w:lvl w:ilvl="0">
      <w:lvlJc w:val="left"/>
      <w:lvlText w:val="%1:"/>
      <w:numFmt w:val="upperLetter"/>
      <w:start w:val="17"/>
    </w:lvl>
  </w:abstractNum>
  <w:abstractNum w:abstractNumId="49">
    <w:nsid w:val="6A37288A"/>
    <w:multiLevelType w:val="hybridMultilevel"/>
    <w:lvl w:ilvl="0">
      <w:lvlJc w:val="left"/>
      <w:lvlText w:val="%1:"/>
      <w:numFmt w:val="upperLetter"/>
      <w:start w:val="1"/>
    </w:lvl>
  </w:abstractNum>
  <w:abstractNum w:abstractNumId="50">
    <w:nsid w:val="8F8B73F"/>
    <w:multiLevelType w:val="hybridMultilevel"/>
    <w:lvl w:ilvl="0">
      <w:lvlJc w:val="left"/>
      <w:lvlText w:val="%1:"/>
      <w:numFmt w:val="upperLetter"/>
      <w:start w:val="17"/>
    </w:lvl>
  </w:abstractNum>
  <w:abstractNum w:abstractNumId="51">
    <w:nsid w:val="CA6B462"/>
    <w:multiLevelType w:val="hybridMultilevel"/>
    <w:lvl w:ilvl="0">
      <w:lvlJc w:val="left"/>
      <w:lvlText w:val="%1:"/>
      <w:numFmt w:val="upperLetter"/>
      <w:start w:val="1"/>
    </w:lvl>
  </w:abstractNum>
  <w:abstractNum w:abstractNumId="52">
    <w:nsid w:val="763CB680"/>
    <w:multiLevelType w:val="hybridMultilevel"/>
    <w:lvl w:ilvl="0">
      <w:lvlJc w:val="left"/>
      <w:lvlText w:val="%1:"/>
      <w:numFmt w:val="upperLetter"/>
      <w:start w:val="17"/>
    </w:lvl>
  </w:abstractNum>
  <w:abstractNum w:abstractNumId="53">
    <w:nsid w:val="15B71329"/>
    <w:multiLevelType w:val="hybridMultilevel"/>
    <w:lvl w:ilvl="0">
      <w:lvlJc w:val="left"/>
      <w:lvlText w:val="%1:"/>
      <w:numFmt w:val="upperLetter"/>
      <w:start w:val="1"/>
    </w:lvl>
  </w:abstractNum>
  <w:abstractNum w:abstractNumId="54">
    <w:nsid w:val="3DA97044"/>
    <w:multiLevelType w:val="hybridMultilevel"/>
    <w:lvl w:ilvl="0">
      <w:lvlJc w:val="left"/>
      <w:lvlText w:val="%1:"/>
      <w:numFmt w:val="upperLetter"/>
      <w:start w:val="17"/>
    </w:lvl>
  </w:abstractNum>
  <w:abstractNum w:abstractNumId="55">
    <w:nsid w:val="1CDCE2DE"/>
    <w:multiLevelType w:val="hybridMultilevel"/>
    <w:lvl w:ilvl="0">
      <w:lvlJc w:val="left"/>
      <w:lvlText w:val="%1:"/>
      <w:numFmt w:val="upperLetter"/>
      <w:start w:val="1"/>
    </w:lvl>
  </w:abstractNum>
  <w:abstractNum w:abstractNumId="56">
    <w:nsid w:val="69D3947C"/>
    <w:multiLevelType w:val="hybridMultilevel"/>
    <w:lvl w:ilvl="0">
      <w:lvlJc w:val="left"/>
      <w:lvlText w:val="%1:"/>
      <w:numFmt w:val="upperLetter"/>
      <w:start w:val="17"/>
    </w:lvl>
  </w:abstractNum>
  <w:abstractNum w:abstractNumId="57">
    <w:nsid w:val="2539DFA5"/>
    <w:multiLevelType w:val="hybridMultilevel"/>
    <w:lvl w:ilvl="0">
      <w:lvlJc w:val="left"/>
      <w:lvlText w:val="%1:"/>
      <w:numFmt w:val="upperLetter"/>
      <w:start w:val="1"/>
    </w:lvl>
  </w:abstractNum>
  <w:abstractNum w:abstractNumId="58">
    <w:nsid w:val="2DB88089"/>
    <w:multiLevelType w:val="hybridMultilevel"/>
    <w:lvl w:ilvl="0">
      <w:lvlJc w:val="left"/>
      <w:lvlText w:val="%1:"/>
      <w:numFmt w:val="upperLetter"/>
      <w:start w:val="17"/>
    </w:lvl>
  </w:abstractNum>
  <w:abstractNum w:abstractNumId="59">
    <w:nsid w:val="706B674E"/>
    <w:multiLevelType w:val="hybridMultilevel"/>
    <w:lvl w:ilvl="0">
      <w:lvlJc w:val="left"/>
      <w:lvlText w:val="%1:"/>
      <w:numFmt w:val="upperLetter"/>
      <w:start w:val="1"/>
    </w:lvl>
  </w:abstractNum>
  <w:abstractNum w:abstractNumId="60">
    <w:nsid w:val="2C106A57"/>
    <w:multiLevelType w:val="hybridMultilevel"/>
    <w:lvl w:ilvl="0">
      <w:lvlJc w:val="left"/>
      <w:lvlText w:val="%1:"/>
      <w:numFmt w:val="upperLetter"/>
      <w:start w:val="17"/>
    </w:lvl>
  </w:abstractNum>
  <w:abstractNum w:abstractNumId="61">
    <w:nsid w:val="684EED59"/>
    <w:multiLevelType w:val="hybridMultilevel"/>
    <w:lvl w:ilvl="0">
      <w:lvlJc w:val="left"/>
      <w:lvlText w:val="%1:"/>
      <w:numFmt w:val="upperLetter"/>
      <w:start w:val="1"/>
    </w:lvl>
  </w:abstractNum>
  <w:abstractNum w:abstractNumId="62">
    <w:nsid w:val="545EE5D3"/>
    <w:multiLevelType w:val="hybridMultilevel"/>
    <w:lvl w:ilvl="0">
      <w:lvlJc w:val="left"/>
      <w:lvlText w:val="%1."/>
      <w:numFmt w:val="upperLetter"/>
      <w:start w:val="17"/>
    </w:lvl>
  </w:abstractNum>
  <w:abstractNum w:abstractNumId="63">
    <w:nsid w:val="4A66051"/>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4">
    <w:nsid w:val="20F4BDAD"/>
    <w:multiLevelType w:val="hybridMultilevel"/>
    <w:lvl w:ilvl="0">
      <w:lvlJc w:val="left"/>
      <w:lvlText w:val="•"/>
      <w:numFmt w:val="bullet"/>
      <w:start w:val="1"/>
    </w:lvl>
  </w:abstractNum>
  <w:abstractNum w:abstractNumId="65">
    <w:nsid w:val="639DEFAC"/>
    <w:multiLevelType w:val="hybridMultilevel"/>
    <w:lvl w:ilvl="0">
      <w:lvlJc w:val="left"/>
      <w:lvlText w:val="•"/>
      <w:numFmt w:val="bullet"/>
      <w:start w:val="1"/>
    </w:lvl>
  </w:abstractNum>
  <w:abstractNum w:abstractNumId="66">
    <w:nsid w:val="501F9786"/>
    <w:multiLevelType w:val="hybridMultilevel"/>
    <w:lvl w:ilvl="0">
      <w:lvlJc w:val="left"/>
      <w:lvlText w:val="%1:"/>
      <w:numFmt w:val="upperLetter"/>
      <w:start w:val="17"/>
    </w:lvl>
  </w:abstractNum>
  <w:abstractNum w:abstractNumId="67">
    <w:nsid w:val="6B057295"/>
    <w:multiLevelType w:val="hybridMultilevel"/>
    <w:lvl w:ilvl="0">
      <w:lvlJc w:val="left"/>
      <w:lvlText w:val="%1:"/>
      <w:numFmt w:val="upperLetter"/>
      <w:start w:val="1"/>
    </w:lvl>
  </w:abstractNum>
  <w:abstractNum w:abstractNumId="68">
    <w:nsid w:val="2771AC80"/>
    <w:multiLevelType w:val="hybridMultilevel"/>
    <w:lvl w:ilvl="0">
      <w:lvlJc w:val="left"/>
      <w:lvlText w:val="%1:"/>
      <w:numFmt w:val="upperLetter"/>
      <w:start w:val="17"/>
    </w:lvl>
  </w:abstractNum>
  <w:abstractNum w:abstractNumId="69">
    <w:nsid w:val="1C4A08EC"/>
    <w:multiLevelType w:val="hybridMultilevel"/>
    <w:lvl w:ilvl="0">
      <w:lvlJc w:val="left"/>
      <w:lvlText w:val="%1:"/>
      <w:numFmt w:val="upperLetter"/>
      <w:start w:val="1"/>
    </w:lvl>
  </w:abstractNum>
  <w:abstractNum w:abstractNumId="70">
    <w:nsid w:val="1958BD17"/>
    <w:multiLevelType w:val="hybridMultilevel"/>
    <w:lvl w:ilvl="0">
      <w:lvlJc w:val="left"/>
      <w:lvlText w:val="%1:"/>
      <w:numFmt w:val="upperLetter"/>
      <w:start w:val="17"/>
    </w:lvl>
  </w:abstractNum>
  <w:abstractNum w:abstractNumId="71">
    <w:nsid w:val="4E647FE4"/>
    <w:multiLevelType w:val="hybridMultilevel"/>
    <w:lvl w:ilvl="0">
      <w:lvlJc w:val="left"/>
      <w:lvlText w:val="%1:"/>
      <w:numFmt w:val="upperLetter"/>
      <w:start w:val="1"/>
    </w:lvl>
  </w:abstractNum>
  <w:abstractNum w:abstractNumId="72">
    <w:nsid w:val="E0BB885"/>
    <w:multiLevelType w:val="hybridMultilevel"/>
    <w:lvl w:ilvl="0">
      <w:lvlJc w:val="left"/>
      <w:lvlText w:val="%1:"/>
      <w:numFmt w:val="upperLetter"/>
      <w:start w:val="17"/>
    </w:lvl>
  </w:abstractNum>
  <w:abstractNum w:abstractNumId="73">
    <w:nsid w:val="565976F1"/>
    <w:multiLevelType w:val="hybridMultilevel"/>
    <w:lvl w:ilvl="0">
      <w:lvlJc w:val="left"/>
      <w:lvlText w:val="%1:"/>
      <w:numFmt w:val="upperLetter"/>
      <w:start w:val="1"/>
    </w:lvl>
  </w:abstractNum>
  <w:abstractNum w:abstractNumId="74">
    <w:nsid w:val="64212B8C"/>
    <w:multiLevelType w:val="hybridMultilevel"/>
    <w:lvl w:ilvl="0">
      <w:lvlJc w:val="left"/>
      <w:lvlText w:val="%1:"/>
      <w:numFmt w:val="upperLetter"/>
      <w:start w:val="17"/>
    </w:lvl>
  </w:abstractNum>
  <w:abstractNum w:abstractNumId="75">
    <w:nsid w:val="5C17530C"/>
    <w:multiLevelType w:val="hybridMultilevel"/>
    <w:lvl w:ilvl="0">
      <w:lvlJc w:val="left"/>
      <w:lvlText w:val="%1:"/>
      <w:numFmt w:val="upperLetter"/>
      <w:start w:val="1"/>
    </w:lvl>
  </w:abstractNum>
  <w:abstractNum w:abstractNumId="76">
    <w:nsid w:val="19A52566"/>
    <w:multiLevelType w:val="hybridMultilevel"/>
    <w:lvl w:ilvl="0">
      <w:lvlJc w:val="left"/>
      <w:lvlText w:val="%1:"/>
      <w:numFmt w:val="upperLetter"/>
      <w:start w:val="17"/>
    </w:lvl>
  </w:abstractNum>
  <w:abstractNum w:abstractNumId="77">
    <w:nsid w:val="335A1DF1"/>
    <w:multiLevelType w:val="hybridMultilevel"/>
    <w:lvl w:ilvl="0">
      <w:lvlJc w:val="left"/>
      <w:lvlText w:val="%1:"/>
      <w:numFmt w:val="upperLetter"/>
      <w:start w:val="1"/>
    </w:lvl>
  </w:abstractNum>
  <w:abstractNum w:abstractNumId="78">
    <w:nsid w:val="28677B7C"/>
    <w:multiLevelType w:val="hybridMultilevel"/>
    <w:lvl w:ilvl="0">
      <w:lvlJc w:val="left"/>
      <w:lvlText w:val="%1:"/>
      <w:numFmt w:val="upperLetter"/>
      <w:start w:val="17"/>
    </w:lvl>
  </w:abstractNum>
  <w:abstractNum w:abstractNumId="79">
    <w:nsid w:val="378D97C0"/>
    <w:multiLevelType w:val="hybridMultilevel"/>
    <w:lvl w:ilvl="0">
      <w:lvlJc w:val="left"/>
      <w:lvlText w:val="%1:"/>
      <w:numFmt w:val="upperLetter"/>
      <w:start w:val="1"/>
    </w:lvl>
    <w:lvl w:ilvl="1">
      <w:lvlJc w:val="left"/>
      <w:lvlText w:val="•"/>
      <w:numFmt w:val="bullet"/>
      <w:start w:val="1"/>
    </w:lvl>
  </w:abstractNum>
  <w:abstractNum w:abstractNumId="80">
    <w:nsid w:val="1D91467C"/>
    <w:multiLevelType w:val="hybridMultilevel"/>
    <w:lvl w:ilvl="0">
      <w:lvlJc w:val="left"/>
      <w:lvlText w:val="%1:"/>
      <w:numFmt w:val="upperLetter"/>
      <w:start w:val="17"/>
    </w:lvl>
  </w:abstractNum>
  <w:abstractNum w:abstractNumId="81">
    <w:nsid w:val="316032BB"/>
    <w:multiLevelType w:val="hybridMultilevel"/>
    <w:lvl w:ilvl="0">
      <w:lvlJc w:val="left"/>
      <w:lvlText w:val="%1:"/>
      <w:numFmt w:val="upperLetter"/>
      <w:start w:val="1"/>
    </w:lvl>
  </w:abstractNum>
  <w:abstractNum w:abstractNumId="82">
    <w:nsid w:val="44344C22"/>
    <w:multiLevelType w:val="hybridMultilevel"/>
    <w:lvl w:ilvl="0">
      <w:lvlJc w:val="left"/>
      <w:lvlText w:val="%1:"/>
      <w:numFmt w:val="upperLetter"/>
      <w:start w:val="17"/>
    </w:lvl>
  </w:abstractNum>
  <w:abstractNum w:abstractNumId="83">
    <w:nsid w:val="13CDFCFC"/>
    <w:multiLevelType w:val="hybridMultilevel"/>
    <w:lvl w:ilvl="0">
      <w:lvlJc w:val="left"/>
      <w:lvlText w:val="%1:"/>
      <w:numFmt w:val="upperLetter"/>
      <w:start w:val="1"/>
    </w:lvl>
  </w:abstractNum>
  <w:abstractNum w:abstractNumId="84">
    <w:nsid w:val="471745E4"/>
    <w:multiLevelType w:val="hybridMultilevel"/>
    <w:lvl w:ilvl="0">
      <w:lvlJc w:val="left"/>
      <w:lvlText w:val="(%1)"/>
      <w:numFmt w:val="lowerRoman"/>
      <w:start w:val="1"/>
    </w:lvl>
  </w:abstractNum>
  <w:abstractNum w:abstractNumId="85">
    <w:nsid w:val="1DDBC66"/>
    <w:multiLevelType w:val="hybridMultilevel"/>
    <w:lvl w:ilvl="0">
      <w:lvlJc w:val="left"/>
      <w:lvlText w:val="%1:"/>
      <w:numFmt w:val="upperLetter"/>
      <w:start w:val="17"/>
    </w:lvl>
  </w:abstractNum>
  <w:abstractNum w:abstractNumId="86">
    <w:nsid w:val="30AADFDA"/>
    <w:multiLevelType w:val="hybridMultilevel"/>
    <w:lvl w:ilvl="0">
      <w:lvlJc w:val="left"/>
      <w:lvlText w:val="%1:"/>
      <w:numFmt w:val="upperLetter"/>
      <w:start w:val="1"/>
    </w:lvl>
    <w:lvl w:ilvl="1">
      <w:lvlJc w:val="left"/>
      <w:lvlText w:val="(%2)"/>
      <w:numFmt w:val="lowerLetter"/>
      <w:start w:val="25"/>
    </w:lvl>
  </w:abstractNum>
  <w:abstractNum w:abstractNumId="87">
    <w:nsid w:val="30EADA61"/>
    <w:multiLevelType w:val="hybridMultilevel"/>
    <w:lvl w:ilvl="0">
      <w:lvlJc w:val="left"/>
      <w:lvlText w:val="%1:"/>
      <w:numFmt w:val="upperLetter"/>
      <w:start w:val="17"/>
    </w:lvl>
  </w:abstractNum>
  <w:abstractNum w:abstractNumId="88">
    <w:nsid w:val="27179C0B"/>
    <w:multiLevelType w:val="hybridMultilevel"/>
    <w:lvl w:ilvl="0">
      <w:lvlJc w:val="left"/>
      <w:lvlText w:val="%1:"/>
      <w:numFmt w:val="upperLetter"/>
      <w:start w:val="1"/>
    </w:lvl>
  </w:abstractNum>
  <w:abstractNum w:abstractNumId="89">
    <w:nsid w:val="5E636063"/>
    <w:multiLevelType w:val="hybridMultilevel"/>
    <w:lvl w:ilvl="0">
      <w:lvlJc w:val="left"/>
      <w:lvlText w:val="%1:"/>
      <w:numFmt w:val="upperLetter"/>
      <w:start w:val="17"/>
    </w:lvl>
  </w:abstractNum>
  <w:abstractNum w:abstractNumId="90">
    <w:nsid w:val="215641AF"/>
    <w:multiLevelType w:val="hybridMultilevel"/>
    <w:lvl w:ilvl="0">
      <w:lvlJc w:val="left"/>
      <w:lvlText w:val="%1:"/>
      <w:numFmt w:val="upperLetter"/>
      <w:start w:val="1"/>
    </w:lvl>
  </w:abstractNum>
  <w:abstractNum w:abstractNumId="91">
    <w:nsid w:val="53280662"/>
    <w:multiLevelType w:val="hybridMultilevel"/>
    <w:lvl w:ilvl="0">
      <w:lvlJc w:val="left"/>
      <w:lvlText w:val="%1:"/>
      <w:numFmt w:val="upperLetter"/>
      <w:start w:val="17"/>
    </w:lvl>
  </w:abstractNum>
  <w:abstractNum w:abstractNumId="92">
    <w:nsid w:val="46B24DBC"/>
    <w:multiLevelType w:val="hybridMultilevel"/>
    <w:lvl w:ilvl="0">
      <w:lvlJc w:val="left"/>
      <w:lvlText w:val="%1:"/>
      <w:numFmt w:val="upperLetter"/>
      <w:start w:val="1"/>
    </w:lvl>
  </w:abstractNum>
  <w:abstractNum w:abstractNumId="93">
    <w:nsid w:val="75B52783"/>
    <w:multiLevelType w:val="hybridMultilevel"/>
    <w:lvl w:ilvl="0">
      <w:lvlJc w:val="left"/>
      <w:lvlText w:val="%1:"/>
      <w:numFmt w:val="upperLetter"/>
      <w:start w:val="17"/>
    </w:lvl>
  </w:abstractNum>
  <w:abstractNum w:abstractNumId="94">
    <w:nsid w:val="57CE66B4"/>
    <w:multiLevelType w:val="hybridMultilevel"/>
    <w:lvl w:ilvl="0">
      <w:lvlJc w:val="left"/>
      <w:lvlText w:val="%1:"/>
      <w:numFmt w:val="upperLetter"/>
      <w:start w:val="1"/>
    </w:lvl>
  </w:abstractNum>
  <w:abstractNum w:abstractNumId="95">
    <w:nsid w:val="67A70B69"/>
    <w:multiLevelType w:val="hybridMultilevel"/>
    <w:lvl w:ilvl="0">
      <w:lvlJc w:val="left"/>
      <w:lvlText w:val="%1:"/>
      <w:numFmt w:val="upperLetter"/>
      <w:start w:val="17"/>
    </w:lvl>
  </w:abstractNum>
  <w:abstractNum w:abstractNumId="96">
    <w:nsid w:val="5953172F"/>
    <w:multiLevelType w:val="hybridMultilevel"/>
    <w:lvl w:ilvl="0">
      <w:lvlJc w:val="left"/>
      <w:lvlText w:val="%1:"/>
      <w:numFmt w:val="upperLetter"/>
      <w:start w:val="1"/>
    </w:lvl>
  </w:abstractNum>
  <w:abstractNum w:abstractNumId="97">
    <w:nsid w:val="27EDFE3A"/>
    <w:multiLevelType w:val="hybridMultilevel"/>
    <w:lvl w:ilvl="0">
      <w:lvlJc w:val="left"/>
      <w:lvlText w:val="•"/>
      <w:numFmt w:val="bullet"/>
      <w:start w:val="1"/>
    </w:lvl>
  </w:abstractNum>
  <w:abstractNum w:abstractNumId="98">
    <w:nsid w:val="52AC7DFF"/>
    <w:multiLevelType w:val="hybridMultilevel"/>
    <w:lvl w:ilvl="0">
      <w:lvlJc w:val="left"/>
      <w:lvlText w:val="•"/>
      <w:numFmt w:val="bullet"/>
      <w:start w:val="1"/>
    </w:lvl>
  </w:abstractNum>
  <w:abstractNum w:abstractNumId="99">
    <w:nsid w:val="C4C3AF"/>
    <w:multiLevelType w:val="hybridMultilevel"/>
    <w:lvl w:ilvl="0">
      <w:lvlJc w:val="left"/>
      <w:lvlText w:val="•"/>
      <w:numFmt w:val="bullet"/>
      <w:start w:val="1"/>
    </w:lvl>
  </w:abstractNum>
  <w:abstractNum w:abstractNumId="100">
    <w:nsid w:val="44380727"/>
    <w:multiLevelType w:val="hybridMultilevel"/>
    <w:lvl w:ilvl="0">
      <w:lvlJc w:val="left"/>
      <w:lvlText w:val="•"/>
      <w:numFmt w:val="bullet"/>
      <w:start w:val="1"/>
    </w:lvl>
  </w:abstractNum>
  <w:abstractNum w:abstractNumId="101">
    <w:nsid w:val="6C053B16"/>
    <w:multiLevelType w:val="hybridMultilevel"/>
    <w:lvl w:ilvl="0">
      <w:lvlJc w:val="left"/>
      <w:lvlText w:val="•"/>
      <w:numFmt w:val="bullet"/>
      <w:start w:val="1"/>
    </w:lvl>
  </w:abstractNum>
  <w:abstractNum w:abstractNumId="102">
    <w:nsid w:val="4F294393"/>
    <w:multiLevelType w:val="hybridMultilevel"/>
    <w:lvl w:ilvl="0">
      <w:lvlJc w:val="left"/>
      <w:lvlText w:val="•"/>
      <w:numFmt w:val="bullet"/>
      <w:start w:val="1"/>
    </w:lvl>
  </w:abstractNum>
  <w:abstractNum w:abstractNumId="103">
    <w:nsid w:val="5243BFAC"/>
    <w:multiLevelType w:val="hybridMultilevel"/>
    <w:lvl w:ilvl="0">
      <w:lvlJc w:val="left"/>
      <w:lvlText w:val="•"/>
      <w:numFmt w:val="bullet"/>
      <w:start w:val="1"/>
    </w:lvl>
  </w:abstractNum>
  <w:abstractNum w:abstractNumId="104">
    <w:nsid w:val="425EB207"/>
    <w:multiLevelType w:val="hybridMultilevel"/>
    <w:lvl w:ilvl="0">
      <w:lvlJc w:val="left"/>
      <w:lvlText w:val="•"/>
      <w:numFmt w:val="bullet"/>
      <w:start w:val="1"/>
    </w:lvl>
  </w:abstractNum>
  <w:abstractNum w:abstractNumId="105">
    <w:nsid w:val="334A6F1F"/>
    <w:multiLevelType w:val="hybridMultilevel"/>
    <w:lvl w:ilvl="0">
      <w:lvlJc w:val="left"/>
      <w:lvlText w:val="(%1)"/>
      <w:numFmt w:val="lowerRoman"/>
      <w:start w:val="2"/>
    </w:lvl>
  </w:abstractNum>
  <w:abstractNum w:abstractNumId="106">
    <w:nsid w:val="2E5B12B8"/>
    <w:multiLevelType w:val="hybridMultilevel"/>
    <w:lvl w:ilvl="0">
      <w:lvlJc w:val="left"/>
      <w:lvlText w:val="•"/>
      <w:numFmt w:val="bullet"/>
      <w:start w:val="1"/>
    </w:lvl>
  </w:abstractNum>
  <w:abstractNum w:abstractNumId="107">
    <w:nsid w:val="5C03D76D"/>
    <w:multiLevelType w:val="hybridMultilevel"/>
    <w:lvl w:ilvl="0">
      <w:lvlJc w:val="left"/>
      <w:lvlText w:val="(%1)"/>
      <w:numFmt w:val="lowerRoman"/>
      <w:start w:val="2"/>
    </w:lvl>
  </w:abstractNum>
  <w:abstractNum w:abstractNumId="108">
    <w:nsid w:val="66A48D11"/>
    <w:multiLevelType w:val="hybridMultilevel"/>
    <w:lvl w:ilvl="0">
      <w:lvlJc w:val="left"/>
      <w:lvlText w:val="(%1)"/>
      <w:numFmt w:val="lowerRoman"/>
      <w:start w:val="1"/>
    </w:lvl>
  </w:abstractNum>
  <w:abstractNum w:abstractNumId="109">
    <w:nsid w:val="56C28E34"/>
    <w:multiLevelType w:val="hybridMultilevel"/>
    <w:lvl w:ilvl="0">
      <w:lvlJc w:val="left"/>
      <w:lvlText w:val="•"/>
      <w:numFmt w:val="bullet"/>
      <w:start w:val="1"/>
    </w:lvl>
    <w:lvl w:ilvl="1">
      <w:lvlJc w:val="left"/>
      <w:lvlText w:val="•"/>
      <w:numFmt w:val="bullet"/>
      <w:start w:val="1"/>
    </w:lvl>
  </w:abstractNum>
  <w:abstractNum w:abstractNumId="110">
    <w:nsid w:val="13916F2D"/>
    <w:multiLevelType w:val="hybridMultilevel"/>
    <w:lvl w:ilvl="0">
      <w:lvlJc w:val="left"/>
      <w:lvlText w:val="•"/>
      <w:numFmt w:val="bullet"/>
      <w:start w:val="1"/>
    </w:lvl>
    <w:lvl w:ilvl="1">
      <w:lvlJc w:val="left"/>
      <w:lvlText w:val="•"/>
      <w:numFmt w:val="bullet"/>
      <w:start w:val="1"/>
    </w:lvl>
  </w:abstractNum>
  <w:abstractNum w:abstractNumId="111">
    <w:nsid w:val="435D38D"/>
    <w:multiLevelType w:val="hybridMultilevel"/>
    <w:lvl w:ilvl="0">
      <w:lvlJc w:val="left"/>
      <w:lvlText w:val="(%1)"/>
      <w:numFmt w:val="decimal"/>
      <w:start w:val="1"/>
    </w:lvl>
  </w:abstractNum>
  <w:abstractNum w:abstractNumId="112">
    <w:nsid w:val="822C0EF"/>
    <w:multiLevelType w:val="hybridMultilevel"/>
    <w:lvl w:ilvl="0">
      <w:lvlJc w:val="left"/>
      <w:lvlText w:val="(%1)"/>
      <w:numFmt w:val="decimal"/>
      <w:start w:val="1"/>
    </w:lvl>
  </w:abstractNum>
  <w:abstractNum w:abstractNumId="113">
    <w:nsid w:val="57C5BB4F"/>
    <w:multiLevelType w:val="hybridMultilevel"/>
    <w:lvl w:ilvl="0">
      <w:lvlJc w:val="left"/>
      <w:lvlText w:val="(%1)"/>
      <w:numFmt w:val="decimal"/>
      <w:start w:val="1"/>
    </w:lvl>
  </w:abstractNum>
  <w:abstractNum w:abstractNumId="114">
    <w:nsid w:val="1803D089"/>
    <w:multiLevelType w:val="hybridMultilevel"/>
    <w:lvl w:ilvl="0">
      <w:lvlJc w:val="left"/>
      <w:lvlText w:val="(%1)"/>
      <w:numFmt w:val="lowerLetter"/>
      <w:start w:val="1"/>
    </w:lvl>
  </w:abstractNum>
  <w:abstractNum w:abstractNumId="115">
    <w:nsid w:val="4F3A06D4"/>
    <w:multiLevelType w:val="hybridMultilevel"/>
    <w:lvl w:ilvl="0">
      <w:lvlJc w:val="left"/>
      <w:lvlText w:val="(%1)"/>
      <w:numFmt w:val="lowerLetter"/>
      <w:start w:val="3"/>
    </w:lvl>
  </w:abstractNum>
  <w:abstractNum w:abstractNumId="116">
    <w:nsid w:val="59A377B6"/>
    <w:multiLevelType w:val="hybridMultilevel"/>
    <w:lvl w:ilvl="0">
      <w:lvlJc w:val="left"/>
      <w:lvlText w:val="(%1)"/>
      <w:numFmt w:val="lowerLetter"/>
      <w:start w:val="6"/>
    </w:lvl>
  </w:abstractNum>
  <w:abstractNum w:abstractNumId="117">
    <w:nsid w:val="48AEB063"/>
    <w:multiLevelType w:val="hybridMultilevel"/>
    <w:lvl w:ilvl="0">
      <w:lvlJc w:val="left"/>
      <w:lvlText w:val="(%1)"/>
      <w:numFmt w:val="lowerLetter"/>
      <w:start w:val="13"/>
    </w:lvl>
  </w:abstractNum>
  <w:abstractNum w:abstractNumId="118">
    <w:nsid w:val="24E135"/>
    <w:multiLevelType w:val="hybridMultilevel"/>
    <w:lvl w:ilvl="0">
      <w:lvlJc w:val="left"/>
      <w:lvlText w:val="%1"/>
      <w:numFmt w:val="lowerLetter"/>
      <w:start w:val="1"/>
    </w:lvl>
    <w:lvl w:ilvl="1">
      <w:lvlJc w:val="left"/>
      <w:lvlText w:val="(%2)"/>
      <w:numFmt w:val="lowerLetter"/>
      <w:start w:val="1"/>
    </w:lvl>
  </w:abstractNum>
  <w:abstractNum w:abstractNumId="119">
    <w:nsid w:val="BB13C1"/>
    <w:multiLevelType w:val="hybridMultilevel"/>
    <w:lvl w:ilvl="0">
      <w:lvlJc w:val="left"/>
      <w:lvlText w:val="(%1)"/>
      <w:numFmt w:val="lowerLetter"/>
      <w:start w:val="16"/>
    </w:lvl>
    <w:lvl w:ilvl="1">
      <w:lvlJc w:val="left"/>
      <w:lvlText w:val="%2"/>
      <w:numFmt w:val="lowerLetter"/>
      <w:start w:val="1"/>
    </w:lvl>
  </w:abstractNum>
  <w:abstractNum w:abstractNumId="120">
    <w:nsid w:val="271210C7"/>
    <w:multiLevelType w:val="hybridMultilevel"/>
    <w:lvl w:ilvl="0">
      <w:lvlJc w:val="left"/>
      <w:lvlText w:val="(%1)"/>
      <w:numFmt w:val="lowerLetter"/>
      <w:start w:val="1"/>
    </w:lvl>
  </w:abstractNum>
  <w:abstractNum w:abstractNumId="121">
    <w:nsid w:val="217B22E4"/>
    <w:multiLevelType w:val="hybridMultilevel"/>
    <w:lvl w:ilvl="0">
      <w:lvlJc w:val="left"/>
      <w:lvlText w:val="(%1)"/>
      <w:numFmt w:val="lowerLetter"/>
      <w:start w:val="2"/>
    </w:lvl>
  </w:abstractNum>
  <w:abstractNum w:abstractNumId="122">
    <w:nsid w:val="53E31A24"/>
    <w:multiLevelType w:val="hybridMultilevel"/>
    <w:lvl w:ilvl="0">
      <w:lvlJc w:val="left"/>
      <w:lvlText w:val="(%1)"/>
      <w:numFmt w:val="lowerLetter"/>
      <w:start w:val="4"/>
    </w:lvl>
  </w:abstractNum>
  <w:abstractNum w:abstractNumId="123">
    <w:nsid w:val="6DC45E83"/>
    <w:multiLevelType w:val="hybridMultilevel"/>
    <w:lvl w:ilvl="0">
      <w:lvlJc w:val="left"/>
      <w:lvlText w:val="(%1)"/>
      <w:numFmt w:val="lowerLetter"/>
      <w:start w:val="7"/>
    </w:lvl>
  </w:abstractNum>
  <w:abstractNum w:abstractNumId="124">
    <w:nsid w:val="17304A67"/>
    <w:multiLevelType w:val="hybridMultilevel"/>
    <w:lvl w:ilvl="0">
      <w:lvlJc w:val="left"/>
      <w:lvlText w:val="(%1)"/>
      <w:numFmt w:val="lowerLetter"/>
      <w:start w:val="8"/>
    </w:lvl>
  </w:abstractNum>
  <w:abstractNum w:abstractNumId="125">
    <w:nsid w:val="2BB180D8"/>
    <w:multiLevelType w:val="hybridMultilevel"/>
    <w:lvl w:ilvl="0">
      <w:lvlJc w:val="left"/>
      <w:lvlText w:val="(%1)"/>
      <w:numFmt w:val="lowerRoman"/>
      <w:start w:val="1"/>
    </w:lvl>
  </w:abstractNum>
  <w:abstractNum w:abstractNumId="126">
    <w:nsid w:val="556B69ED"/>
    <w:multiLevelType w:val="hybridMultilevel"/>
    <w:lvl w:ilvl="0">
      <w:lvlJc w:val="left"/>
      <w:lvlText w:val="%1"/>
      <w:numFmt w:val="lowerLetter"/>
      <w:start w:val="1"/>
    </w:lvl>
    <w:lvl w:ilvl="1">
      <w:lvlJc w:val="left"/>
      <w:lvlText w:val="(%2)"/>
      <w:numFmt w:val="lowerLetter"/>
      <w:start w:val="1"/>
    </w:lvl>
  </w:abstractNum>
  <w:abstractNum w:abstractNumId="127">
    <w:nsid w:val="70836196"/>
    <w:multiLevelType w:val="hybridMultilevel"/>
    <w:lvl w:ilvl="0">
      <w:lvlJc w:val="left"/>
      <w:lvlText w:val="(%1)"/>
      <w:numFmt w:val="lowerLetter"/>
      <w:start w:val="10"/>
    </w:lvl>
    <w:lvl w:ilvl="1">
      <w:lvlJc w:val="left"/>
      <w:lvlText w:val="%2"/>
      <w:numFmt w:val="lowerLetter"/>
      <w:start w:val="1"/>
    </w:lvl>
  </w:abstractNum>
  <w:abstractNum w:abstractNumId="128">
    <w:nsid w:val="539F7F12"/>
    <w:multiLevelType w:val="hybridMultilevel"/>
    <w:lvl w:ilvl="0">
      <w:lvlJc w:val="left"/>
      <w:lvlText w:val="•"/>
      <w:numFmt w:val="bullet"/>
      <w:start w:val="1"/>
    </w:lvl>
  </w:abstractNum>
  <w:abstractNum w:abstractNumId="129">
    <w:nsid w:val="2817E7EC"/>
    <w:multiLevelType w:val="hybridMultilevel"/>
    <w:lvl w:ilvl="0">
      <w:lvlJc w:val="left"/>
      <w:lvlText w:val="•"/>
      <w:numFmt w:val="bullet"/>
      <w:start w:val="1"/>
    </w:lvl>
  </w:abstractNum>
  <w:abstractNum w:abstractNumId="130">
    <w:nsid w:val="71482545"/>
    <w:multiLevelType w:val="hybridMultilevel"/>
    <w:lvl w:ilvl="0">
      <w:lvlJc w:val="left"/>
      <w:lvlText w:val="(%1)"/>
      <w:numFmt w:val="lowerRoman"/>
      <w:start w:val="1"/>
    </w:lvl>
  </w:abstractNum>
  <w:abstractNum w:abstractNumId="131">
    <w:nsid w:val="17D78639"/>
    <w:multiLevelType w:val="hybridMultilevel"/>
    <w:lvl w:ilvl="0">
      <w:lvlJc w:val="left"/>
      <w:lvlText w:val="•"/>
      <w:numFmt w:val="bullet"/>
      <w:start w:val="1"/>
    </w:lvl>
  </w:abstractNum>
  <w:abstractNum w:abstractNumId="132">
    <w:nsid w:val="141D2302"/>
    <w:multiLevelType w:val="hybridMultilevel"/>
    <w:lvl w:ilvl="0">
      <w:lvlJc w:val="left"/>
      <w:lvlText w:val="•"/>
      <w:numFmt w:val="bullet"/>
      <w:start w:val="1"/>
    </w:lvl>
  </w:abstractNum>
  <w:abstractNum w:abstractNumId="133">
    <w:nsid w:val="407168D8"/>
    <w:multiLevelType w:val="hybridMultilevel"/>
    <w:lvl w:ilvl="0">
      <w:lvlJc w:val="left"/>
      <w:lvlText w:val="•"/>
      <w:numFmt w:val="bullet"/>
      <w:start w:val="1"/>
    </w:lvl>
  </w:abstractNum>
  <w:abstractNum w:abstractNumId="134">
    <w:nsid w:val="6A1B45E5"/>
    <w:multiLevelType w:val="hybridMultilevel"/>
    <w:lvl w:ilvl="0">
      <w:lvlJc w:val="left"/>
      <w:lvlText w:val="•"/>
      <w:numFmt w:val="bullet"/>
      <w:start w:val="1"/>
    </w:lvl>
  </w:abstractNum>
  <w:abstractNum w:abstractNumId="135">
    <w:nsid w:val="567BD50A"/>
    <w:multiLevelType w:val="hybridMultilevel"/>
    <w:lvl w:ilvl="0">
      <w:lvlJc w:val="left"/>
      <w:lvlText w:val="•"/>
      <w:numFmt w:val="bullet"/>
      <w:start w:val="1"/>
    </w:lvl>
  </w:abstractNum>
  <w:abstractNum w:abstractNumId="136">
    <w:nsid w:val="73BBD7F8"/>
    <w:multiLevelType w:val="hybridMultilevel"/>
    <w:lvl w:ilvl="0">
      <w:lvlJc w:val="left"/>
      <w:lvlText w:val="(%1)"/>
      <w:numFmt w:val="decimal"/>
      <w:start w:val="866"/>
    </w:lvl>
  </w:abstractNum>
  <w:abstractNum w:abstractNumId="137">
    <w:nsid w:val="1876589D"/>
    <w:multiLevelType w:val="hybridMultilevel"/>
    <w:lvl w:ilvl="0">
      <w:lvlJc w:val="left"/>
      <w:lvlText w:val="•"/>
      <w:numFmt w:val="bullet"/>
      <w:start w:val="1"/>
    </w:lvl>
  </w:abstractNum>
  <w:abstractNum w:abstractNumId="138">
    <w:nsid w:val="327FAC77"/>
    <w:multiLevelType w:val="hybridMultilevel"/>
    <w:lvl w:ilvl="0">
      <w:lvlJc w:val="left"/>
      <w:lvlText w:val="•"/>
      <w:numFmt w:val="bullet"/>
      <w:start w:val="1"/>
    </w:lvl>
  </w:abstractNum>
  <w:abstractNum w:abstractNumId="139">
    <w:nsid w:val="5A606509"/>
    <w:multiLevelType w:val="hybridMultilevel"/>
    <w:lvl w:ilvl="0">
      <w:lvlJc w:val="left"/>
      <w:lvlText w:val="•"/>
      <w:numFmt w:val="bullet"/>
      <w:start w:val="1"/>
    </w:lvl>
  </w:abstractNum>
  <w:abstractNum w:abstractNumId="140">
    <w:nsid w:val="6F38E6D1"/>
    <w:multiLevelType w:val="hybridMultilevel"/>
    <w:lvl w:ilvl="0">
      <w:lvlJc w:val="left"/>
      <w:lvlText w:val="•"/>
      <w:numFmt w:val="bullet"/>
      <w:start w:val="1"/>
    </w:lvl>
  </w:abstractNum>
  <w:abstractNum w:abstractNumId="141">
    <w:nsid w:val="46111BA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2">
    <w:nsid w:val="5E963896"/>
    <w:multiLevelType w:val="hybridMultilevel"/>
    <w:lvl w:ilvl="0">
      <w:lvlJc w:val="left"/>
      <w:lvlText w:val="•"/>
      <w:numFmt w:val="bullet"/>
      <w:start w:val="1"/>
    </w:lvl>
    <w:lvl w:ilvl="1">
      <w:lvlJc w:val="left"/>
      <w:lvlText w:val="•"/>
      <w:numFmt w:val="bullet"/>
      <w:start w:val="1"/>
    </w:lvl>
  </w:abstractNum>
  <w:abstractNum w:abstractNumId="143">
    <w:nsid w:val="775BA7C1"/>
    <w:multiLevelType w:val="hybridMultilevel"/>
    <w:lvl w:ilvl="0">
      <w:lvlJc w:val="left"/>
      <w:lvlText w:val="•"/>
      <w:numFmt w:val="bullet"/>
      <w:start w:val="1"/>
    </w:lvl>
  </w:abstractNum>
  <w:abstractNum w:abstractNumId="144">
    <w:nsid w:val="1DD6D6F4"/>
    <w:multiLevelType w:val="hybridMultilevel"/>
    <w:lvl w:ilvl="0">
      <w:lvlJc w:val="left"/>
      <w:lvlText w:val="•"/>
      <w:numFmt w:val="bullet"/>
      <w:start w:val="1"/>
    </w:lvl>
    <w:lvl w:ilvl="1">
      <w:lvlJc w:val="left"/>
      <w:lvlText w:val="•"/>
      <w:numFmt w:val="bullet"/>
      <w:start w:val="1"/>
    </w:lvl>
  </w:abstractNum>
  <w:abstractNum w:abstractNumId="145">
    <w:nsid w:val="769A091F"/>
    <w:multiLevelType w:val="hybridMultilevel"/>
    <w:lvl w:ilvl="0">
      <w:lvlJc w:val="left"/>
      <w:lvlText w:val="•"/>
      <w:numFmt w:val="bullet"/>
      <w:start w:val="1"/>
    </w:lvl>
  </w:abstractNum>
  <w:abstractNum w:abstractNumId="146">
    <w:nsid w:val="4695AE95"/>
    <w:multiLevelType w:val="hybridMultilevel"/>
    <w:lvl w:ilvl="0">
      <w:lvlJc w:val="left"/>
      <w:lvlText w:val="•"/>
      <w:numFmt w:val="bullet"/>
      <w:start w:val="1"/>
    </w:lvl>
  </w:abstractNum>
  <w:abstractNum w:abstractNumId="147">
    <w:nsid w:val="777A4EAA"/>
    <w:multiLevelType w:val="hybridMultilevel"/>
    <w:lvl w:ilvl="0">
      <w:lvlJc w:val="left"/>
      <w:lvlText w:val="•"/>
      <w:numFmt w:val="bullet"/>
      <w:start w:val="1"/>
    </w:lvl>
  </w:abstractNum>
  <w:abstractNum w:abstractNumId="148">
    <w:nsid w:val="3F48B982"/>
    <w:multiLevelType w:val="hybridMultilevel"/>
    <w:lvl w:ilvl="0">
      <w:lvlJc w:val="left"/>
      <w:lvlText w:val="•"/>
      <w:numFmt w:val="bullet"/>
      <w:start w:val="1"/>
    </w:lvl>
  </w:abstractNum>
  <w:abstractNum w:abstractNumId="149">
    <w:nsid w:val="46BA8FCA"/>
    <w:multiLevelType w:val="hybridMultilevel"/>
    <w:lvl w:ilvl="0">
      <w:lvlJc w:val="left"/>
      <w:lvlText w:val="•"/>
      <w:numFmt w:val="bullet"/>
      <w:start w:val="1"/>
    </w:lvl>
  </w:abstractNum>
  <w:abstractNum w:abstractNumId="150">
    <w:nsid w:val="7835626C"/>
    <w:multiLevelType w:val="hybridMultilevel"/>
    <w:lvl w:ilvl="0">
      <w:lvlJc w:val="left"/>
      <w:lvlText w:val="•"/>
      <w:numFmt w:val="bullet"/>
      <w:start w:val="1"/>
    </w:lvl>
  </w:abstractNum>
  <w:abstractNum w:abstractNumId="151">
    <w:nsid w:val="665ACA49"/>
    <w:multiLevelType w:val="hybridMultilevel"/>
    <w:lvl w:ilvl="0">
      <w:lvlJc w:val="left"/>
      <w:lvlText w:val="•"/>
      <w:numFmt w:val="bullet"/>
      <w:start w:val="1"/>
    </w:lvl>
  </w:abstractNum>
  <w:abstractNum w:abstractNumId="152">
    <w:nsid w:val="6835B2AE"/>
    <w:multiLevelType w:val="hybridMultilevel"/>
    <w:lvl w:ilvl="0">
      <w:lvlJc w:val="left"/>
      <w:lvlText w:val="•"/>
      <w:numFmt w:val="bullet"/>
      <w:start w:val="1"/>
    </w:lvl>
  </w:abstractNum>
  <w:abstractNum w:abstractNumId="153">
    <w:nsid w:val="4C187C90"/>
    <w:multiLevelType w:val="hybridMultilevel"/>
    <w:lvl w:ilvl="0">
      <w:lvlJc w:val="left"/>
      <w:lvlText w:val="•"/>
      <w:numFmt w:val="bullet"/>
      <w:start w:val="1"/>
    </w:lvl>
  </w:abstractNum>
  <w:abstractNum w:abstractNumId="154">
    <w:nsid w:val="541F28CD"/>
    <w:multiLevelType w:val="hybridMultilevel"/>
    <w:lvl w:ilvl="0">
      <w:lvlJc w:val="left"/>
      <w:lvlText w:val="•"/>
      <w:numFmt w:val="bullet"/>
      <w:start w:val="1"/>
    </w:lvl>
  </w:abstractNum>
  <w:abstractNum w:abstractNumId="155">
    <w:nsid w:val="7F65FD16"/>
    <w:multiLevelType w:val="hybridMultilevel"/>
    <w:lvl w:ilvl="0">
      <w:lvlJc w:val="left"/>
      <w:lvlText w:val="•"/>
      <w:numFmt w:val="bullet"/>
      <w:start w:val="1"/>
    </w:lvl>
    <w:lvl w:ilvl="1">
      <w:lvlJc w:val="left"/>
      <w:lvlText w:val="•"/>
      <w:numFmt w:val="bullet"/>
      <w:start w:val="1"/>
    </w:lvl>
  </w:abstractNum>
  <w:abstractNum w:abstractNumId="156">
    <w:nsid w:val="77C9FD68"/>
    <w:multiLevelType w:val="hybridMultilevel"/>
    <w:lvl w:ilvl="0">
      <w:lvlJc w:val="left"/>
      <w:lvlText w:val="•"/>
      <w:numFmt w:val="bullet"/>
      <w:start w:val="1"/>
    </w:lvl>
  </w:abstractNum>
  <w:abstractNum w:abstractNumId="157">
    <w:nsid w:val="298A92BA"/>
    <w:multiLevelType w:val="hybridMultilevel"/>
    <w:lvl w:ilvl="0">
      <w:lvlJc w:val="left"/>
      <w:lvlText w:val="•"/>
      <w:numFmt w:val="bullet"/>
      <w:start w:val="1"/>
    </w:lvl>
  </w:abstractNum>
  <w:abstractNum w:abstractNumId="158">
    <w:nsid w:val="6FE95EAC"/>
    <w:multiLevelType w:val="hybridMultilevel"/>
    <w:lvl w:ilvl="0">
      <w:lvlJc w:val="left"/>
      <w:lvlText w:val="•"/>
      <w:numFmt w:val="bullet"/>
      <w:start w:val="1"/>
    </w:lvl>
  </w:abstractNum>
  <w:abstractNum w:abstractNumId="159">
    <w:nsid w:val="4B697C7A"/>
    <w:multiLevelType w:val="hybridMultilevel"/>
    <w:lvl w:ilvl="0">
      <w:lvlJc w:val="left"/>
      <w:lvlText w:val="*"/>
      <w:numFmt w:val="bullet"/>
      <w:start w:val="1"/>
    </w:lvl>
  </w:abstractNum>
  <w:abstractNum w:abstractNumId="160">
    <w:nsid w:val="51A27AA6"/>
    <w:multiLevelType w:val="hybridMultilevel"/>
    <w:lvl w:ilvl="0">
      <w:lvlJc w:val="left"/>
      <w:lvlText w:val="•"/>
      <w:numFmt w:val="bullet"/>
      <w:start w:val="1"/>
    </w:lvl>
  </w:abstractNum>
  <w:abstractNum w:abstractNumId="161">
    <w:nsid w:val="613183F2"/>
    <w:multiLevelType w:val="hybridMultilevel"/>
    <w:lvl w:ilvl="0">
      <w:lvlJc w:val="left"/>
      <w:lvlText w:val="•"/>
      <w:numFmt w:val="bullet"/>
      <w:start w:val="1"/>
    </w:lvl>
  </w:abstractNum>
  <w:abstractNum w:abstractNumId="162">
    <w:nsid w:val="634102B4"/>
    <w:multiLevelType w:val="hybridMultilevel"/>
    <w:lvl w:ilvl="0">
      <w:lvlJc w:val="left"/>
      <w:lvlText w:val="•"/>
      <w:numFmt w:val="bullet"/>
      <w:start w:val="1"/>
    </w:lvl>
    <w:lvl w:ilvl="1">
      <w:lvlJc w:val="left"/>
      <w:lvlText w:val="•"/>
      <w:numFmt w:val="bullet"/>
      <w:start w:val="1"/>
    </w:lvl>
  </w:abstractNum>
  <w:abstractNum w:abstractNumId="163">
    <w:nsid w:val="65BF9DA8"/>
    <w:multiLevelType w:val="hybridMultilevel"/>
    <w:lvl w:ilvl="0">
      <w:lvlJc w:val="left"/>
      <w:lvlText w:val="•"/>
      <w:numFmt w:val="bullet"/>
      <w:start w:val="1"/>
    </w:lvl>
  </w:abstractNum>
  <w:abstractNum w:abstractNumId="164">
    <w:nsid w:val="21A2ECCA"/>
    <w:multiLevelType w:val="hybridMultilevel"/>
    <w:lvl w:ilvl="0">
      <w:lvlJc w:val="left"/>
      <w:lvlText w:val="•"/>
      <w:numFmt w:val="bullet"/>
      <w:start w:val="1"/>
    </w:lvl>
  </w:abstractNum>
  <w:abstractNum w:abstractNumId="165">
    <w:nsid w:val="4D5C4899"/>
    <w:multiLevelType w:val="hybridMultilevel"/>
    <w:lvl w:ilvl="0">
      <w:lvlJc w:val="left"/>
      <w:lvlText w:val="•"/>
      <w:numFmt w:val="bullet"/>
      <w:start w:val="1"/>
    </w:lvl>
  </w:abstractNum>
  <w:abstractNum w:abstractNumId="166">
    <w:nsid w:val="3C3B72B2"/>
    <w:multiLevelType w:val="hybridMultilevel"/>
    <w:lvl w:ilvl="0">
      <w:lvlJc w:val="left"/>
      <w:lvlText w:val="•"/>
      <w:numFmt w:val="bullet"/>
      <w:start w:val="1"/>
    </w:lvl>
  </w:abstractNum>
  <w:abstractNum w:abstractNumId="167">
    <w:nsid w:val="155EC4C2"/>
    <w:multiLevelType w:val="hybridMultilevel"/>
    <w:lvl w:ilvl="0">
      <w:lvlJc w:val="left"/>
      <w:lvlText w:val="•"/>
      <w:numFmt w:val="bullet"/>
      <w:start w:val="1"/>
    </w:lvl>
  </w:abstractNum>
  <w:abstractNum w:abstractNumId="168">
    <w:nsid w:val="65D2A137"/>
    <w:multiLevelType w:val="hybridMultilevel"/>
    <w:lvl w:ilvl="0">
      <w:lvlJc w:val="left"/>
      <w:lvlText w:val="•"/>
      <w:numFmt w:val="bullet"/>
      <w:start w:val="1"/>
    </w:lvl>
  </w:abstractNum>
  <w:abstractNum w:abstractNumId="169">
    <w:nsid w:val="6EBB1F2A"/>
    <w:multiLevelType w:val="hybridMultilevel"/>
    <w:lvl w:ilvl="0">
      <w:lvlJc w:val="left"/>
      <w:lvlText w:val="•"/>
      <w:numFmt w:val="bullet"/>
      <w:start w:val="1"/>
    </w:lvl>
  </w:abstractNum>
  <w:abstractNum w:abstractNumId="170">
    <w:nsid w:val="6FBF29CB"/>
    <w:multiLevelType w:val="hybridMultilevel"/>
    <w:lvl w:ilvl="0">
      <w:lvlJc w:val="left"/>
      <w:lvlText w:val="(%1)"/>
      <w:numFmt w:val="lowerLetter"/>
      <w:start w:val="3"/>
    </w:lvl>
  </w:abstractNum>
  <w:abstractNum w:abstractNumId="171">
    <w:nsid w:val="550B8808"/>
    <w:multiLevelType w:val="hybridMultilevel"/>
    <w:lvl w:ilvl="0">
      <w:lvlJc w:val="left"/>
      <w:lvlText w:val="(%1)"/>
      <w:numFmt w:val="lowerRoman"/>
      <w:start w:val="3"/>
    </w:lvl>
  </w:abstractNum>
  <w:abstractNum w:abstractNumId="172">
    <w:nsid w:val="34CC3ACF"/>
    <w:multiLevelType w:val="hybridMultilevel"/>
    <w:lvl w:ilvl="0">
      <w:lvlJc w:val="left"/>
      <w:lvlText w:val="(%1)"/>
      <w:numFmt w:val="decimal"/>
      <w:start w:val="1"/>
    </w:lvl>
  </w:abstractNum>
  <w:abstractNum w:abstractNumId="173">
    <w:nsid w:val="4E556261"/>
    <w:multiLevelType w:val="hybridMultilevel"/>
    <w:lvl w:ilvl="0">
      <w:lvlJc w:val="left"/>
      <w:lvlText w:val="(%1)"/>
      <w:numFmt w:val="decimal"/>
      <w:start w:val="1"/>
    </w:lvl>
  </w:abstractNum>
  <w:abstractNum w:abstractNumId="174">
    <w:nsid w:val="4C672FC9"/>
    <w:multiLevelType w:val="hybridMultilevel"/>
    <w:lvl w:ilvl="0">
      <w:lvlJc w:val="left"/>
      <w:lvlText w:val="(%1)"/>
      <w:numFmt w:val="decimal"/>
      <w:start w:val="1"/>
    </w:lvl>
  </w:abstractNum>
  <w:abstractNum w:abstractNumId="175">
    <w:nsid w:val="52A311C3"/>
    <w:multiLevelType w:val="hybridMultilevel"/>
    <w:lvl w:ilvl="0">
      <w:lvlJc w:val="left"/>
      <w:lvlText w:val="(%1)"/>
      <w:numFmt w:val="decimal"/>
      <w:start w:val="2"/>
    </w:lvl>
  </w:abstractNum>
  <w:abstractNum w:abstractNumId="176">
    <w:nsid w:val="44EF6B80"/>
    <w:multiLevelType w:val="hybridMultilevel"/>
    <w:lvl w:ilvl="0">
      <w:lvlJc w:val="left"/>
      <w:lvlText w:val="(%1)"/>
      <w:numFmt w:val="decimal"/>
      <w:start w:val="1"/>
    </w:lvl>
  </w:abstractNum>
  <w:abstractNum w:abstractNumId="177">
    <w:nsid w:val="12FCDE5E"/>
    <w:multiLevelType w:val="hybridMultilevel"/>
    <w:lvl w:ilvl="0">
      <w:lvlJc w:val="left"/>
      <w:lvlText w:val="(%1)"/>
      <w:numFmt w:val="decimal"/>
      <w:start w:val="1"/>
    </w:lvl>
  </w:abstractNum>
  <w:abstractNum w:abstractNumId="178">
    <w:nsid w:val="4A1D606E"/>
    <w:multiLevelType w:val="hybridMultilevel"/>
    <w:lvl w:ilvl="0">
      <w:lvlJc w:val="left"/>
      <w:lvlText w:val="(%1)"/>
      <w:numFmt w:val="decimal"/>
      <w:start w:val="1"/>
    </w:lvl>
  </w:abstractNum>
  <w:abstractNum w:abstractNumId="179">
    <w:nsid w:val="4382503"/>
    <w:multiLevelType w:val="hybridMultilevel"/>
    <w:lvl w:ilvl="0">
      <w:lvlJc w:val="left"/>
      <w:lvlText w:val="•"/>
      <w:numFmt w:val="bullet"/>
      <w:start w:val="1"/>
    </w:lvl>
  </w:abstractNum>
  <w:abstractNum w:abstractNumId="180">
    <w:nsid w:val="59B76E28"/>
    <w:multiLevelType w:val="hybridMultilevel"/>
    <w:lvl w:ilvl="0">
      <w:lvlJc w:val="left"/>
      <w:lvlText w:val="•"/>
      <w:numFmt w:val="bullet"/>
      <w:start w:val="1"/>
    </w:lvl>
  </w:abstractNum>
  <w:abstractNum w:abstractNumId="181">
    <w:nsid w:val="4252C2DA"/>
    <w:multiLevelType w:val="hybridMultilevel"/>
    <w:lvl w:ilvl="0">
      <w:lvlJc w:val="left"/>
      <w:lvlText w:val="(%1)"/>
      <w:numFmt w:val="lowerRoman"/>
      <w:start w:val="2"/>
    </w:lvl>
  </w:abstractNum>
  <w:abstractNum w:abstractNumId="182">
    <w:nsid w:val="6A92EF4C"/>
    <w:multiLevelType w:val="hybridMultilevel"/>
    <w:lvl w:ilvl="0">
      <w:lvlJc w:val="left"/>
      <w:lvlText w:val="•"/>
      <w:numFmt w:val="bullet"/>
      <w:start w:val="1"/>
    </w:lvl>
  </w:abstractNum>
  <w:abstractNum w:abstractNumId="183">
    <w:nsid w:val="41ED20D7"/>
    <w:multiLevelType w:val="hybridMultilevel"/>
    <w:lvl w:ilvl="0">
      <w:lvlJc w:val="left"/>
      <w:lvlText w:val="•"/>
      <w:numFmt w:val="bullet"/>
      <w:start w:val="1"/>
    </w:lvl>
  </w:abstractNum>
  <w:abstractNum w:abstractNumId="184">
    <w:nsid w:val="E6B3F6A"/>
    <w:multiLevelType w:val="hybridMultilevel"/>
    <w:lvl w:ilvl="0">
      <w:lvlJc w:val="left"/>
      <w:lvlText w:val="•"/>
      <w:numFmt w:val="bullet"/>
      <w:start w:val="1"/>
    </w:lvl>
  </w:abstractNum>
  <w:abstractNum w:abstractNumId="185">
    <w:nsid w:val="3EB21819"/>
    <w:multiLevelType w:val="hybridMultilevel"/>
    <w:lvl w:ilvl="0">
      <w:lvlJc w:val="left"/>
      <w:lvlText w:val="(%1)"/>
      <w:numFmt w:val="lowerLetter"/>
      <w:start w:val="3"/>
    </w:lvl>
  </w:abstractNum>
  <w:abstractNum w:abstractNumId="186">
    <w:nsid w:val="41531DED"/>
    <w:multiLevelType w:val="hybridMultilevel"/>
    <w:lvl w:ilvl="0">
      <w:lvlJc w:val="left"/>
      <w:lvlText w:val="•"/>
      <w:numFmt w:val="bullet"/>
      <w:start w:val="1"/>
    </w:lvl>
  </w:abstractNum>
  <w:abstractNum w:abstractNumId="187">
    <w:nsid w:val="6353CD2"/>
    <w:multiLevelType w:val="hybridMultilevel"/>
    <w:lvl w:ilvl="0">
      <w:lvlJc w:val="left"/>
      <w:lvlText w:val="•"/>
      <w:numFmt w:val="bullet"/>
      <w:start w:val="1"/>
    </w:lvl>
  </w:abstractNum>
  <w:abstractNum w:abstractNumId="188">
    <w:nsid w:val="683CAAD3"/>
    <w:multiLevelType w:val="hybridMultilevel"/>
    <w:lvl w:ilvl="0">
      <w:lvlJc w:val="left"/>
      <w:lvlText w:val="•"/>
      <w:numFmt w:val="bullet"/>
      <w:start w:val="1"/>
    </w:lvl>
  </w:abstractNum>
  <w:abstractNum w:abstractNumId="189">
    <w:nsid w:val="313C7C99"/>
    <w:multiLevelType w:val="hybridMultilevel"/>
    <w:lvl w:ilvl="0">
      <w:lvlJc w:val="left"/>
      <w:lvlText w:val="•"/>
      <w:numFmt w:val="bullet"/>
      <w:start w:val="1"/>
    </w:lvl>
  </w:abstractNum>
  <w:abstractNum w:abstractNumId="190">
    <w:nsid w:val="519EB94C"/>
    <w:multiLevelType w:val="hybridMultilevel"/>
    <w:lvl w:ilvl="0">
      <w:lvlJc w:val="left"/>
      <w:lvlText w:val="•"/>
      <w:numFmt w:val="bullet"/>
      <w:start w:val="1"/>
    </w:lvl>
  </w:abstractNum>
  <w:abstractNum w:abstractNumId="191">
    <w:nsid w:val="39DF2579"/>
    <w:multiLevelType w:val="hybridMultilevel"/>
    <w:lvl w:ilvl="0">
      <w:lvlJc w:val="left"/>
      <w:lvlText w:val="•"/>
      <w:numFmt w:val="bullet"/>
      <w:start w:val="1"/>
    </w:lvl>
  </w:abstractNum>
  <w:abstractNum w:abstractNumId="192">
    <w:nsid w:val="126E008B"/>
    <w:multiLevelType w:val="hybridMultilevel"/>
    <w:lvl w:ilvl="0">
      <w:lvlJc w:val="left"/>
      <w:lvlText w:val="•"/>
      <w:numFmt w:val="bullet"/>
      <w:start w:val="1"/>
    </w:lvl>
  </w:abstractNum>
  <w:abstractNum w:abstractNumId="193">
    <w:nsid w:val="34DFBC00"/>
    <w:multiLevelType w:val="hybridMultilevel"/>
    <w:lvl w:ilvl="0">
      <w:lvlJc w:val="left"/>
      <w:lvlText w:val="•"/>
      <w:numFmt w:val="bullet"/>
      <w:start w:val="1"/>
    </w:lvl>
  </w:abstractNum>
  <w:abstractNum w:abstractNumId="194">
    <w:nsid w:val="1F9EC322"/>
    <w:multiLevelType w:val="hybridMultilevel"/>
    <w:lvl w:ilvl="0">
      <w:lvlJc w:val="left"/>
      <w:lvlText w:val="•"/>
      <w:numFmt w:val="bullet"/>
      <w:start w:val="1"/>
    </w:lvl>
  </w:abstractNum>
  <w:abstractNum w:abstractNumId="195">
    <w:nsid w:val="3410ED56"/>
    <w:multiLevelType w:val="hybridMultilevel"/>
    <w:lvl w:ilvl="0">
      <w:lvlJc w:val="left"/>
      <w:lvlText w:val="•"/>
      <w:numFmt w:val="bullet"/>
      <w:start w:val="1"/>
    </w:lvl>
  </w:abstractNum>
  <w:abstractNum w:abstractNumId="196">
    <w:nsid w:val="23C049A"/>
    <w:multiLevelType w:val="hybridMultilevel"/>
    <w:lvl w:ilvl="0">
      <w:lvlJc w:val="left"/>
      <w:lvlText w:val="•"/>
      <w:numFmt w:val="bullet"/>
      <w:start w:val="1"/>
    </w:lvl>
  </w:abstractNum>
  <w:abstractNum w:abstractNumId="197">
    <w:nsid w:val="5BDA35D4"/>
    <w:multiLevelType w:val="hybridMultilevel"/>
    <w:lvl w:ilvl="0">
      <w:lvlJc w:val="left"/>
      <w:lvlText w:val="•"/>
      <w:numFmt w:val="bullet"/>
      <w:start w:val="1"/>
    </w:lvl>
  </w:abstractNum>
  <w:abstractNum w:abstractNumId="198">
    <w:nsid w:val="496FB218"/>
    <w:multiLevelType w:val="hybridMultilevel"/>
    <w:lvl w:ilvl="0">
      <w:lvlJc w:val="left"/>
      <w:lvlText w:val="(%1)"/>
      <w:numFmt w:val="lowerRoman"/>
      <w:start w:val="2"/>
    </w:lvl>
  </w:abstractNum>
  <w:abstractNum w:abstractNumId="199">
    <w:nsid w:val="680EA5D1"/>
    <w:multiLevelType w:val="hybridMultilevel"/>
    <w:lvl w:ilvl="0">
      <w:lvlJc w:val="left"/>
      <w:lvlText w:val="•"/>
      <w:numFmt w:val="bullet"/>
      <w:start w:val="1"/>
    </w:lvl>
  </w:abstractNum>
  <w:abstractNum w:abstractNumId="200">
    <w:nsid w:val="4A9554FE"/>
    <w:multiLevelType w:val="hybridMultilevel"/>
    <w:lvl w:ilvl="0">
      <w:lvlJc w:val="left"/>
      <w:lvlText w:val="(%1)"/>
      <w:numFmt w:val="lowerRoman"/>
      <w:start w:val="1"/>
    </w:lvl>
  </w:abstractNum>
  <w:abstractNum w:abstractNumId="201">
    <w:nsid w:val="392EDBE4"/>
    <w:multiLevelType w:val="hybridMultilevel"/>
    <w:lvl w:ilvl="0">
      <w:lvlJc w:val="left"/>
      <w:lvlText w:val="(%1)"/>
      <w:numFmt w:val="lowerRoman"/>
      <w:start w:val="2"/>
    </w:lvl>
  </w:abstractNum>
  <w:abstractNum w:abstractNumId="202">
    <w:nsid w:val="3D1A2DD9"/>
    <w:multiLevelType w:val="hybridMultilevel"/>
    <w:lvl w:ilvl="0">
      <w:lvlJc w:val="left"/>
      <w:lvlText w:val="•"/>
      <w:numFmt w:val="bullet"/>
      <w:start w:val="1"/>
    </w:lvl>
  </w:abstractNum>
  <w:abstractNum w:abstractNumId="203">
    <w:nsid w:val="7F618FCD"/>
    <w:multiLevelType w:val="hybridMultilevel"/>
    <w:lvl w:ilvl="0">
      <w:lvlJc w:val="left"/>
      <w:lvlText w:val="(%1)"/>
      <w:numFmt w:val="lowerRoman"/>
      <w:start w:val="2"/>
    </w:lvl>
  </w:abstractNum>
  <w:abstractNum w:abstractNumId="204">
    <w:nsid w:val="7843E45"/>
    <w:multiLevelType w:val="hybridMultilevel"/>
    <w:lvl w:ilvl="0">
      <w:lvlJc w:val="left"/>
      <w:lvlText w:val="•"/>
      <w:numFmt w:val="bullet"/>
      <w:start w:val="1"/>
    </w:lvl>
  </w:abstractNum>
  <w:abstractNum w:abstractNumId="205">
    <w:nsid w:val="9815DA3"/>
    <w:multiLevelType w:val="hybridMultilevel"/>
    <w:lvl w:ilvl="0">
      <w:lvlJc w:val="left"/>
      <w:lvlText w:val="(%1)"/>
      <w:numFmt w:val="lowerRoman"/>
      <w:start w:val="8"/>
    </w:lvl>
  </w:abstractNum>
  <w:abstractNum w:abstractNumId="206">
    <w:nsid w:val="5204A191"/>
    <w:multiLevelType w:val="hybridMultilevel"/>
    <w:lvl w:ilvl="0">
      <w:lvlJc w:val="left"/>
      <w:lvlText w:val="•"/>
      <w:numFmt w:val="bullet"/>
      <w:start w:val="1"/>
    </w:lvl>
  </w:abstractNum>
  <w:abstractNum w:abstractNumId="207">
    <w:nsid w:val="4C73A9C6"/>
    <w:multiLevelType w:val="hybridMultilevel"/>
    <w:lvl w:ilvl="0">
      <w:lvlJc w:val="left"/>
      <w:lvlText w:val="•"/>
      <w:numFmt w:val="bullet"/>
      <w:start w:val="1"/>
    </w:lvl>
    <w:lvl w:ilvl="1">
      <w:lvlJc w:val="left"/>
      <w:lvlText w:val="•"/>
      <w:numFmt w:val="bullet"/>
      <w:start w:val="1"/>
    </w:lvl>
  </w:abstractNum>
  <w:abstractNum w:abstractNumId="208">
    <w:nsid w:val="1C7E3C01"/>
    <w:multiLevelType w:val="hybridMultilevel"/>
    <w:lvl w:ilvl="0">
      <w:lvlJc w:val="left"/>
      <w:lvlText w:val="•"/>
      <w:numFmt w:val="bullet"/>
      <w:start w:val="1"/>
    </w:lvl>
    <w:lvl w:ilvl="1">
      <w:lvlJc w:val="left"/>
      <w:lvlText w:val="•"/>
      <w:numFmt w:val="bullet"/>
      <w:start w:val="1"/>
    </w:lvl>
  </w:abstractNum>
  <w:abstractNum w:abstractNumId="209">
    <w:nsid w:val="1C2201FF"/>
    <w:multiLevelType w:val="hybridMultilevel"/>
    <w:lvl w:ilvl="0">
      <w:lvlJc w:val="left"/>
      <w:lvlText w:val="(%1)"/>
      <w:numFmt w:val="lowerRoman"/>
      <w:start w:val="1"/>
    </w:lvl>
  </w:abstractNum>
  <w:abstractNum w:abstractNumId="210">
    <w:nsid w:val="50ABCEC9"/>
    <w:multiLevelType w:val="hybridMultilevel"/>
    <w:lvl w:ilvl="0">
      <w:lvlJc w:val="left"/>
      <w:lvlText w:val="•"/>
      <w:numFmt w:val="bullet"/>
      <w:start w:val="1"/>
    </w:lvl>
  </w:abstractNum>
  <w:abstractNum w:abstractNumId="211">
    <w:nsid w:val="7635AA2A"/>
    <w:multiLevelType w:val="hybridMultilevel"/>
    <w:lvl w:ilvl="0">
      <w:lvlJc w:val="left"/>
      <w:lvlText w:val="(%1)"/>
      <w:numFmt w:val="lowerRoman"/>
      <w:start w:val="1"/>
    </w:lvl>
  </w:abstractNum>
  <w:abstractNum w:abstractNumId="212">
    <w:nsid w:val="5E74C4D9"/>
    <w:multiLevelType w:val="hybridMultilevel"/>
    <w:lvl w:ilvl="0">
      <w:lvlJc w:val="left"/>
      <w:lvlText w:val="•"/>
      <w:numFmt w:val="bullet"/>
      <w:start w:val="1"/>
    </w:lvl>
  </w:abstractNum>
  <w:abstractNum w:abstractNumId="213">
    <w:nsid w:val="3B3EBE15"/>
    <w:multiLevelType w:val="hybridMultilevel"/>
    <w:lvl w:ilvl="0">
      <w:lvlJc w:val="left"/>
      <w:lvlText w:val="•"/>
      <w:numFmt w:val="bullet"/>
      <w:start w:val="1"/>
    </w:lvl>
  </w:abstractNum>
  <w:abstractNum w:abstractNumId="214">
    <w:nsid w:val="3822CB01"/>
    <w:multiLevelType w:val="hybridMultilevel"/>
    <w:lvl w:ilvl="0">
      <w:lvlJc w:val="left"/>
      <w:lvlText w:val="(%1)"/>
      <w:numFmt w:val="lowerRoman"/>
      <w:start w:val="2"/>
    </w:lvl>
  </w:abstractNum>
  <w:abstractNum w:abstractNumId="215">
    <w:nsid w:val="6CE00443"/>
    <w:multiLevelType w:val="hybridMultilevel"/>
    <w:lvl w:ilvl="0">
      <w:lvlJc w:val="left"/>
      <w:lvlText w:val="•"/>
      <w:numFmt w:val="bullet"/>
      <w:start w:val="1"/>
    </w:lvl>
    <w:lvl w:ilvl="1">
      <w:lvlJc w:val="left"/>
      <w:lvlText w:val="•"/>
      <w:numFmt w:val="bullet"/>
      <w:start w:val="1"/>
    </w:lvl>
  </w:abstractNum>
  <w:abstractNum w:abstractNumId="216">
    <w:nsid w:val="79F0D62F"/>
    <w:multiLevelType w:val="hybridMultilevel"/>
    <w:lvl w:ilvl="0">
      <w:lvlJc w:val="left"/>
      <w:lvlText w:val="(%1)"/>
      <w:numFmt w:val="lowerRoman"/>
      <w:start w:val="2"/>
    </w:lvl>
  </w:abstractNum>
  <w:abstractNum w:abstractNumId="217">
    <w:nsid w:val="7975E8EE"/>
    <w:multiLevelType w:val="hybridMultilevel"/>
    <w:lvl w:ilvl="0">
      <w:lvlJc w:val="left"/>
      <w:lvlText w:val="(%1)"/>
      <w:numFmt w:val="lowerRoman"/>
      <w:start w:val="4"/>
    </w:lvl>
  </w:abstractNum>
  <w:abstractNum w:abstractNumId="218">
    <w:nsid w:val="73154115"/>
    <w:multiLevelType w:val="hybridMultilevel"/>
    <w:lvl w:ilvl="0">
      <w:lvlJc w:val="left"/>
      <w:lvlText w:val="•"/>
      <w:numFmt w:val="bullet"/>
      <w:start w:val="1"/>
    </w:lvl>
  </w:abstractNum>
  <w:abstractNum w:abstractNumId="219">
    <w:nsid w:val="622D8102"/>
    <w:multiLevelType w:val="hybridMultilevel"/>
    <w:lvl w:ilvl="0">
      <w:lvlJc w:val="left"/>
      <w:lvlText w:val="(%1)"/>
      <w:numFmt w:val="lowerLetter"/>
      <w:start w:val="2"/>
    </w:lvl>
  </w:abstractNum>
  <w:abstractNum w:abstractNumId="220">
    <w:nsid w:val="2AB26587"/>
    <w:multiLevelType w:val="hybridMultilevel"/>
    <w:lvl w:ilvl="0">
      <w:lvlJc w:val="left"/>
      <w:lvlText w:val="•"/>
      <w:numFmt w:val="bullet"/>
      <w:start w:val="1"/>
    </w:lvl>
  </w:abstractNum>
  <w:abstractNum w:abstractNumId="221">
    <w:nsid w:val="44B3FA61"/>
    <w:multiLevelType w:val="hybridMultilevel"/>
    <w:lvl w:ilvl="0">
      <w:lvlJc w:val="left"/>
      <w:lvlText w:val="•"/>
      <w:numFmt w:val="bullet"/>
      <w:start w:val="1"/>
    </w:lvl>
  </w:abstractNum>
  <w:abstractNum w:abstractNumId="222">
    <w:nsid w:val="1C0CA67C"/>
    <w:multiLevelType w:val="hybridMultilevel"/>
    <w:lvl w:ilvl="0">
      <w:lvlJc w:val="left"/>
      <w:lvlText w:val="(%1)"/>
      <w:numFmt w:val="decimal"/>
      <w:start w:val="1"/>
    </w:lvl>
  </w:abstractNum>
  <w:abstractNum w:abstractNumId="223">
    <w:nsid w:val="3D206613"/>
    <w:multiLevelType w:val="hybridMultilevel"/>
    <w:lvl w:ilvl="0">
      <w:lvlJc w:val="left"/>
      <w:lvlText w:val="(%1)"/>
      <w:numFmt w:val="decimal"/>
      <w:start w:val="3"/>
    </w:lvl>
  </w:abstractNum>
  <w:abstractNum w:abstractNumId="224">
    <w:nsid w:val="7993B662"/>
    <w:multiLevelType w:val="hybridMultilevel"/>
    <w:lvl w:ilvl="0">
      <w:lvlJc w:val="left"/>
      <w:lvlText w:val="(%1)"/>
      <w:numFmt w:val="decimal"/>
      <w:start w:val="5"/>
    </w:lvl>
  </w:abstractNum>
  <w:abstractNum w:abstractNumId="225">
    <w:nsid w:val="3BAB699E"/>
    <w:multiLevelType w:val="hybridMultilevel"/>
    <w:lvl w:ilvl="0">
      <w:lvlJc w:val="left"/>
      <w:lvlText w:val="•"/>
      <w:numFmt w:val="bullet"/>
      <w:start w:val="1"/>
    </w:lvl>
    <w:lvl w:ilvl="1">
      <w:lvlJc w:val="left"/>
      <w:lvlText w:val="•"/>
      <w:numFmt w:val="bullet"/>
      <w:start w:val="1"/>
    </w:lvl>
  </w:abstractNum>
  <w:abstractNum w:abstractNumId="226">
    <w:nsid w:val="71315369"/>
    <w:multiLevelType w:val="hybridMultilevel"/>
    <w:lvl w:ilvl="0">
      <w:lvlJc w:val="left"/>
      <w:lvlText w:val="•"/>
      <w:numFmt w:val="bullet"/>
      <w:start w:val="1"/>
    </w:lvl>
    <w:lvl w:ilvl="1">
      <w:lvlJc w:val="left"/>
      <w:lvlText w:val="•"/>
      <w:numFmt w:val="bullet"/>
      <w:start w:val="1"/>
    </w:lvl>
  </w:abstractNum>
  <w:abstractNum w:abstractNumId="227">
    <w:nsid w:val="7BCFBAFC"/>
    <w:multiLevelType w:val="hybridMultilevel"/>
    <w:lvl w:ilvl="0">
      <w:lvlJc w:val="left"/>
      <w:lvlText w:val="•"/>
      <w:numFmt w:val="bullet"/>
      <w:start w:val="1"/>
    </w:lvl>
  </w:abstractNum>
  <w:abstractNum w:abstractNumId="228">
    <w:nsid w:val="17859F72"/>
    <w:multiLevelType w:val="hybridMultilevel"/>
    <w:lvl w:ilvl="0">
      <w:lvlJc w:val="left"/>
      <w:lvlText w:val="•"/>
      <w:numFmt w:val="bullet"/>
      <w:start w:val="1"/>
    </w:lvl>
  </w:abstractNum>
  <w:abstractNum w:abstractNumId="229">
    <w:nsid w:val="3AA10581"/>
    <w:multiLevelType w:val="hybridMultilevel"/>
    <w:lvl w:ilvl="0">
      <w:lvlJc w:val="left"/>
      <w:lvlText w:val="•"/>
      <w:numFmt w:val="bullet"/>
      <w:start w:val="1"/>
    </w:lvl>
  </w:abstractNum>
  <w:abstractNum w:abstractNumId="230">
    <w:nsid w:val="63DE60CD"/>
    <w:multiLevelType w:val="hybridMultilevel"/>
    <w:lvl w:ilvl="0">
      <w:lvlJc w:val="left"/>
      <w:lvlText w:val="•"/>
      <w:numFmt w:val="bullet"/>
      <w:start w:val="1"/>
    </w:lvl>
  </w:abstractNum>
  <w:abstractNum w:abstractNumId="231">
    <w:nsid w:val="621AF471"/>
    <w:multiLevelType w:val="hybridMultilevel"/>
    <w:lvl w:ilvl="0">
      <w:lvlJc w:val="left"/>
      <w:lvlText w:val="*"/>
      <w:numFmt w:val="bullet"/>
      <w:start w:val="1"/>
    </w:lvl>
  </w:abstractNum>
  <w:abstractNum w:abstractNumId="232">
    <w:nsid w:val="73CFE165"/>
    <w:multiLevelType w:val="hybridMultilevel"/>
    <w:lvl w:ilvl="0">
      <w:lvlJc w:val="left"/>
      <w:lvlText w:val="(%1)"/>
      <w:numFmt w:val="decimal"/>
      <w:start w:val="1"/>
    </w:lvl>
    <w:lvl w:ilvl="1">
      <w:lvlJc w:val="left"/>
      <w:lvlText w:val="(%2)"/>
      <w:numFmt w:val="lowerRoman"/>
      <w:start w:val="3"/>
    </w:lvl>
  </w:abstractNum>
  <w:abstractNum w:abstractNumId="233">
    <w:nsid w:val="20F88EA6"/>
    <w:multiLevelType w:val="hybridMultilevel"/>
    <w:lvl w:ilvl="0">
      <w:lvlJc w:val="left"/>
      <w:lvlText w:val="%1"/>
      <w:numFmt w:val="decimal"/>
      <w:start w:val="1"/>
    </w:lvl>
    <w:lvl w:ilvl="1">
      <w:lvlJc w:val="left"/>
      <w:lvlText w:val="(%2)"/>
      <w:numFmt w:val="lowerRoman"/>
      <w:start w:val="1"/>
    </w:lvl>
  </w:abstractNum>
  <w:abstractNum w:abstractNumId="234">
    <w:nsid w:val="617C843E"/>
    <w:multiLevelType w:val="hybridMultilevel"/>
    <w:lvl w:ilvl="0">
      <w:lvlJc w:val="left"/>
      <w:lvlText w:val="(%1)"/>
      <w:numFmt w:val="decimal"/>
      <w:start w:val="3"/>
    </w:lvl>
  </w:abstractNum>
  <w:abstractNum w:abstractNumId="235">
    <w:nsid w:val="7B541FAB"/>
    <w:multiLevelType w:val="hybridMultilevel"/>
    <w:lvl w:ilvl="0">
      <w:lvlJc w:val="left"/>
      <w:lvlText w:val="(%1)"/>
      <w:numFmt w:val="decimal"/>
      <w:start w:val="1"/>
    </w:lvl>
  </w:abstractNum>
  <w:abstractNum w:abstractNumId="236">
    <w:nsid w:val="2A79EC49"/>
    <w:multiLevelType w:val="hybridMultilevel"/>
    <w:lvl w:ilvl="0">
      <w:lvlJc w:val="left"/>
      <w:lvlText w:val="•"/>
      <w:numFmt w:val="bullet"/>
      <w:start w:val="1"/>
    </w:lvl>
  </w:abstractNum>
  <w:abstractNum w:abstractNumId="237">
    <w:nsid w:val="338125CF"/>
    <w:multiLevelType w:val="hybridMultilevel"/>
    <w:lvl w:ilvl="0">
      <w:lvlJc w:val="left"/>
      <w:lvlText w:val="*"/>
      <w:numFmt w:val="bullet"/>
      <w:start w:val="1"/>
    </w:lvl>
  </w:abstractNum>
  <w:abstractNum w:abstractNumId="238">
    <w:nsid w:val="47C7C971"/>
    <w:multiLevelType w:val="hybridMultilevel"/>
    <w:lvl w:ilvl="0">
      <w:lvlJc w:val="left"/>
      <w:lvlText w:val="(%1)"/>
      <w:numFmt w:val="decimal"/>
      <w:start w:val="1"/>
    </w:lvl>
  </w:abstractNum>
  <w:abstractNum w:abstractNumId="239">
    <w:nsid w:val="46F8284B"/>
    <w:multiLevelType w:val="hybridMultilevel"/>
    <w:lvl w:ilvl="0">
      <w:lvlJc w:val="left"/>
      <w:lvlText w:val="(%1)"/>
      <w:numFmt w:val="decimal"/>
      <w:start w:val="4"/>
    </w:lvl>
  </w:abstractNum>
  <w:abstractNum w:abstractNumId="240">
    <w:nsid w:val="4FA327CE"/>
    <w:multiLevelType w:val="hybridMultilevel"/>
    <w:lvl w:ilvl="0">
      <w:lvlJc w:val="left"/>
      <w:lvlText w:val="(%1)"/>
      <w:numFmt w:val="decimal"/>
      <w:start w:val="1"/>
    </w:lvl>
  </w:abstractNum>
  <w:abstractNum w:abstractNumId="241">
    <w:nsid w:val="1873983A"/>
    <w:multiLevelType w:val="hybridMultilevel"/>
    <w:lvl w:ilvl="0">
      <w:lvlJc w:val="left"/>
      <w:lvlText w:val="(%1)"/>
      <w:numFmt w:val="lowerRoman"/>
      <w:start w:val="1"/>
    </w:lvl>
  </w:abstractNum>
  <w:abstractNum w:abstractNumId="242">
    <w:nsid w:val="3D2DD275"/>
    <w:multiLevelType w:val="hybridMultilevel"/>
    <w:lvl w:ilvl="0">
      <w:lvlJc w:val="left"/>
      <w:lvlText w:val="(%1)"/>
      <w:numFmt w:val="lowerRoman"/>
      <w:start w:val="1"/>
    </w:lvl>
  </w:abstractNum>
  <w:abstractNum w:abstractNumId="243">
    <w:nsid w:val="2E17ECA7"/>
    <w:multiLevelType w:val="hybridMultilevel"/>
    <w:lvl w:ilvl="0">
      <w:lvlJc w:val="left"/>
      <w:lvlText w:val="(%1)"/>
      <w:numFmt w:val="lowerLetter"/>
      <w:start w:val="25"/>
    </w:lvl>
  </w:abstractNum>
  <w:abstractNum w:abstractNumId="244">
    <w:nsid w:val="53B2564F"/>
    <w:multiLevelType w:val="hybridMultilevel"/>
    <w:lvl w:ilvl="0">
      <w:lvlJc w:val="left"/>
      <w:lvlText w:val="(%1)"/>
      <w:numFmt w:val="lowerRoman"/>
      <w:start w:val="2"/>
    </w:lvl>
  </w:abstractNum>
  <w:abstractNum w:abstractNumId="245">
    <w:nsid w:val="75509D76"/>
    <w:multiLevelType w:val="hybridMultilevel"/>
    <w:lvl w:ilvl="0">
      <w:lvlJc w:val="left"/>
      <w:lvlText w:val="(%1)"/>
      <w:numFmt w:val="lowerRoman"/>
      <w:start w:val="1"/>
    </w:lvl>
  </w:abstractNum>
  <w:abstractNum w:abstractNumId="246">
    <w:nsid w:val="1AF7F0EA"/>
    <w:multiLevelType w:val="hybridMultilevel"/>
    <w:lvl w:ilvl="0">
      <w:lvlJc w:val="left"/>
      <w:lvlText w:val="(%1)"/>
      <w:numFmt w:val="lowerRoman"/>
      <w:start w:val="1"/>
    </w:lvl>
  </w:abstractNum>
  <w:abstractNum w:abstractNumId="247">
    <w:nsid w:val="4DA32C7E"/>
    <w:multiLevelType w:val="hybridMultilevel"/>
    <w:lvl w:ilvl="0">
      <w:lvlJc w:val="left"/>
      <w:lvlText w:val="(%1)"/>
      <w:numFmt w:val="lowerRoman"/>
      <w:start w:val="1"/>
    </w:lvl>
  </w:abstractNum>
  <w:abstractNum w:abstractNumId="248">
    <w:nsid w:val="6EC68664"/>
    <w:multiLevelType w:val="hybridMultilevel"/>
    <w:lvl w:ilvl="0">
      <w:lvlJc w:val="left"/>
      <w:lvlText w:val="(%1)"/>
      <w:numFmt w:val="lowerRoman"/>
      <w:start w:val="1"/>
    </w:lvl>
  </w:abstractNum>
  <w:abstractNum w:abstractNumId="249">
    <w:nsid w:val="E0D31FF"/>
    <w:multiLevelType w:val="hybridMultilevel"/>
    <w:lvl w:ilvl="0">
      <w:lvlJc w:val="left"/>
      <w:lvlText w:val="(%1)"/>
      <w:numFmt w:val="lowerRoman"/>
      <w:start w:val="1"/>
    </w:lvl>
  </w:abstractNum>
  <w:abstractNum w:abstractNumId="250">
    <w:nsid w:val="2FD0AD81"/>
    <w:multiLevelType w:val="hybridMultilevel"/>
    <w:lvl w:ilvl="0">
      <w:lvlJc w:val="left"/>
      <w:lvlText w:val="(%1)"/>
      <w:numFmt w:val="lowerRoman"/>
      <w:start w:val="1"/>
    </w:lvl>
  </w:abstractNum>
  <w:abstractNum w:abstractNumId="251">
    <w:nsid w:val="1978EBEB"/>
    <w:multiLevelType w:val="hybridMultilevel"/>
    <w:lvl w:ilvl="0">
      <w:lvlJc w:val="left"/>
      <w:lvlText w:val="•"/>
      <w:numFmt w:val="bullet"/>
      <w:start w:val="1"/>
    </w:lvl>
  </w:abstractNum>
  <w:abstractNum w:abstractNumId="252">
    <w:nsid w:val="52C12C61"/>
    <w:multiLevelType w:val="hybridMultilevel"/>
    <w:lvl w:ilvl="0">
      <w:lvlJc w:val="left"/>
      <w:lvlText w:val="•"/>
      <w:numFmt w:val="bullet"/>
      <w:start w:val="1"/>
    </w:lvl>
  </w:abstractNum>
  <w:abstractNum w:abstractNumId="253">
    <w:nsid w:val="4BDD53FD"/>
    <w:multiLevelType w:val="hybridMultilevel"/>
    <w:lvl w:ilvl="0">
      <w:lvlJc w:val="left"/>
      <w:lvlText w:val="(%1)"/>
      <w:numFmt w:val="lowerRoman"/>
      <w:start w:val="1"/>
    </w:lvl>
  </w:abstractNum>
  <w:abstractNum w:abstractNumId="254">
    <w:nsid w:val="569951FE"/>
    <w:multiLevelType w:val="hybridMultilevel"/>
    <w:lvl w:ilvl="0">
      <w:lvlJc w:val="left"/>
      <w:lvlText w:val="(%1)"/>
      <w:numFmt w:val="upperLetter"/>
      <w:start w:val="6"/>
    </w:lvl>
  </w:abstractNum>
  <w:abstractNum w:abstractNumId="255">
    <w:nsid w:val="4C54E2C3"/>
    <w:multiLevelType w:val="hybridMultilevel"/>
    <w:lvl w:ilvl="0">
      <w:lvlJc w:val="left"/>
      <w:lvlText w:val="(%1)"/>
      <w:numFmt w:val="lowerRoman"/>
      <w:start w:val="3"/>
    </w:lvl>
  </w:abstractNum>
  <w:abstractNum w:abstractNumId="256">
    <w:nsid w:val="788BD9B"/>
    <w:multiLevelType w:val="hybridMultilevel"/>
    <w:lvl w:ilvl="0">
      <w:lvlJc w:val="left"/>
      <w:lvlText w:val="(%1)"/>
      <w:numFmt w:val="lowerLetter"/>
      <w:start w:val="2"/>
    </w:lvl>
  </w:abstractNum>
  <w:abstractNum w:abstractNumId="257">
    <w:nsid w:val="47CAA567"/>
    <w:multiLevelType w:val="hybridMultilevel"/>
    <w:lvl w:ilvl="0">
      <w:lvlJc w:val="left"/>
      <w:lvlText w:val="(%1)"/>
      <w:numFmt w:val="lowerLetter"/>
      <w:start w:val="2"/>
    </w:lvl>
  </w:abstractNum>
  <w:abstractNum w:abstractNumId="258">
    <w:nsid w:val="48249DBF"/>
    <w:multiLevelType w:val="hybridMultilevel"/>
    <w:lvl w:ilvl="0">
      <w:lvlJc w:val="left"/>
      <w:lvlText w:val="(%1)"/>
      <w:numFmt w:val="lowerLetter"/>
      <w:start w:val="4"/>
    </w:lvl>
  </w:abstractNum>
  <w:abstractNum w:abstractNumId="259">
    <w:nsid w:val="1F0E5D0D"/>
    <w:multiLevelType w:val="hybridMultilevel"/>
    <w:lvl w:ilvl="0">
      <w:lvlJc w:val="left"/>
      <w:lvlText w:val="(%1)"/>
      <w:numFmt w:val="lowerLetter"/>
      <w:start w:val="1"/>
    </w:lvl>
  </w:abstractNum>
  <w:abstractNum w:abstractNumId="260">
    <w:nsid w:val="26BAAE9"/>
    <w:multiLevelType w:val="hybridMultilevel"/>
    <w:lvl w:ilvl="0">
      <w:lvlJc w:val="left"/>
      <w:lvlText w:val="(%1)"/>
      <w:numFmt w:val="lowerLetter"/>
      <w:start w:val="2"/>
    </w:lvl>
  </w:abstractNum>
  <w:abstractNum w:abstractNumId="261">
    <w:nsid w:val="2C02FE8C"/>
    <w:multiLevelType w:val="hybridMultilevel"/>
    <w:lvl w:ilvl="0">
      <w:lvlJc w:val="left"/>
      <w:lvlText w:val="(%1)"/>
      <w:numFmt w:val="lowerLetter"/>
      <w:start w:val="4"/>
    </w:lvl>
  </w:abstractNum>
  <w:abstractNum w:abstractNumId="262">
    <w:nsid w:val="129517E"/>
    <w:multiLevelType w:val="hybridMultilevel"/>
    <w:lvl w:ilvl="0">
      <w:lvlJc w:val="left"/>
      <w:lvlText w:val="(%1)"/>
      <w:numFmt w:val="lowerLetter"/>
      <w:start w:val="2"/>
    </w:lvl>
  </w:abstractNum>
  <w:abstractNum w:abstractNumId="263">
    <w:nsid w:val="763B8C4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64">
    <w:nsid w:val="4CFB8D32"/>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65">
    <w:nsid w:val="62A5D5BD"/>
    <w:multiLevelType w:val="hybridMultilevel"/>
    <w:lvl w:ilvl="0">
      <w:lvlJc w:val="left"/>
      <w:lvlText w:val="(%1)"/>
      <w:numFmt w:val="lowerLetter"/>
      <w:start w:val="6"/>
    </w:lvl>
  </w:abstractNum>
  <w:abstractNum w:abstractNumId="266">
    <w:nsid w:val="718FABF9"/>
    <w:multiLevelType w:val="hybridMultilevel"/>
    <w:lvl w:ilvl="0">
      <w:lvlJc w:val="left"/>
      <w:lvlText w:val="%1"/>
      <w:numFmt w:val="lowerLetter"/>
      <w:start w:val="1"/>
    </w:lvl>
    <w:lvl w:ilvl="1">
      <w:lvlJc w:val="left"/>
      <w:lvlText w:val="(%2)"/>
      <w:numFmt w:val="lowerLetter"/>
      <w:start w:val="2"/>
    </w:lvl>
  </w:abstractNum>
  <w:abstractNum w:abstractNumId="267">
    <w:nsid w:val="7775797C"/>
    <w:multiLevelType w:val="hybridMultilevel"/>
    <w:lvl w:ilvl="0">
      <w:lvlJc w:val="left"/>
      <w:lvlText w:val="(%1)"/>
      <w:numFmt w:val="lowerLetter"/>
      <w:start w:val="35"/>
    </w:lvl>
    <w:lvl w:ilvl="1">
      <w:lvlJc w:val="left"/>
      <w:lvlText w:val="%2"/>
      <w:numFmt w:val="lowerLetter"/>
      <w:start w:val="1"/>
    </w:lvl>
  </w:abstractNum>
  <w:abstractNum w:abstractNumId="268">
    <w:nsid w:val="1626FB8C"/>
    <w:multiLevelType w:val="hybridMultilevel"/>
    <w:lvl w:ilvl="0">
      <w:lvlJc w:val="left"/>
      <w:lvlText w:val="(%1)"/>
      <w:numFmt w:val="lowerRoman"/>
      <w:start w:val="7"/>
    </w:lvl>
  </w:abstractNum>
  <w:abstractNum w:abstractNumId="269">
    <w:nsid w:val="3957756A"/>
    <w:multiLevelType w:val="hybridMultilevel"/>
    <w:lvl w:ilvl="0">
      <w:lvlJc w:val="left"/>
      <w:lvlText w:val="%1"/>
      <w:numFmt w:val="lowerLetter"/>
      <w:start w:val="1"/>
    </w:lvl>
    <w:lvl w:ilvl="1">
      <w:lvlJc w:val="left"/>
      <w:lvlText w:val="(%2)"/>
      <w:numFmt w:val="lowerLetter"/>
      <w:start w:val="2"/>
    </w:lvl>
  </w:abstractNum>
  <w:abstractNum w:abstractNumId="270">
    <w:nsid w:val="3E6DA1C7"/>
    <w:multiLevelType w:val="hybridMultilevel"/>
    <w:lvl w:ilvl="0">
      <w:lvlJc w:val="left"/>
      <w:lvlText w:val="(%1)"/>
      <w:numFmt w:val="lowerLetter"/>
      <w:start w:val="61"/>
    </w:lvl>
    <w:lvl w:ilvl="1">
      <w:lvlJc w:val="left"/>
      <w:lvlText w:val="%2"/>
      <w:numFmt w:val="lowerLetter"/>
      <w:start w:val="1"/>
    </w:lvl>
  </w:abstractNum>
  <w:abstractNum w:abstractNumId="271">
    <w:nsid w:val="65CA235B"/>
    <w:multiLevelType w:val="hybridMultilevel"/>
    <w:lvl w:ilvl="0">
      <w:lvlJc w:val="left"/>
      <w:lvlText w:val="%1"/>
      <w:numFmt w:val="lowerLetter"/>
      <w:start w:val="1"/>
    </w:lvl>
    <w:lvl w:ilvl="1">
      <w:lvlJc w:val="left"/>
      <w:lvlText w:val="(%2)"/>
      <w:numFmt w:val="lowerLetter"/>
      <w:start w:val="2"/>
    </w:lvl>
  </w:abstractNum>
  <w:abstractNum w:abstractNumId="272">
    <w:nsid w:val="51CB0DA4"/>
    <w:multiLevelType w:val="hybridMultilevel"/>
    <w:lvl w:ilvl="0">
      <w:lvlJc w:val="left"/>
      <w:lvlText w:val="(%1)"/>
      <w:numFmt w:val="lowerLetter"/>
      <w:start w:val="35"/>
    </w:lvl>
    <w:lvl w:ilvl="1">
      <w:lvlJc w:val="left"/>
      <w:lvlText w:val="%2"/>
      <w:numFmt w:val="lowerLetter"/>
      <w:start w:val="1"/>
    </w:lvl>
  </w:abstractNum>
  <w:abstractNum w:abstractNumId="273">
    <w:nsid w:val="7B9B743C"/>
    <w:multiLevelType w:val="hybridMultilevel"/>
    <w:lvl w:ilvl="0">
      <w:lvlJc w:val="left"/>
      <w:lvlText w:val="(%1)"/>
      <w:numFmt w:val="lowerLetter"/>
      <w:start w:val="9"/>
    </w:lvl>
    <w:lvl w:ilvl="1">
      <w:lvlJc w:val="left"/>
      <w:lvlText w:val="%2"/>
      <w:numFmt w:val="lowerLetter"/>
      <w:start w:val="1"/>
    </w:lvl>
  </w:abstractNum>
  <w:abstractNum w:abstractNumId="274">
    <w:nsid w:val="13E21002"/>
    <w:multiLevelType w:val="hybridMultilevel"/>
    <w:lvl w:ilvl="0">
      <w:lvlJc w:val="left"/>
      <w:lvlText w:val="(%1)"/>
      <w:numFmt w:val="lowerLetter"/>
      <w:start w:val="3"/>
    </w:lvl>
  </w:abstractNum>
  <w:abstractNum w:abstractNumId="275">
    <w:nsid w:val="257D63F4"/>
    <w:multiLevelType w:val="hybridMultilevel"/>
    <w:lvl w:ilvl="0">
      <w:lvlJc w:val="left"/>
      <w:lvlText w:val="(%1)"/>
      <w:numFmt w:val="lowerLetter"/>
      <w:start w:val="2"/>
    </w:lvl>
  </w:abstractNum>
  <w:abstractNum w:abstractNumId="276">
    <w:nsid w:val="70EC11B2"/>
    <w:multiLevelType w:val="hybridMultilevel"/>
    <w:lvl w:ilvl="0">
      <w:lvlJc w:val="left"/>
      <w:lvlText w:val="(%1)"/>
      <w:numFmt w:val="lowerLetter"/>
      <w:start w:val="8"/>
    </w:lvl>
  </w:abstractNum>
  <w:abstractNum w:abstractNumId="277">
    <w:nsid w:val="2EDA00ED"/>
    <w:multiLevelType w:val="hybridMultilevel"/>
    <w:lvl w:ilvl="0">
      <w:lvlJc w:val="left"/>
      <w:lvlText w:val="(%1)"/>
      <w:numFmt w:val="lowerLetter"/>
      <w:start w:val="2"/>
    </w:lvl>
  </w:abstractNum>
  <w:abstractNum w:abstractNumId="278">
    <w:nsid w:val="73209072"/>
    <w:multiLevelType w:val="hybridMultilevel"/>
    <w:lvl w:ilvl="0">
      <w:lvlJc w:val="left"/>
      <w:lvlText w:val="(%1)"/>
      <w:numFmt w:val="lowerLetter"/>
      <w:start w:val="1"/>
    </w:lvl>
  </w:abstractNum>
  <w:abstractNum w:abstractNumId="279">
    <w:nsid w:val="5FB29816"/>
    <w:multiLevelType w:val="hybridMultilevel"/>
    <w:lvl w:ilvl="0">
      <w:lvlJc w:val="left"/>
      <w:lvlText w:val="(%1)"/>
      <w:numFmt w:val="lowerLetter"/>
      <w:start w:val="2"/>
    </w:lvl>
  </w:abstractNum>
  <w:abstractNum w:abstractNumId="280">
    <w:nsid w:val="3CE732EC"/>
    <w:multiLevelType w:val="hybridMultilevel"/>
    <w:lvl w:ilvl="0">
      <w:lvlJc w:val="left"/>
      <w:lvlText w:val="%1"/>
      <w:numFmt w:val="lowerLetter"/>
      <w:start w:val="1"/>
    </w:lvl>
    <w:lvl w:ilvl="1">
      <w:lvlJc w:val="left"/>
      <w:lvlText w:val="(%2)"/>
      <w:numFmt w:val="lowerLetter"/>
      <w:start w:val="2"/>
    </w:lvl>
  </w:abstractNum>
  <w:abstractNum w:abstractNumId="281">
    <w:nsid w:val="22F13DF3"/>
    <w:multiLevelType w:val="hybridMultilevel"/>
    <w:lvl w:ilvl="0">
      <w:lvlJc w:val="left"/>
      <w:lvlText w:val="(%1)"/>
      <w:numFmt w:val="lowerLetter"/>
      <w:start w:val="35"/>
    </w:lvl>
    <w:lvl w:ilvl="1">
      <w:lvlJc w:val="left"/>
      <w:lvlText w:val="%2"/>
      <w:numFmt w:val="lowerLetter"/>
      <w:start w:val="1"/>
    </w:lvl>
  </w:abstractNum>
  <w:abstractNum w:abstractNumId="282">
    <w:nsid w:val="792B8401"/>
    <w:multiLevelType w:val="hybridMultilevel"/>
    <w:lvl w:ilvl="0">
      <w:lvlJc w:val="left"/>
      <w:lvlText w:val="(%1)"/>
      <w:numFmt w:val="lowerLetter"/>
      <w:start w:val="9"/>
    </w:lvl>
    <w:lvl w:ilvl="1">
      <w:lvlJc w:val="left"/>
      <w:lvlText w:val="(%2)"/>
      <w:numFmt w:val="lowerLetter"/>
      <w:start w:val="2"/>
    </w:lvl>
  </w:abstractNum>
  <w:abstractNum w:abstractNumId="283">
    <w:nsid w:val="FA85F4D"/>
    <w:multiLevelType w:val="hybridMultilevel"/>
    <w:lvl w:ilvl="0">
      <w:lvlJc w:val="left"/>
      <w:lvlText w:val="(%1)"/>
      <w:numFmt w:val="lowerLetter"/>
      <w:start w:val="1"/>
    </w:lvl>
  </w:abstractNum>
  <w:abstractNum w:abstractNumId="284">
    <w:nsid w:val="6ECE91F0"/>
    <w:multiLevelType w:val="hybridMultilevel"/>
    <w:lvl w:ilvl="0">
      <w:lvlJc w:val="left"/>
      <w:lvlText w:val="(%1)"/>
      <w:numFmt w:val="lowerRoman"/>
      <w:start w:val="2"/>
    </w:lvl>
  </w:abstractNum>
  <w:abstractNum w:abstractNumId="285">
    <w:nsid w:val="4FC4D600"/>
    <w:multiLevelType w:val="hybridMultilevel"/>
    <w:lvl w:ilvl="0">
      <w:lvlJc w:val="left"/>
      <w:lvlText w:val="%1"/>
      <w:numFmt w:val="lowerLetter"/>
      <w:start w:val="1"/>
    </w:lvl>
    <w:lvl w:ilvl="1">
      <w:lvlJc w:val="left"/>
      <w:lvlText w:val="(%2)"/>
      <w:numFmt w:val="lowerRoman"/>
      <w:start w:val="3"/>
    </w:lvl>
  </w:abstractNum>
  <w:abstractNum w:abstractNumId="286">
    <w:nsid w:val="5BFD4210"/>
    <w:multiLevelType w:val="hybridMultilevel"/>
    <w:lvl w:ilvl="0">
      <w:lvlJc w:val="left"/>
      <w:lvlText w:val="(%1)"/>
      <w:numFmt w:val="lowerLetter"/>
      <w:start w:val="2"/>
    </w:lvl>
    <w:lvl w:ilvl="1">
      <w:lvlJc w:val="left"/>
      <w:lvlText w:val="%2"/>
      <w:numFmt w:val="lowerRoman"/>
      <w:start w:val="1"/>
    </w:lvl>
  </w:abstractNum>
  <w:abstractNum w:abstractNumId="287">
    <w:nsid w:val="76574F8B"/>
    <w:multiLevelType w:val="hybridMultilevel"/>
    <w:lvl w:ilvl="0">
      <w:lvlJc w:val="left"/>
      <w:lvlText w:val="%1)"/>
      <w:numFmt w:val="decimal"/>
      <w:start w:val="990"/>
    </w:lvl>
    <w:lvl w:ilvl="1">
      <w:lvlJc w:val="left"/>
      <w:lvlText w:val="(%2)"/>
      <w:numFmt w:val="lowerLetter"/>
      <w:start w:val="2"/>
    </w:lvl>
  </w:abstractNum>
  <w:abstractNum w:abstractNumId="288">
    <w:nsid w:val="178F7B67"/>
    <w:multiLevelType w:val="hybridMultilevel"/>
    <w:lvl w:ilvl="0">
      <w:lvlJc w:val="left"/>
      <w:lvlText w:val="(%1)"/>
      <w:numFmt w:val="lowerLetter"/>
      <w:start w:val="3"/>
    </w:lvl>
  </w:abstractNum>
  <w:abstractNum w:abstractNumId="289">
    <w:nsid w:val="2421DFCF"/>
    <w:multiLevelType w:val="hybridMultilevel"/>
    <w:lvl w:ilvl="0">
      <w:lvlJc w:val="left"/>
      <w:lvlText w:val="(%1)"/>
      <w:numFmt w:val="lowerLetter"/>
      <w:start w:val="11"/>
    </w:lvl>
  </w:abstractNum>
  <w:abstractNum w:abstractNumId="290">
    <w:nsid w:val="1565AC99"/>
    <w:multiLevelType w:val="hybridMultilevel"/>
    <w:lvl w:ilvl="0">
      <w:lvlJc w:val="left"/>
      <w:lvlText w:val="(%1)"/>
      <w:numFmt w:val="lowerLetter"/>
      <w:start w:val="2"/>
    </w:lvl>
  </w:abstractNum>
  <w:abstractNum w:abstractNumId="291">
    <w:nsid w:val="19FB2650"/>
    <w:multiLevelType w:val="hybridMultilevel"/>
    <w:lvl w:ilvl="0">
      <w:lvlJc w:val="left"/>
      <w:lvlText w:val="%1"/>
      <w:numFmt w:val="decimal"/>
      <w:start w:val="1"/>
    </w:lvl>
    <w:lvl w:ilvl="1">
      <w:lvlJc w:val="left"/>
      <w:lvlText w:val="(%2)"/>
      <w:numFmt w:val="lowerRoman"/>
      <w:start w:val="1"/>
    </w:lvl>
  </w:abstractNum>
  <w:abstractNum w:abstractNumId="292">
    <w:nsid w:val="5024DE5B"/>
    <w:multiLevelType w:val="hybridMultilevel"/>
    <w:lvl w:ilvl="0">
      <w:lvlJc w:val="left"/>
      <w:lvlText w:val="(%1)"/>
      <w:numFmt w:val="decimal"/>
      <w:start w:val="3"/>
    </w:lvl>
    <w:lvl w:ilvl="1">
      <w:lvlJc w:val="left"/>
      <w:lvlText w:val="(%2)"/>
      <w:numFmt w:val="lowerRoman"/>
      <w:start w:val="2"/>
    </w:lvl>
  </w:abstractNum>
  <w:abstractNum w:abstractNumId="293">
    <w:nsid w:val="168EFE17"/>
    <w:multiLevelType w:val="hybridMultilevel"/>
    <w:lvl w:ilvl="0">
      <w:lvlJc w:val="left"/>
      <w:lvlText w:val="(%1)"/>
      <w:numFmt w:val="lowerRoman"/>
      <w:start w:val="4"/>
    </w:lvl>
  </w:abstractNum>
  <w:abstractNum w:abstractNumId="294">
    <w:nsid w:val="1036B29F"/>
    <w:multiLevelType w:val="hybridMultilevel"/>
    <w:lvl w:ilvl="0">
      <w:lvlJc w:val="left"/>
      <w:lvlText w:val="(%1)"/>
      <w:numFmt w:val="lowerLetter"/>
      <w:start w:val="2"/>
    </w:lvl>
  </w:abstractNum>
  <w:abstractNum w:abstractNumId="295">
    <w:nsid w:val="1D206B8E"/>
    <w:multiLevelType w:val="hybridMultilevel"/>
    <w:lvl w:ilvl="0">
      <w:lvlJc w:val="left"/>
      <w:lvlText w:val="(%1)"/>
      <w:numFmt w:val="lowerLetter"/>
      <w:start w:val="2"/>
    </w:lvl>
  </w:abstractNum>
  <w:abstractNum w:abstractNumId="296">
    <w:nsid w:val="7934D3D4"/>
    <w:multiLevelType w:val="hybridMultilevel"/>
    <w:lvl w:ilvl="0">
      <w:lvlJc w:val="left"/>
      <w:lvlText w:val="(%1)"/>
      <w:numFmt w:val="lowerLetter"/>
      <w:start w:val="2"/>
    </w:lvl>
  </w:abstractNum>
  <w:abstractNum w:abstractNumId="297">
    <w:nsid w:val="1C65E98"/>
    <w:multiLevelType w:val="hybridMultilevel"/>
    <w:lvl w:ilvl="0">
      <w:lvlJc w:val="left"/>
      <w:lvlText w:val="(%1)"/>
      <w:numFmt w:val="lowerLetter"/>
      <w:start w:val="2"/>
    </w:lvl>
  </w:abstractNum>
  <w:abstractNum w:abstractNumId="298">
    <w:nsid w:val="1495E50A"/>
    <w:multiLevelType w:val="hybridMultilevel"/>
    <w:lvl w:ilvl="0">
      <w:lvlJc w:val="left"/>
      <w:lvlText w:val="(%1)"/>
      <w:numFmt w:val="upperLetter"/>
      <w:start w:val="2"/>
    </w:lvl>
    <w:lvl w:ilvl="1">
      <w:lvlJc w:val="left"/>
      <w:lvlText w:val="%2"/>
      <w:numFmt w:val="lowerLetter"/>
      <w:start w:val="1"/>
    </w:lvl>
  </w:abstractNum>
  <w:abstractNum w:abstractNumId="299">
    <w:nsid w:val="F5BCF61"/>
    <w:multiLevelType w:val="hybridMultilevel"/>
    <w:lvl w:ilvl="0">
      <w:lvlJc w:val="left"/>
      <w:lvlText w:val="(%1)"/>
      <w:numFmt w:val="upperLetter"/>
      <w:start w:val="6"/>
    </w:lvl>
    <w:lvl w:ilvl="1">
      <w:lvlJc w:val="left"/>
      <w:lvlText w:val="(%2)"/>
      <w:numFmt w:val="lowerLetter"/>
      <w:start w:val="2"/>
    </w:lvl>
  </w:abstractNum>
  <w:abstractNum w:abstractNumId="300">
    <w:nsid w:val="3B1DD403"/>
    <w:multiLevelType w:val="hybridMultilevel"/>
    <w:lvl w:ilvl="0">
      <w:lvlJc w:val="left"/>
      <w:lvlText w:val="(%1)"/>
      <w:numFmt w:val="lowerLetter"/>
      <w:start w:val="3"/>
    </w:lvl>
  </w:abstractNum>
  <w:abstractNum w:abstractNumId="301">
    <w:nsid w:val="530386D1"/>
    <w:multiLevelType w:val="hybridMultilevel"/>
    <w:lvl w:ilvl="0">
      <w:lvlJc w:val="left"/>
      <w:lvlText w:val="(%1)"/>
      <w:numFmt w:val="lowerLetter"/>
      <w:start w:val="2"/>
    </w:lvl>
  </w:abstractNum>
  <w:abstractNum w:abstractNumId="302">
    <w:nsid w:val="7525F2BC"/>
    <w:multiLevelType w:val="hybridMultilevel"/>
    <w:lvl w:ilvl="0">
      <w:lvlJc w:val="left"/>
      <w:lvlText w:val="(%1)"/>
      <w:numFmt w:val="lowerLetter"/>
      <w:start w:val="2"/>
    </w:lvl>
  </w:abstractNum>
  <w:abstractNum w:abstractNumId="303">
    <w:nsid w:val="CE8E1A7"/>
    <w:multiLevelType w:val="hybridMultilevel"/>
    <w:lvl w:ilvl="0">
      <w:lvlJc w:val="left"/>
      <w:lvlText w:val="(%1)"/>
      <w:numFmt w:val="lowerLetter"/>
      <w:start w:val="3"/>
    </w:lvl>
  </w:abstractNum>
  <w:abstractNum w:abstractNumId="304">
    <w:nsid w:val="4E9EFB0D"/>
    <w:multiLevelType w:val="hybridMultilevel"/>
    <w:lvl w:ilvl="0">
      <w:lvlJc w:val="left"/>
      <w:lvlText w:val="(%1)"/>
      <w:numFmt w:val="lowerLetter"/>
      <w:start w:val="1"/>
    </w:lvl>
  </w:abstractNum>
  <w:abstractNum w:abstractNumId="305">
    <w:nsid w:val="90802BE"/>
    <w:multiLevelType w:val="hybridMultilevel"/>
    <w:lvl w:ilvl="0">
      <w:lvlJc w:val="left"/>
      <w:lvlText w:val="(%1)"/>
      <w:numFmt w:val="lowerLetter"/>
      <w:start w:val="2"/>
    </w:lvl>
  </w:abstractNum>
  <w:abstractNum w:abstractNumId="306">
    <w:nsid w:val="3266459B"/>
    <w:multiLevelType w:val="hybridMultilevel"/>
    <w:lvl w:ilvl="0">
      <w:lvlJc w:val="left"/>
      <w:lvlText w:val="(%1)"/>
      <w:numFmt w:val="lowerLetter"/>
      <w:start w:val="1"/>
    </w:lvl>
    <w:lvl w:ilvl="1">
      <w:lvlJc w:val="left"/>
      <w:lvlText w:val="(%2)"/>
      <w:numFmt w:val="lowerRoman"/>
      <w:start w:val="2"/>
    </w:lvl>
  </w:abstractNum>
  <w:abstractNum w:abstractNumId="307">
    <w:nsid w:val="3F8B0CBF"/>
    <w:multiLevelType w:val="hybridMultilevel"/>
    <w:lvl w:ilvl="0">
      <w:lvlJc w:val="left"/>
      <w:lvlText w:val="(%1)"/>
      <w:numFmt w:val="lowerLetter"/>
      <w:start w:val="2"/>
    </w:lvl>
  </w:abstractNum>
  <w:abstractNum w:abstractNumId="308">
    <w:nsid w:val="37E203AB"/>
    <w:multiLevelType w:val="hybridMultilevel"/>
    <w:lvl w:ilvl="0">
      <w:lvlJc w:val="left"/>
      <w:lvlText w:val="(%1)"/>
      <w:numFmt w:val="lowerLetter"/>
      <w:start w:val="1"/>
    </w:lvl>
  </w:abstractNum>
  <w:abstractNum w:abstractNumId="309">
    <w:nsid w:val="2586D60E"/>
    <w:multiLevelType w:val="hybridMultilevel"/>
    <w:lvl w:ilvl="0">
      <w:lvlJc w:val="left"/>
      <w:lvlText w:val="%1"/>
      <w:numFmt w:val="lowerLetter"/>
      <w:start w:val="1"/>
    </w:lvl>
    <w:lvl w:ilvl="1">
      <w:lvlJc w:val="left"/>
      <w:lvlText w:val="(%2)"/>
      <w:numFmt w:val="lowerLetter"/>
      <w:start w:val="3"/>
    </w:lvl>
  </w:abstractNum>
  <w:abstractNum w:abstractNumId="310">
    <w:nsid w:val="1F3DA4D5"/>
    <w:multiLevelType w:val="hybridMultilevel"/>
    <w:lvl w:ilvl="0">
      <w:lvlJc w:val="left"/>
      <w:lvlText w:val="(%1)"/>
      <w:numFmt w:val="lowerLetter"/>
      <w:start w:val="35"/>
    </w:lvl>
    <w:lvl w:ilvl="1">
      <w:lvlJc w:val="left"/>
      <w:lvlText w:val="(%2)"/>
      <w:numFmt w:val="lowerLetter"/>
      <w:start w:val="6"/>
    </w:lvl>
  </w:abstractNum>
  <w:abstractNum w:abstractNumId="311">
    <w:nsid w:val="74C93698"/>
    <w:multiLevelType w:val="hybridMultilevel"/>
    <w:lvl w:ilvl="0">
      <w:lvlJc w:val="left"/>
      <w:lvlText w:val="%1"/>
      <w:numFmt w:val="lowerLetter"/>
      <w:start w:val="1"/>
    </w:lvl>
    <w:lvl w:ilvl="1">
      <w:lvlJc w:val="left"/>
      <w:lvlText w:val="(%2)"/>
      <w:numFmt w:val="lowerLetter"/>
      <w:start w:val="11"/>
    </w:lvl>
  </w:abstractNum>
  <w:abstractNum w:abstractNumId="312">
    <w:nsid w:val="48781401"/>
    <w:multiLevelType w:val="hybridMultilevel"/>
    <w:lvl w:ilvl="0">
      <w:lvlJc w:val="left"/>
      <w:lvlText w:val="(%1)"/>
      <w:numFmt w:val="lowerLetter"/>
      <w:start w:val="35"/>
    </w:lvl>
    <w:lvl w:ilvl="1">
      <w:lvlJc w:val="left"/>
      <w:lvlText w:val="(%2)"/>
      <w:numFmt w:val="lowerLetter"/>
      <w:start w:val="15"/>
    </w:lvl>
  </w:abstractNum>
  <w:abstractNum w:abstractNumId="313">
    <w:nsid w:val="186928D6"/>
    <w:multiLevelType w:val="hybridMultilevel"/>
    <w:lvl w:ilvl="0">
      <w:lvlJc w:val="left"/>
      <w:lvlText w:val="(%1)"/>
      <w:numFmt w:val="lowerRoman"/>
      <w:start w:val="1"/>
    </w:lvl>
  </w:abstractNum>
  <w:abstractNum w:abstractNumId="314">
    <w:nsid w:val="47195E5"/>
    <w:multiLevelType w:val="hybridMultilevel"/>
    <w:lvl w:ilvl="0">
      <w:lvlJc w:val="left"/>
      <w:lvlText w:val="(%1)"/>
      <w:numFmt w:val="lowerRoman"/>
      <w:start w:val="2"/>
    </w:lvl>
  </w:abstractNum>
  <w:abstractNum w:abstractNumId="315">
    <w:nsid w:val="3746A5F2"/>
    <w:multiLevelType w:val="hybridMultilevel"/>
    <w:lvl w:ilvl="0">
      <w:lvlJc w:val="left"/>
      <w:lvlText w:val="(%1)"/>
      <w:numFmt w:val="lowerLetter"/>
      <w:start w:val="2"/>
    </w:lvl>
    <w:lvl w:ilvl="1">
      <w:lvlJc w:val="left"/>
      <w:lvlText w:val="(%2)"/>
      <w:numFmt w:val="lowerRoman"/>
      <w:start w:val="1"/>
    </w:lvl>
  </w:abstractNum>
  <w:abstractNum w:abstractNumId="316">
    <w:nsid w:val="682DFED6"/>
    <w:multiLevelType w:val="hybridMultilevel"/>
    <w:lvl w:ilvl="0">
      <w:lvlJc w:val="left"/>
      <w:lvlText w:val="(%1)"/>
      <w:numFmt w:val="lowerLetter"/>
      <w:start w:val="3"/>
    </w:lvl>
  </w:abstractNum>
  <w:abstractNum w:abstractNumId="317">
    <w:nsid w:val="606ED7F6"/>
    <w:multiLevelType w:val="hybridMultilevel"/>
    <w:lvl w:ilvl="0">
      <w:lvlJc w:val="left"/>
      <w:lvlText w:val="(%1)"/>
      <w:numFmt w:val="lowerLetter"/>
      <w:start w:val="4"/>
    </w:lvl>
  </w:abstractNum>
  <w:abstractNum w:abstractNumId="318">
    <w:nsid w:val="2D9DF57D"/>
    <w:multiLevelType w:val="hybridMultilevel"/>
    <w:lvl w:ilvl="0">
      <w:lvlJc w:val="left"/>
      <w:lvlText w:val="(%1)"/>
      <w:numFmt w:val="lowerLetter"/>
      <w:start w:val="2"/>
    </w:lvl>
  </w:abstractNum>
  <w:abstractNum w:abstractNumId="319">
    <w:nsid w:val="7FBD7A3E"/>
    <w:multiLevelType w:val="hybridMultilevel"/>
    <w:lvl w:ilvl="0">
      <w:lvlJc w:val="left"/>
      <w:lvlText w:val="(%1)"/>
      <w:numFmt w:val="lowerLetter"/>
      <w:start w:val="1"/>
    </w:lvl>
  </w:abstractNum>
  <w:abstractNum w:abstractNumId="320">
    <w:nsid w:val="490B7C5"/>
    <w:multiLevelType w:val="hybridMultilevel"/>
    <w:lvl w:ilvl="0">
      <w:lvlJc w:val="left"/>
      <w:lvlText w:val="(%1)"/>
      <w:numFmt w:val="lowerLetter"/>
      <w:start w:val="2"/>
    </w:lvl>
  </w:abstractNum>
  <w:abstractNum w:abstractNumId="321">
    <w:nsid w:val="4303A216"/>
    <w:multiLevelType w:val="hybridMultilevel"/>
    <w:lvl w:ilvl="0">
      <w:lvlJc w:val="left"/>
      <w:lvlText w:val="(%1)"/>
      <w:numFmt w:val="lowerLetter"/>
      <w:start w:val="3"/>
    </w:lvl>
  </w:abstractNum>
  <w:abstractNum w:abstractNumId="322">
    <w:nsid w:val="19B8A08E"/>
    <w:multiLevelType w:val="hybridMultilevel"/>
    <w:lvl w:ilvl="0">
      <w:lvlJc w:val="left"/>
      <w:lvlText w:val="(%1)"/>
      <w:numFmt w:val="decimal"/>
      <w:start w:val="2"/>
    </w:lvl>
  </w:abstractNum>
  <w:abstractNum w:abstractNumId="323">
    <w:nsid w:val="54B59621"/>
    <w:multiLevelType w:val="hybridMultilevel"/>
    <w:lvl w:ilvl="0">
      <w:lvlJc w:val="left"/>
      <w:lvlText w:val="(%1)"/>
      <w:numFmt w:val="lowerLetter"/>
      <w:start w:val="2"/>
    </w:lvl>
  </w:abstractNum>
  <w:abstractNum w:abstractNumId="324">
    <w:nsid w:val="5992A02E"/>
    <w:multiLevelType w:val="hybridMultilevel"/>
    <w:lvl w:ilvl="0">
      <w:lvlJc w:val="left"/>
      <w:lvlText w:val="(%1)"/>
      <w:numFmt w:val="lowerLetter"/>
      <w:start w:val="2"/>
    </w:lvl>
  </w:abstractNum>
  <w:abstractNum w:abstractNumId="325">
    <w:nsid w:val="29EF532D"/>
    <w:multiLevelType w:val="hybridMultilevel"/>
    <w:lvl w:ilvl="0">
      <w:lvlJc w:val="left"/>
      <w:lvlText w:val="(%1)"/>
      <w:numFmt w:val="lowerLetter"/>
      <w:start w:val="6"/>
    </w:lvl>
  </w:abstractNum>
  <w:abstractNum w:abstractNumId="326">
    <w:nsid w:val="71D601AF"/>
    <w:multiLevelType w:val="hybridMultilevel"/>
    <w:lvl w:ilvl="0">
      <w:lvlJc w:val="left"/>
      <w:lvlText w:val="(%1)"/>
      <w:numFmt w:val="lowerLetter"/>
      <w:start w:val="2"/>
    </w:lvl>
  </w:abstractNum>
  <w:abstractNum w:abstractNumId="327">
    <w:nsid w:val="52C77402"/>
    <w:multiLevelType w:val="hybridMultilevel"/>
    <w:lvl w:ilvl="0">
      <w:lvlJc w:val="left"/>
      <w:lvlText w:val="(%1)"/>
      <w:numFmt w:val="lowerLetter"/>
      <w:start w:val="35"/>
    </w:lvl>
    <w:lvl w:ilvl="1">
      <w:lvlJc w:val="left"/>
      <w:lvlText w:val="(%2)"/>
      <w:numFmt w:val="lowerLetter"/>
      <w:start w:val="5"/>
    </w:lvl>
  </w:abstractNum>
  <w:abstractNum w:abstractNumId="328">
    <w:nsid w:val="2BB5B1C6"/>
    <w:multiLevelType w:val="hybridMultilevel"/>
    <w:lvl w:ilvl="0">
      <w:lvlJc w:val="left"/>
      <w:lvlText w:val="%1"/>
      <w:numFmt w:val="lowerLetter"/>
      <w:start w:val="1"/>
    </w:lvl>
    <w:lvl w:ilvl="1">
      <w:lvlJc w:val="left"/>
      <w:lvlText w:val="(%2)"/>
      <w:numFmt w:val="lowerLetter"/>
      <w:start w:val="7"/>
    </w:lvl>
  </w:abstractNum>
  <w:abstractNum w:abstractNumId="329">
    <w:nsid w:val="66BE6B9"/>
    <w:multiLevelType w:val="hybridMultilevel"/>
    <w:lvl w:ilvl="0">
      <w:lvlJc w:val="left"/>
      <w:lvlText w:val="(%1)"/>
      <w:numFmt w:val="lowerLetter"/>
      <w:start w:val="9"/>
    </w:lvl>
    <w:lvl w:ilvl="1">
      <w:lvlJc w:val="left"/>
      <w:lvlText w:val="%2"/>
      <w:numFmt w:val="lowerLetter"/>
      <w:start w:val="1"/>
    </w:lvl>
  </w:abstractNum>
  <w:abstractNum w:abstractNumId="330">
    <w:nsid w:val="62234363"/>
    <w:multiLevelType w:val="hybridMultilevel"/>
    <w:lvl w:ilvl="0">
      <w:lvlJc w:val="left"/>
      <w:lvlText w:val="(%1)"/>
      <w:numFmt w:val="lowerLetter"/>
      <w:start w:val="2"/>
    </w:lvl>
  </w:abstractNum>
  <w:abstractNum w:abstractNumId="331">
    <w:nsid w:val="66D385C9"/>
    <w:multiLevelType w:val="hybridMultilevel"/>
    <w:lvl w:ilvl="0">
      <w:lvlJc w:val="left"/>
      <w:lvlText w:val="(%1)"/>
      <w:numFmt w:val="lowerLetter"/>
      <w:start w:val="2"/>
    </w:lvl>
  </w:abstractNum>
  <w:abstractNum w:abstractNumId="332">
    <w:nsid w:val="596F6D8A"/>
    <w:multiLevelType w:val="hybridMultilevel"/>
    <w:lvl w:ilvl="0">
      <w:lvlJc w:val="left"/>
      <w:lvlText w:val="(%1)"/>
      <w:numFmt w:val="lowerLetter"/>
      <w:start w:val="1"/>
    </w:lvl>
  </w:abstractNum>
  <w:abstractNum w:abstractNumId="333">
    <w:nsid w:val="5749361F"/>
    <w:multiLevelType w:val="hybridMultilevel"/>
    <w:lvl w:ilvl="0">
      <w:lvlJc w:val="left"/>
      <w:lvlText w:val="(%1)"/>
      <w:numFmt w:val="lowerLetter"/>
      <w:start w:val="2"/>
    </w:lvl>
  </w:abstractNum>
  <w:abstractNum w:abstractNumId="334">
    <w:nsid w:val="73BC6770"/>
    <w:multiLevelType w:val="hybridMultilevel"/>
    <w:lvl w:ilvl="0">
      <w:lvlJc w:val="left"/>
      <w:lvlText w:val="(%1)"/>
      <w:numFmt w:val="lowerLetter"/>
      <w:start w:val="1"/>
    </w:lvl>
  </w:abstractNum>
  <w:abstractNum w:abstractNumId="335">
    <w:nsid w:val="280E6897"/>
    <w:multiLevelType w:val="hybridMultilevel"/>
    <w:lvl w:ilvl="0">
      <w:lvlJc w:val="left"/>
      <w:lvlText w:val="%1"/>
      <w:numFmt w:val="upperLetter"/>
      <w:start w:val="1"/>
    </w:lvl>
    <w:lvl w:ilvl="1">
      <w:lvlJc w:val="left"/>
      <w:lvlText w:val="(%2)"/>
      <w:numFmt w:val="lowerLetter"/>
      <w:start w:val="4"/>
    </w:lvl>
  </w:abstractNum>
  <w:abstractNum w:abstractNumId="336">
    <w:nsid w:val="605138DE"/>
    <w:multiLevelType w:val="hybridMultilevel"/>
    <w:lvl w:ilvl="0">
      <w:lvlJc w:val="left"/>
      <w:lvlText w:val="(%1)"/>
      <w:numFmt w:val="upperLetter"/>
      <w:start w:val="2"/>
    </w:lvl>
    <w:lvl w:ilvl="1">
      <w:lvlJc w:val="left"/>
      <w:lvlText w:val="(%2)"/>
      <w:numFmt w:val="lowerLetter"/>
      <w:start w:val="5"/>
    </w:lvl>
  </w:abstractNum>
  <w:abstractNum w:abstractNumId="337">
    <w:nsid w:val="2622AD0C"/>
    <w:multiLevelType w:val="hybridMultilevel"/>
    <w:lvl w:ilvl="0">
      <w:lvlJc w:val="left"/>
      <w:lvlText w:val="(%1)"/>
      <w:numFmt w:val="lowerLetter"/>
      <w:start w:val="1"/>
    </w:lvl>
  </w:abstractNum>
  <w:abstractNum w:abstractNumId="338">
    <w:nsid w:val="67997556"/>
    <w:multiLevelType w:val="hybridMultilevel"/>
    <w:lvl w:ilvl="0">
      <w:lvlJc w:val="left"/>
      <w:lvlText w:val="(%1)"/>
      <w:numFmt w:val="lowerLetter"/>
      <w:start w:val="1"/>
    </w:lvl>
  </w:abstractNum>
  <w:abstractNum w:abstractNumId="339">
    <w:nsid w:val="18333C89"/>
    <w:multiLevelType w:val="hybridMultilevel"/>
    <w:lvl w:ilvl="0">
      <w:lvlJc w:val="left"/>
      <w:lvlText w:val="(%1)"/>
      <w:numFmt w:val="lowerLetter"/>
      <w:start w:val="1"/>
    </w:lvl>
    <w:lvl w:ilvl="1">
      <w:lvlJc w:val="left"/>
      <w:lvlText w:val="(%2)"/>
      <w:numFmt w:val="lowerLetter"/>
      <w:start w:val="9"/>
    </w:lvl>
  </w:abstractNum>
  <w:abstractNum w:abstractNumId="340">
    <w:nsid w:val="4BA9831A"/>
    <w:multiLevelType w:val="hybridMultilevel"/>
    <w:lvl w:ilvl="0">
      <w:lvlJc w:val="left"/>
      <w:lvlText w:val="%1"/>
      <w:numFmt w:val="upperLetter"/>
      <w:start w:val="1"/>
    </w:lvl>
    <w:lvl w:ilvl="1">
      <w:lvlJc w:val="left"/>
      <w:lvlText w:val="(%2)"/>
      <w:numFmt w:val="lowerRoman"/>
      <w:start w:val="2"/>
    </w:lvl>
  </w:abstractNum>
  <w:abstractNum w:abstractNumId="341">
    <w:nsid w:val="6D71A2B"/>
    <w:multiLevelType w:val="hybridMultilevel"/>
    <w:lvl w:ilvl="0">
      <w:lvlJc w:val="left"/>
      <w:lvlText w:val="(%1)"/>
      <w:numFmt w:val="upperLetter"/>
      <w:start w:val="2"/>
    </w:lvl>
    <w:lvl w:ilvl="1">
      <w:lvlJc w:val="left"/>
      <w:lvlText w:val="(%2)"/>
      <w:numFmt w:val="lowerRoman"/>
      <w:start w:val="3"/>
    </w:lvl>
  </w:abstractNum>
  <w:abstractNum w:abstractNumId="342">
    <w:nsid w:val="CFC7321"/>
    <w:multiLevelType w:val="hybridMultilevel"/>
    <w:lvl w:ilvl="0">
      <w:lvlJc w:val="left"/>
      <w:lvlText w:val="(%1)"/>
      <w:numFmt w:val="lowerLetter"/>
      <w:start w:val="3"/>
    </w:lvl>
    <w:lvl w:ilvl="1">
      <w:lvlJc w:val="left"/>
      <w:lvlText w:val="(%2)"/>
      <w:numFmt w:val="lowerRoman"/>
      <w:start w:val="1"/>
    </w:lvl>
  </w:abstractNum>
  <w:abstractNum w:abstractNumId="343">
    <w:nsid w:val="1421971B"/>
    <w:multiLevelType w:val="hybridMultilevel"/>
    <w:lvl w:ilvl="0">
      <w:lvlJc w:val="left"/>
      <w:lvlText w:val="(%1)"/>
      <w:numFmt w:val="lowerRoman"/>
      <w:start w:val="2"/>
    </w:lvl>
  </w:abstractNum>
  <w:abstractNum w:abstractNumId="344">
    <w:nsid w:val="1F404301"/>
    <w:multiLevelType w:val="hybridMultilevel"/>
    <w:lvl w:ilvl="0">
      <w:lvlJc w:val="left"/>
      <w:lvlText w:val="(%1)"/>
      <w:numFmt w:val="lowerLetter"/>
      <w:start w:val="2"/>
    </w:lvl>
  </w:abstractNum>
  <w:abstractNum w:abstractNumId="345">
    <w:nsid w:val="116E0907"/>
    <w:multiLevelType w:val="hybridMultilevel"/>
    <w:lvl w:ilvl="0">
      <w:lvlJc w:val="left"/>
      <w:lvlText w:val="(%1)"/>
      <w:numFmt w:val="lowerLetter"/>
      <w:start w:val="2"/>
    </w:lvl>
  </w:abstractNum>
  <w:abstractNum w:abstractNumId="346">
    <w:nsid w:val="4B683D0D"/>
    <w:multiLevelType w:val="hybridMultilevel"/>
    <w:lvl w:ilvl="0">
      <w:lvlJc w:val="left"/>
      <w:lvlText w:val="(%1)"/>
      <w:numFmt w:val="lowerLetter"/>
      <w:start w:val="2"/>
    </w:lvl>
  </w:abstractNum>
  <w:abstractNum w:abstractNumId="347">
    <w:nsid w:val="76E41D8"/>
    <w:multiLevelType w:val="hybridMultilevel"/>
    <w:lvl w:ilvl="0">
      <w:lvlJc w:val="left"/>
      <w:lvlText w:val="(%1)"/>
      <w:numFmt w:val="lowerRoman"/>
      <w:start w:val="1"/>
    </w:lvl>
  </w:abstractNum>
  <w:abstractNum w:abstractNumId="348">
    <w:nsid w:val="71DCE0FD"/>
    <w:multiLevelType w:val="hybridMultilevel"/>
    <w:lvl w:ilvl="0">
      <w:lvlJc w:val="left"/>
      <w:lvlText w:val="(%1)"/>
      <w:numFmt w:val="lowerRoman"/>
      <w:start w:val="7"/>
    </w:lvl>
  </w:abstractNum>
  <w:abstractNum w:abstractNumId="349">
    <w:nsid w:val="7906328B"/>
    <w:multiLevelType w:val="hybridMultilevel"/>
    <w:lvl w:ilvl="0">
      <w:lvlJc w:val="left"/>
      <w:lvlText w:val="(%1)"/>
      <w:numFmt w:val="lowerLetter"/>
      <w:start w:val="1"/>
    </w:lvl>
    <w:lvl w:ilvl="1">
      <w:lvlJc w:val="left"/>
      <w:lvlText w:val="(%2)"/>
      <w:numFmt w:val="lowerLetter"/>
      <w:start w:val="9"/>
    </w:lvl>
  </w:abstractNum>
  <w:abstractNum w:abstractNumId="350">
    <w:nsid w:val="72BBC16"/>
    <w:multiLevelType w:val="hybridMultilevel"/>
    <w:lvl w:ilvl="0">
      <w:lvlJc w:val="left"/>
      <w:lvlText w:val="%1"/>
      <w:numFmt w:val="lowerLetter"/>
      <w:start w:val="1"/>
    </w:lvl>
    <w:lvl w:ilvl="1">
      <w:lvlJc w:val="left"/>
      <w:lvlText w:val="(%2)"/>
      <w:numFmt w:val="lowerRoman"/>
      <w:start w:val="2"/>
    </w:lvl>
  </w:abstractNum>
  <w:abstractNum w:abstractNumId="351">
    <w:nsid w:val="766D98C2"/>
    <w:multiLevelType w:val="hybridMultilevel"/>
    <w:lvl w:ilvl="0">
      <w:lvlJc w:val="left"/>
      <w:lvlText w:val="(%1)"/>
      <w:numFmt w:val="lowerLetter"/>
      <w:start w:val="3"/>
    </w:lvl>
    <w:lvl w:ilvl="1">
      <w:lvlJc w:val="left"/>
      <w:lvlText w:val="%2"/>
      <w:numFmt w:val="lowerRoman"/>
      <w:start w:val="1"/>
    </w:lvl>
  </w:abstractNum>
  <w:abstractNum w:abstractNumId="352">
    <w:nsid w:val="3C09D4A1"/>
    <w:multiLevelType w:val="hybridMultilevel"/>
    <w:lvl w:ilvl="0">
      <w:lvlJc w:val="left"/>
      <w:lvlText w:val="(%1)"/>
      <w:numFmt w:val="lowerRoman"/>
      <w:start w:val="3"/>
    </w:lvl>
  </w:abstractNum>
  <w:abstractNum w:abstractNumId="353">
    <w:nsid w:val="20E45CA4"/>
    <w:multiLevelType w:val="hybridMultilevel"/>
    <w:lvl w:ilvl="0">
      <w:lvlJc w:val="left"/>
      <w:lvlText w:val="(%1)"/>
      <w:numFmt w:val="lowerLetter"/>
      <w:start w:val="2"/>
    </w:lvl>
  </w:abstractNum>
  <w:abstractNum w:abstractNumId="354">
    <w:nsid w:val="4B232EE3"/>
    <w:multiLevelType w:val="hybridMultilevel"/>
    <w:lvl w:ilvl="0">
      <w:lvlJc w:val="left"/>
      <w:lvlText w:val="(%1)"/>
      <w:numFmt w:val="upperLetter"/>
      <w:start w:val="1"/>
    </w:lvl>
  </w:abstractNum>
  <w:abstractNum w:abstractNumId="355">
    <w:nsid w:val="159C74CF"/>
    <w:multiLevelType w:val="hybridMultilevel"/>
    <w:lvl w:ilvl="0">
      <w:lvlJc w:val="left"/>
      <w:lvlText w:val="(%1)"/>
      <w:numFmt w:val="lowerLetter"/>
      <w:start w:val="2"/>
    </w:lvl>
  </w:abstractNum>
  <w:abstractNum w:abstractNumId="356">
    <w:nsid w:val="4AD3AFD2"/>
    <w:multiLevelType w:val="hybridMultilevel"/>
    <w:lvl w:ilvl="0">
      <w:lvlJc w:val="left"/>
      <w:lvlText w:val="(%1)"/>
      <w:numFmt w:val="lowerRoman"/>
      <w:start w:val="1"/>
    </w:lvl>
  </w:abstractNum>
  <w:abstractNum w:abstractNumId="357">
    <w:nsid w:val="3CF93092"/>
    <w:multiLevelType w:val="hybridMultilevel"/>
    <w:lvl w:ilvl="0">
      <w:lvlJc w:val="left"/>
      <w:lvlText w:val="(%1)"/>
      <w:numFmt w:val="lowerRoman"/>
      <w:start w:val="2"/>
    </w:lvl>
  </w:abstractNum>
  <w:abstractNum w:abstractNumId="358">
    <w:nsid w:val="6863E8D2"/>
    <w:multiLevelType w:val="hybridMultilevel"/>
    <w:lvl w:ilvl="0">
      <w:lvlJc w:val="left"/>
      <w:lvlText w:val="%1)"/>
      <w:numFmt w:val="decimal"/>
      <w:start w:val="1"/>
    </w:lvl>
  </w:abstractNum>
  <w:abstractNum w:abstractNumId="359">
    <w:nsid w:val="76896198"/>
    <w:multiLevelType w:val="hybridMultilevel"/>
    <w:lvl w:ilvl="0">
      <w:lvlJc w:val="left"/>
      <w:lvlText w:val="%1)"/>
      <w:numFmt w:val="decimal"/>
      <w:start w:val="11"/>
    </w:lvl>
  </w:abstractNum>
  <w:abstractNum w:abstractNumId="360">
    <w:nsid w:val="4365174B"/>
    <w:multiLevelType w:val="hybridMultilevel"/>
    <w:lvl w:ilvl="0">
      <w:lvlJc w:val="left"/>
      <w:lvlText w:val="*"/>
      <w:numFmt w:val="bullet"/>
      <w:start w:val="1"/>
    </w:lvl>
  </w:abstractNum>
  <w:abstractNum w:abstractNumId="361">
    <w:nsid w:val="4A872C3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2">
    <w:nsid w:val="5D5CE7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63">
    <w:nsid w:val="1CD484D5"/>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64">
    <w:nsid w:val="21D06255"/>
    <w:multiLevelType w:val="hybridMultilevel"/>
    <w:lvl w:ilvl="0">
      <w:lvlJc w:val="left"/>
      <w:lvlText w:val="*"/>
      <w:numFmt w:val="bullet"/>
      <w:start w:val="1"/>
    </w:lvl>
  </w:abstractNum>
  <w:abstractNum w:abstractNumId="365">
    <w:nsid w:val="51194ED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2019-12-07T03:11:39Z</dcterms:created>
  <dcterms:modified xsi:type="dcterms:W3CDTF">2019-12-07T03:11:39Z</dcterms:modified>
</cp:coreProperties>
</file>