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71"/>
        <w:spacing w:after="0"/>
        <w:rPr>
          <w:sz w:val="20"/>
          <w:szCs w:val="20"/>
          <w:color w:val="auto"/>
        </w:rPr>
      </w:pPr>
      <w:r>
        <w:rPr>
          <w:rFonts w:ascii="Courier New" w:cs="Courier New" w:eastAsia="Courier New" w:hAnsi="Courier New"/>
          <w:sz w:val="15"/>
          <w:szCs w:val="15"/>
          <w:color w:val="auto"/>
        </w:rPr>
        <w:t>UNITED STATES</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10-Q</w:t>
      </w:r>
    </w:p>
    <w:p>
      <w:pPr>
        <w:spacing w:after="0" w:line="3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2" w:lineRule="exact"/>
        <w:rPr>
          <w:sz w:val="24"/>
          <w:szCs w:val="24"/>
          <w:color w:val="auto"/>
        </w:rPr>
      </w:pPr>
    </w:p>
    <w:p>
      <w:pPr>
        <w:ind w:left="448" w:right="3079"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SEPTEMBER 30, 1999</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OR</w:t>
      </w:r>
    </w:p>
    <w:p>
      <w:pPr>
        <w:spacing w:after="0" w:line="146" w:lineRule="exact"/>
        <w:rPr>
          <w:sz w:val="24"/>
          <w:szCs w:val="24"/>
          <w:color w:val="auto"/>
        </w:rPr>
      </w:pPr>
    </w:p>
    <w:p>
      <w:pPr>
        <w:ind w:left="448" w:right="3079" w:hanging="448"/>
        <w:spacing w:after="0" w:line="359"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8"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Commission File Number 0-6983</w:t>
      </w:r>
    </w:p>
    <w:p>
      <w:pPr>
        <w:spacing w:after="0" w:line="174"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COMCAST CORPORATION</w:t>
      </w:r>
    </w:p>
    <w:p>
      <w:pPr>
        <w:spacing w:after="0" w:line="30"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[GRAPHIC OMITTED - LOGO]</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18" w:lineRule="exact"/>
        <w:rPr>
          <w:sz w:val="24"/>
          <w:szCs w:val="24"/>
          <w:color w:val="auto"/>
        </w:rPr>
      </w:pPr>
    </w:p>
    <w:tbl>
      <w:tblPr>
        <w:tblLayout w:type="fixed"/>
        <w:tblInd w:w="808" w:type="dxa"/>
        <w:tblCellMar>
          <w:top w:w="0" w:type="dxa"/>
          <w:left w:w="0" w:type="dxa"/>
          <w:bottom w:w="0" w:type="dxa"/>
          <w:right w:w="0" w:type="dxa"/>
        </w:tblCellMar>
      </w:tblPr>
      <w:tr>
        <w:trPr>
          <w:trHeight w:val="20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23-1709202</w:t>
            </w:r>
          </w:p>
        </w:tc>
      </w:tr>
    </w:tbl>
    <w:p>
      <w:pPr>
        <w:ind w:left="8"/>
        <w:spacing w:after="0"/>
        <w:rPr>
          <w:sz w:val="20"/>
          <w:szCs w:val="20"/>
          <w:color w:val="auto"/>
        </w:rPr>
      </w:pPr>
      <w:r>
        <w:rPr>
          <w:rFonts w:ascii="Courier New" w:cs="Courier New" w:eastAsia="Courier New" w:hAnsi="Courier New"/>
          <w:sz w:val="14"/>
          <w:szCs w:val="14"/>
          <w:color w:val="auto"/>
        </w:rPr>
        <w:t>- --------------------------------------------------------------------------------</w:t>
      </w:r>
    </w:p>
    <w:p>
      <w:pPr>
        <w:spacing w:after="0" w:line="303" w:lineRule="exact"/>
        <w:rPr>
          <w:sz w:val="24"/>
          <w:szCs w:val="24"/>
          <w:color w:val="auto"/>
        </w:rPr>
      </w:pPr>
    </w:p>
    <w:p>
      <w:pPr>
        <w:ind w:left="88" w:right="3599" w:hanging="88"/>
        <w:spacing w:after="0" w:line="299" w:lineRule="auto"/>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264"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30"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7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 of principal executive offices)</w:t>
      </w:r>
    </w:p>
    <w:p>
      <w:pPr>
        <w:spacing w:after="0" w:line="2"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(Zip Code)</w:t>
      </w:r>
    </w:p>
    <w:p>
      <w:pPr>
        <w:spacing w:after="0" w:line="146" w:lineRule="exact"/>
        <w:rPr>
          <w:sz w:val="24"/>
          <w:szCs w:val="24"/>
          <w:color w:val="auto"/>
        </w:rPr>
      </w:pPr>
    </w:p>
    <w:p>
      <w:pPr>
        <w:ind w:left="8"/>
        <w:spacing w:after="0"/>
        <w:tabs>
          <w:tab w:leader="none" w:pos="4728"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spacing w:after="0" w:line="174"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both"/>
        <w:ind w:left="8" w:right="3079"/>
        <w:spacing w:after="0" w:line="27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7"/>
          </w:cols>
          <w:pgMar w:left="232" w:top="205" w:right="1440" w:bottom="0" w:gutter="0" w:footer="0" w:header="0"/>
        </w:sectPr>
      </w:pPr>
    </w:p>
    <w:p>
      <w:pPr>
        <w:spacing w:after="0" w:line="69"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____</w:t>
      </w:r>
    </w:p>
    <w:p>
      <w:pPr>
        <w:spacing w:after="0" w:line="82" w:lineRule="exact"/>
        <w:rPr>
          <w:sz w:val="24"/>
          <w:szCs w:val="24"/>
          <w:color w:val="auto"/>
        </w:rPr>
      </w:pPr>
    </w:p>
    <w:p>
      <w:pPr>
        <w:sectPr>
          <w:pgSz w:w="11900" w:h="16838" w:orient="portrait"/>
          <w:cols w:equalWidth="0" w:num="3">
            <w:col w:w="808" w:space="180"/>
            <w:col w:w="3920" w:space="720"/>
            <w:col w:w="4599"/>
          </w:cols>
          <w:pgMar w:left="232" w:top="205" w:right="1440" w:bottom="0" w:gutter="0" w:footer="0" w:header="0"/>
          <w:type w:val="continuous"/>
        </w:sectPr>
      </w:pPr>
    </w:p>
    <w:p>
      <w:pPr>
        <w:ind w:left="240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05" w:right="1440" w:bottom="0" w:gutter="0" w:footer="0" w:header="0"/>
          <w:type w:val="continuous"/>
        </w:sectPr>
      </w:pPr>
    </w:p>
    <w:p>
      <w:pPr>
        <w:spacing w:after="0" w:line="105" w:lineRule="exact"/>
        <w:rPr>
          <w:sz w:val="24"/>
          <w:szCs w:val="24"/>
          <w:color w:val="auto"/>
        </w:rPr>
      </w:pPr>
    </w:p>
    <w:p>
      <w:pPr>
        <w:jc w:val="both"/>
        <w:ind w:left="8" w:right="3079"/>
        <w:spacing w:after="0" w:line="301" w:lineRule="auto"/>
        <w:rPr>
          <w:sz w:val="20"/>
          <w:szCs w:val="20"/>
          <w:color w:val="auto"/>
        </w:rPr>
      </w:pPr>
      <w:r>
        <w:rPr>
          <w:rFonts w:ascii="Courier New" w:cs="Courier New" w:eastAsia="Courier New" w:hAnsi="Courier New"/>
          <w:sz w:val="15"/>
          <w:szCs w:val="15"/>
          <w:color w:val="auto"/>
        </w:rPr>
        <w:t>As of September 30, 1999, there were 715,051,949 shares of Class A Special Common Stock, 27,193,380 shares of Class A Common Stock and 9,444,375 shares of Class B Common Stock outstanding.</w:t>
      </w:r>
    </w:p>
    <w:p>
      <w:pPr>
        <w:spacing w:after="0" w:line="37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4"/>
          <w:szCs w:val="24"/>
          <w:color w:val="auto"/>
        </w:rPr>
      </w:pPr>
    </w:p>
    <w:tbl>
      <w:tblPr>
        <w:tblLayout w:type="fixed"/>
        <w:tblInd w:w="8" w:type="dxa"/>
        <w:tblCellMar>
          <w:top w:w="0" w:type="dxa"/>
          <w:left w:w="0" w:type="dxa"/>
          <w:bottom w:w="0" w:type="dxa"/>
          <w:right w:w="0" w:type="dxa"/>
        </w:tblCellMar>
      </w:tblPr>
      <w:tr>
        <w:trPr>
          <w:trHeight w:val="252"/>
        </w:trPr>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QUARTER ENDED SEPTEMBER 30, 1999</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40" w:type="dxa"/>
            <w:vAlign w:val="bottom"/>
          </w:tcPr>
          <w:p>
            <w:pPr>
              <w:ind w:left="1160"/>
              <w:spacing w:after="0"/>
              <w:rPr>
                <w:sz w:val="20"/>
                <w:szCs w:val="20"/>
                <w:color w:val="auto"/>
              </w:rPr>
            </w:pPr>
            <w:r>
              <w:rPr>
                <w:rFonts w:ascii="Courier New" w:cs="Courier New" w:eastAsia="Courier New" w:hAnsi="Courier New"/>
                <w:sz w:val="15"/>
                <w:szCs w:val="15"/>
                <w:color w:val="auto"/>
              </w:rPr>
              <w:t>TABLE OF CONTENTS</w:t>
            </w:r>
          </w:p>
        </w:tc>
        <w:tc>
          <w:tcPr>
            <w:tcW w:w="7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PART I.</w:t>
            </w:r>
          </w:p>
        </w:tc>
        <w:tc>
          <w:tcPr>
            <w:tcW w:w="564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2"/>
        </w:trPr>
        <w:tc>
          <w:tcPr>
            <w:tcW w:w="800" w:type="dxa"/>
            <w:vAlign w:val="bottom"/>
            <w:vMerge w:val="continue"/>
          </w:tcPr>
          <w:p>
            <w:pPr>
              <w:spacing w:after="0"/>
              <w:rPr>
                <w:sz w:val="14"/>
                <w:szCs w:val="14"/>
                <w:color w:val="auto"/>
              </w:rPr>
            </w:pPr>
          </w:p>
        </w:tc>
        <w:tc>
          <w:tcPr>
            <w:tcW w:w="56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ITEM 1.</w:t>
            </w: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Balance Sheet as of</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.......2</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w w:val="99"/>
              </w:rPr>
              <w:t>September 30, 1999 and December 31, 1998 (Unaudited)</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 of</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Operations and Accumulated Deficit for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40" w:type="dxa"/>
            <w:vAlign w:val="bottom"/>
          </w:tcPr>
          <w:p>
            <w:pPr>
              <w:ind w:left="80"/>
              <w:spacing w:after="0" w:line="172" w:lineRule="exact"/>
              <w:rPr>
                <w:sz w:val="20"/>
                <w:szCs w:val="20"/>
                <w:color w:val="auto"/>
              </w:rPr>
            </w:pPr>
            <w:r>
              <w:rPr>
                <w:rFonts w:ascii="Courier New" w:cs="Courier New" w:eastAsia="Courier New" w:hAnsi="Courier New"/>
                <w:sz w:val="12"/>
                <w:szCs w:val="12"/>
                <w:color w:val="auto"/>
                <w:w w:val="80"/>
              </w:rPr>
              <w:t>the Nine and Three Months</w:t>
            </w:r>
            <w:r>
              <w:rPr>
                <w:rFonts w:ascii="Courier New" w:cs="Courier New" w:eastAsia="Courier New" w:hAnsi="Courier New"/>
                <w:sz w:val="20"/>
                <w:szCs w:val="20"/>
                <w:color w:val="auto"/>
                <w:w w:val="80"/>
                <w:vertAlign w:val="subscript"/>
              </w:rPr>
              <w:t>..................................</w:t>
            </w:r>
            <w:r>
              <w:rPr>
                <w:rFonts w:ascii="Courier New" w:cs="Courier New" w:eastAsia="Courier New" w:hAnsi="Courier New"/>
                <w:sz w:val="12"/>
                <w:szCs w:val="12"/>
                <w:color w:val="auto"/>
                <w:w w:val="80"/>
              </w:rPr>
              <w:t>EndedSeptember30,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1999 and 1998 (Unaudited)</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 of Cash</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40" w:type="dxa"/>
            <w:vAlign w:val="bottom"/>
          </w:tcPr>
          <w:p>
            <w:pPr>
              <w:ind w:left="80"/>
              <w:spacing w:after="0" w:line="172" w:lineRule="exact"/>
              <w:rPr>
                <w:sz w:val="20"/>
                <w:szCs w:val="20"/>
                <w:color w:val="auto"/>
              </w:rPr>
            </w:pPr>
            <w:r>
              <w:rPr>
                <w:rFonts w:ascii="Courier New" w:cs="Courier New" w:eastAsia="Courier New" w:hAnsi="Courier New"/>
                <w:sz w:val="12"/>
                <w:szCs w:val="12"/>
                <w:color w:val="auto"/>
                <w:w w:val="80"/>
              </w:rPr>
              <w:t>Flows for the Nine Months</w:t>
            </w:r>
            <w:r>
              <w:rPr>
                <w:rFonts w:ascii="Courier New" w:cs="Courier New" w:eastAsia="Courier New" w:hAnsi="Courier New"/>
                <w:sz w:val="20"/>
                <w:szCs w:val="20"/>
                <w:color w:val="auto"/>
                <w:w w:val="80"/>
                <w:vertAlign w:val="subscript"/>
              </w:rPr>
              <w:t>..................................</w:t>
            </w:r>
            <w:r>
              <w:rPr>
                <w:rFonts w:ascii="Courier New" w:cs="Courier New" w:eastAsia="Courier New" w:hAnsi="Courier New"/>
                <w:sz w:val="12"/>
                <w:szCs w:val="12"/>
                <w:color w:val="auto"/>
                <w:w w:val="80"/>
              </w:rPr>
              <w:t>EndedSeptember30,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1999 and 1998 (Unaudited)</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40" w:type="dxa"/>
            <w:vAlign w:val="bottom"/>
          </w:tcPr>
          <w:p>
            <w:pPr>
              <w:ind w:left="80"/>
              <w:spacing w:after="0" w:line="263" w:lineRule="exact"/>
              <w:rPr>
                <w:sz w:val="20"/>
                <w:szCs w:val="20"/>
                <w:color w:val="auto"/>
              </w:rPr>
            </w:pPr>
            <w:r>
              <w:rPr>
                <w:rFonts w:ascii="Courier New" w:cs="Courier New" w:eastAsia="Courier New" w:hAnsi="Courier New"/>
                <w:sz w:val="15"/>
                <w:szCs w:val="15"/>
                <w:color w:val="auto"/>
                <w:w w:val="85"/>
              </w:rPr>
              <w:t xml:space="preserve">Notes to Condensed Consolidated </w:t>
            </w:r>
            <w:r>
              <w:rPr>
                <w:rFonts w:ascii="Courier New" w:cs="Courier New" w:eastAsia="Courier New" w:hAnsi="Courier New"/>
                <w:sz w:val="29"/>
                <w:szCs w:val="29"/>
                <w:color w:val="auto"/>
                <w:w w:val="85"/>
                <w:vertAlign w:val="subscript"/>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5 - 15</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 (Unaudited)</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56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ITEM 2.   Management's Discussion and Analysis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rPr>
              <w:t>of Financial Condition and Results of</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16 - 23</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Operations...........................................</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6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ITEM 1.</w:t>
            </w:r>
          </w:p>
        </w:tc>
        <w:tc>
          <w:tcPr>
            <w:tcW w:w="4740" w:type="dxa"/>
            <w:vAlign w:val="bottom"/>
          </w:tcPr>
          <w:p>
            <w:pPr>
              <w:ind w:left="80"/>
              <w:spacing w:after="0"/>
              <w:rPr>
                <w:sz w:val="20"/>
                <w:szCs w:val="20"/>
                <w:color w:val="auto"/>
              </w:rPr>
            </w:pPr>
            <w:r>
              <w:rPr>
                <w:rFonts w:ascii="Courier New" w:cs="Courier New" w:eastAsia="Courier New" w:hAnsi="Courier New"/>
                <w:sz w:val="15"/>
                <w:szCs w:val="15"/>
                <w:color w:val="auto"/>
                <w:w w:val="88"/>
              </w:rPr>
              <w:t>Legal Proceedings.........................................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0"/>
              </w:rPr>
              <w:t>ITEM 6.   Exhibits and Reports on Form 8-K..........................</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SIGNATURE</w:t>
            </w:r>
          </w:p>
        </w:tc>
        <w:tc>
          <w:tcPr>
            <w:tcW w:w="4740" w:type="dxa"/>
            <w:vAlign w:val="bottom"/>
          </w:tcPr>
          <w:p>
            <w:pPr>
              <w:spacing w:after="0"/>
              <w:rPr>
                <w:sz w:val="20"/>
                <w:szCs w:val="20"/>
                <w:color w:val="auto"/>
              </w:rPr>
            </w:pPr>
            <w:r>
              <w:rPr>
                <w:rFonts w:ascii="Courier New" w:cs="Courier New" w:eastAsia="Courier New" w:hAnsi="Courier New"/>
                <w:sz w:val="15"/>
                <w:szCs w:val="15"/>
                <w:color w:val="auto"/>
                <w:w w:val="9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left="8" w:right="3079" w:firstLine="447"/>
        <w:spacing w:after="0" w:line="272" w:lineRule="auto"/>
        <w:rPr>
          <w:sz w:val="20"/>
          <w:szCs w:val="20"/>
          <w:color w:val="auto"/>
        </w:rPr>
      </w:pPr>
      <w:r>
        <w:rPr>
          <w:rFonts w:ascii="Courier New" w:cs="Courier New" w:eastAsia="Courier New" w:hAnsi="Courier New"/>
          <w:sz w:val="15"/>
          <w:szCs w:val="15"/>
          <w:color w:val="auto"/>
        </w:rPr>
        <w:t>This Quarterly Report on Form 10-Q is for the three months ended September 30, 1999.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w:t>
      </w:r>
    </w:p>
    <w:p>
      <w:pPr>
        <w:sectPr>
          <w:pgSz w:w="11900" w:h="16838" w:orient="portrait"/>
          <w:cols w:equalWidth="0" w:num="1">
            <w:col w:w="10227"/>
          </w:cols>
          <w:pgMar w:left="232" w:top="205" w:right="1440" w:bottom="0" w:gutter="0" w:footer="0" w:header="0"/>
          <w:type w:val="continuous"/>
        </w:sectPr>
      </w:pPr>
    </w:p>
    <w:bookmarkStart w:id="1" w:name="page2"/>
    <w:bookmarkEnd w:id="1"/>
    <w:p>
      <w:pPr>
        <w:jc w:val="both"/>
        <w:ind w:right="3079"/>
        <w:spacing w:after="0" w:line="272" w:lineRule="auto"/>
        <w:rPr>
          <w:sz w:val="20"/>
          <w:szCs w:val="20"/>
          <w:color w:val="auto"/>
        </w:rPr>
      </w:pPr>
      <w:r>
        <w:rPr>
          <w:rFonts w:ascii="Courier New" w:cs="Courier New" w:eastAsia="Courier New" w:hAnsi="Courier New"/>
          <w:sz w:val="15"/>
          <w:szCs w:val="15"/>
          <w:color w:val="auto"/>
        </w:rPr>
        <w:t>incorporated by reference is considered to be part of this Quarterly Report. In addition, information we file with the SEC in the future will automatically update and supersede information contained in this Quarterly Report. In this Quarterly Report, "Comcast," "we," "us" and "our" refer to Comcast Corporation and its subsidiaries.</w:t>
      </w:r>
    </w:p>
    <w:p>
      <w:pPr>
        <w:spacing w:after="0" w:line="69" w:lineRule="exact"/>
        <w:rPr>
          <w:sz w:val="20"/>
          <w:szCs w:val="20"/>
          <w:color w:val="auto"/>
        </w:rPr>
      </w:pPr>
    </w:p>
    <w:p>
      <w:pPr>
        <w:jc w:val="both"/>
        <w:ind w:right="3079" w:firstLine="447"/>
        <w:spacing w:after="0" w:line="253" w:lineRule="auto"/>
        <w:rPr>
          <w:sz w:val="20"/>
          <w:szCs w:val="20"/>
          <w:color w:val="auto"/>
        </w:rPr>
      </w:pPr>
      <w:r>
        <w:rPr>
          <w:rFonts w:ascii="Courier New" w:cs="Courier New" w:eastAsia="Courier New" w:hAnsi="Courier New"/>
          <w:sz w:val="15"/>
          <w:szCs w:val="15"/>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4"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8" w:lineRule="exact"/>
        <w:rPr>
          <w:sz w:val="20"/>
          <w:szCs w:val="20"/>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30"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2"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2"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2" w:lineRule="exact"/>
        <w:rPr>
          <w:rFonts w:ascii="Courier New" w:cs="Courier New" w:eastAsia="Courier New" w:hAnsi="Courier New"/>
          <w:sz w:val="15"/>
          <w:szCs w:val="15"/>
          <w:color w:val="auto"/>
        </w:rPr>
      </w:pPr>
    </w:p>
    <w:p>
      <w:pPr>
        <w:jc w:val="both"/>
        <w:ind w:left="880" w:right="3079" w:hanging="441"/>
        <w:spacing w:after="0" w:line="242"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2"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w:t>
      </w:r>
    </w:p>
    <w:p>
      <w:pPr>
        <w:spacing w:after="0" w:line="1"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ectPr>
          <w:pgSz w:w="11900" w:h="16838" w:orient="portrait"/>
          <w:cols w:equalWidth="0" w:num="1">
            <w:col w:w="10219"/>
          </w:cols>
          <w:pgMar w:left="240" w:top="11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626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COMCAST CORPORATION AND SUBSIDIARIES</w:t>
            </w: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ind w:left="2420"/>
              <w:spacing w:after="0"/>
              <w:rPr>
                <w:sz w:val="20"/>
                <w:szCs w:val="20"/>
                <w:color w:val="auto"/>
              </w:rPr>
            </w:pPr>
            <w:r>
              <w:rPr>
                <w:rFonts w:ascii="Courier New" w:cs="Courier New" w:eastAsia="Courier New" w:hAnsi="Courier New"/>
                <w:sz w:val="15"/>
                <w:szCs w:val="15"/>
                <w:color w:val="auto"/>
              </w:rPr>
              <w:t>FORM 10-Q</w:t>
            </w: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00" w:type="dxa"/>
            <w:vAlign w:val="bottom"/>
          </w:tcPr>
          <w:p>
            <w:pPr>
              <w:spacing w:after="0"/>
              <w:rPr>
                <w:sz w:val="21"/>
                <w:szCs w:val="21"/>
                <w:color w:val="auto"/>
              </w:rPr>
            </w:pPr>
          </w:p>
        </w:tc>
        <w:tc>
          <w:tcPr>
            <w:tcW w:w="626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QUARTER ENDED SEPTEMBER 30, 1999</w:t>
            </w:r>
          </w:p>
        </w:tc>
        <w:tc>
          <w:tcPr>
            <w:tcW w:w="18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626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CONDENSED CONSOLIDATED BALANCE SHEET</w:t>
            </w:r>
          </w:p>
        </w:tc>
        <w:tc>
          <w:tcPr>
            <w:tcW w:w="18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00" w:type="dxa"/>
            <w:vAlign w:val="bottom"/>
          </w:tcPr>
          <w:p>
            <w:pPr>
              <w:spacing w:after="0"/>
              <w:rPr>
                <w:sz w:val="21"/>
                <w:szCs w:val="21"/>
                <w:color w:val="auto"/>
              </w:rPr>
            </w:pPr>
          </w:p>
        </w:tc>
        <w:tc>
          <w:tcPr>
            <w:tcW w:w="6260" w:type="dxa"/>
            <w:vAlign w:val="bottom"/>
          </w:tcPr>
          <w:p>
            <w:pPr>
              <w:ind w:left="2340"/>
              <w:spacing w:after="0"/>
              <w:rPr>
                <w:sz w:val="20"/>
                <w:szCs w:val="20"/>
                <w:color w:val="auto"/>
              </w:rPr>
            </w:pPr>
            <w:r>
              <w:rPr>
                <w:rFonts w:ascii="Courier New" w:cs="Courier New" w:eastAsia="Courier New" w:hAnsi="Courier New"/>
                <w:sz w:val="15"/>
                <w:szCs w:val="15"/>
                <w:color w:val="auto"/>
              </w:rPr>
              <w:t>(Unaudited)</w:t>
            </w:r>
          </w:p>
        </w:tc>
        <w:tc>
          <w:tcPr>
            <w:tcW w:w="18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7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(Dollars in millions, except share data)</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September 30,</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1999</w:t>
            </w:r>
          </w:p>
        </w:tc>
        <w:tc>
          <w:tcPr>
            <w:tcW w:w="17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70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spacing w:after="0"/>
              <w:rPr>
                <w:sz w:val="20"/>
                <w:szCs w:val="20"/>
                <w:color w:val="auto"/>
              </w:rPr>
            </w:pPr>
            <w:r>
              <w:rPr>
                <w:rFonts w:ascii="Courier New" w:cs="Courier New" w:eastAsia="Courier New" w:hAnsi="Courier New"/>
                <w:sz w:val="20"/>
                <w:szCs w:val="20"/>
                <w:color w:val="auto"/>
                <w:w w:val="97"/>
                <w:vertAlign w:val="superscript"/>
              </w:rPr>
              <w:t>CURRENT ASSETS</w:t>
            </w:r>
            <w:r>
              <w:rPr>
                <w:rFonts w:ascii="Courier New" w:cs="Courier New" w:eastAsia="Courier New" w:hAnsi="Courier New"/>
                <w:sz w:val="15"/>
                <w:szCs w:val="15"/>
                <w:color w:val="auto"/>
                <w:w w:val="97"/>
              </w:rPr>
              <w:t>..................................................</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$881.9</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$870.7</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Investments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5,354.1</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3,653.4</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line="172" w:lineRule="exact"/>
              <w:rPr>
                <w:sz w:val="20"/>
                <w:szCs w:val="20"/>
                <w:color w:val="auto"/>
              </w:rPr>
            </w:pPr>
            <w:r>
              <w:rPr>
                <w:rFonts w:ascii="Courier New" w:cs="Courier New" w:eastAsia="Courier New" w:hAnsi="Courier New"/>
                <w:sz w:val="12"/>
                <w:szCs w:val="12"/>
                <w:color w:val="auto"/>
                <w:w w:val="98"/>
              </w:rPr>
              <w:t>Accounts receivable, less allowance</w:t>
            </w:r>
            <w:r>
              <w:rPr>
                <w:rFonts w:ascii="Courier New" w:cs="Courier New" w:eastAsia="Courier New" w:hAnsi="Courier New"/>
                <w:sz w:val="20"/>
                <w:szCs w:val="20"/>
                <w:color w:val="auto"/>
                <w:w w:val="98"/>
                <w:vertAlign w:val="subscript"/>
              </w:rPr>
              <w:t>...........................................</w:t>
            </w:r>
            <w:r>
              <w:rPr>
                <w:rFonts w:ascii="Courier New" w:cs="Courier New" w:eastAsia="Courier New" w:hAnsi="Courier New"/>
                <w:sz w:val="12"/>
                <w:szCs w:val="12"/>
                <w:color w:val="auto"/>
                <w:w w:val="98"/>
              </w:rPr>
              <w:t>fordoubtful</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541.6</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549.3</w:t>
            </w:r>
          </w:p>
        </w:tc>
        <w:tc>
          <w:tcPr>
            <w:tcW w:w="0" w:type="dxa"/>
            <w:vAlign w:val="bottom"/>
          </w:tcPr>
          <w:p>
            <w:pPr>
              <w:spacing w:after="0"/>
              <w:rPr>
                <w:sz w:val="1"/>
                <w:szCs w:val="1"/>
                <w:color w:val="auto"/>
              </w:rPr>
            </w:pPr>
          </w:p>
        </w:tc>
      </w:tr>
      <w:tr>
        <w:trPr>
          <w:trHeight w:val="172"/>
        </w:trPr>
        <w:tc>
          <w:tcPr>
            <w:tcW w:w="69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accounts of $133.2 and $120.7</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Inventories, net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468.4</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343.8</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Other current assets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95.3</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Total current assets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7,341.3</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5,517.4</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INVESTMENTS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2,683.2</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602.4</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PROPERTY AND EQUIPMENT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4,832.3</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3,886.7</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Accumulated depreciation ...................................................</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(1,622.5)</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(1,362.3)</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w w:val="97"/>
              </w:rPr>
              <w:t>Property and equipment, net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3,209.8</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2,524.4</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DEFERRED CHARGES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78"/>
              </w:rPr>
              <w:t>-----------</w:t>
            </w:r>
            <w:r>
              <w:rPr>
                <w:rFonts w:ascii="Courier New" w:cs="Courier New" w:eastAsia="Courier New" w:hAnsi="Courier New"/>
                <w:sz w:val="29"/>
                <w:szCs w:val="29"/>
                <w:color w:val="auto"/>
                <w:w w:val="78"/>
                <w:vertAlign w:val="subscript"/>
              </w:rPr>
              <w:t>11,496.6</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8,214.5</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Accumulated amortization ...................................................</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(2,466.0)</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(2,148.2)</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w w:val="97"/>
              </w:rPr>
              <w:t>Deferred charges, net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9,030.6</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6,066.3</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$22,264.9</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$14,710.5</w:t>
            </w:r>
          </w:p>
        </w:tc>
        <w:tc>
          <w:tcPr>
            <w:tcW w:w="0" w:type="dxa"/>
            <w:vAlign w:val="bottom"/>
          </w:tcPr>
          <w:p>
            <w:pPr>
              <w:spacing w:after="0"/>
              <w:rPr>
                <w:sz w:val="1"/>
                <w:szCs w:val="1"/>
                <w:color w:val="auto"/>
              </w:rPr>
            </w:pPr>
          </w:p>
        </w:tc>
      </w:tr>
      <w:tr>
        <w:trPr>
          <w:trHeight w:val="25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960" w:type="dxa"/>
            <w:vAlign w:val="bottom"/>
            <w:gridSpan w:val="2"/>
            <w:vMerge w:val="continue"/>
          </w:tcPr>
          <w:p>
            <w:pPr>
              <w:spacing w:after="0"/>
              <w:rPr>
                <w:sz w:val="7"/>
                <w:szCs w:val="7"/>
                <w:color w:val="auto"/>
              </w:rPr>
            </w:pPr>
          </w:p>
        </w:tc>
        <w:tc>
          <w:tcPr>
            <w:tcW w:w="18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spacing w:after="0"/>
              <w:rPr>
                <w:sz w:val="20"/>
                <w:szCs w:val="20"/>
                <w:color w:val="auto"/>
              </w:rPr>
            </w:pPr>
            <w:r>
              <w:rPr>
                <w:rFonts w:ascii="Courier New" w:cs="Courier New" w:eastAsia="Courier New" w:hAnsi="Courier New"/>
                <w:sz w:val="20"/>
                <w:szCs w:val="20"/>
                <w:color w:val="auto"/>
                <w:w w:val="96"/>
                <w:vertAlign w:val="superscript"/>
              </w:rPr>
              <w:t>CURRENT LIABILITIES</w:t>
            </w:r>
            <w:r>
              <w:rPr>
                <w:rFonts w:ascii="Courier New" w:cs="Courier New" w:eastAsia="Courier New" w:hAnsi="Courier New"/>
                <w:sz w:val="15"/>
                <w:szCs w:val="15"/>
                <w:color w:val="auto"/>
                <w:w w:val="96"/>
              </w:rPr>
              <w:t>......................................</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$2,197.3</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$1,600.3</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Accrued interest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140.9</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73.5</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line="172" w:lineRule="exact"/>
              <w:rPr>
                <w:sz w:val="20"/>
                <w:szCs w:val="20"/>
                <w:color w:val="auto"/>
              </w:rPr>
            </w:pPr>
            <w:r>
              <w:rPr>
                <w:rFonts w:ascii="Courier New" w:cs="Courier New" w:eastAsia="Courier New" w:hAnsi="Courier New"/>
                <w:sz w:val="11"/>
                <w:szCs w:val="11"/>
                <w:color w:val="auto"/>
                <w:w w:val="74"/>
              </w:rPr>
              <w:t>Net liabilities of discontinued</w:t>
            </w:r>
            <w:r>
              <w:rPr>
                <w:rFonts w:ascii="Courier New" w:cs="Courier New" w:eastAsia="Courier New" w:hAnsi="Courier New"/>
                <w:sz w:val="19"/>
                <w:szCs w:val="19"/>
                <w:color w:val="auto"/>
                <w:w w:val="74"/>
                <w:vertAlign w:val="subscript"/>
              </w:rPr>
              <w:t>......................................................</w:t>
            </w:r>
            <w:r>
              <w:rPr>
                <w:rFonts w:ascii="Courier New" w:cs="Courier New" w:eastAsia="Courier New" w:hAnsi="Courier New"/>
                <w:sz w:val="11"/>
                <w:szCs w:val="11"/>
                <w:color w:val="auto"/>
                <w:w w:val="74"/>
              </w:rPr>
              <w:t>operations.................................</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1,575.3</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165.2</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1,033.2</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Current portion of long-term debt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178.4</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113.5</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Total current liabilities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4,091.9</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2,985.7</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LONG-TERM DEBT, less current portion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6,778.0</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5,464.2</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DEFERRED INCOME TAXES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2,883.7</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1,500.1</w:t>
            </w:r>
          </w:p>
        </w:tc>
        <w:tc>
          <w:tcPr>
            <w:tcW w:w="0" w:type="dxa"/>
            <w:vAlign w:val="bottom"/>
          </w:tcPr>
          <w:p>
            <w:pPr>
              <w:spacing w:after="0"/>
              <w:rPr>
                <w:sz w:val="1"/>
                <w:szCs w:val="1"/>
                <w:color w:val="auto"/>
              </w:rPr>
            </w:pPr>
          </w:p>
        </w:tc>
      </w:tr>
      <w:tr>
        <w:trPr>
          <w:trHeight w:val="17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7"/>
              </w:rPr>
              <w:t>MINORITY INTEREST AND OTHER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5"/>
              </w:rPr>
              <w:t>-----------</w:t>
            </w:r>
            <w:r>
              <w:rPr>
                <w:rFonts w:ascii="Courier New" w:cs="Courier New" w:eastAsia="Courier New" w:hAnsi="Courier New"/>
                <w:sz w:val="29"/>
                <w:szCs w:val="29"/>
                <w:color w:val="auto"/>
                <w:w w:val="95"/>
                <w:vertAlign w:val="subscript"/>
              </w:rPr>
              <w:t>875.4</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834.0</w:t>
            </w:r>
          </w:p>
        </w:tc>
        <w:tc>
          <w:tcPr>
            <w:tcW w:w="0" w:type="dxa"/>
            <w:vAlign w:val="bottom"/>
          </w:tcPr>
          <w:p>
            <w:pPr>
              <w:spacing w:after="0"/>
              <w:rPr>
                <w:sz w:val="1"/>
                <w:szCs w:val="1"/>
                <w:color w:val="auto"/>
              </w:rPr>
            </w:pPr>
          </w:p>
        </w:tc>
      </w:tr>
      <w:tr>
        <w:trPr>
          <w:trHeight w:val="25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960" w:type="dxa"/>
            <w:vAlign w:val="bottom"/>
            <w:gridSpan w:val="2"/>
            <w:vMerge w:val="continue"/>
          </w:tcPr>
          <w:p>
            <w:pPr>
              <w:spacing w:after="0"/>
              <w:rPr>
                <w:sz w:val="7"/>
                <w:szCs w:val="7"/>
                <w:color w:val="auto"/>
              </w:rPr>
            </w:pPr>
          </w:p>
        </w:tc>
        <w:tc>
          <w:tcPr>
            <w:tcW w:w="1840" w:type="dxa"/>
            <w:vAlign w:val="bottom"/>
          </w:tcPr>
          <w:p>
            <w:pPr>
              <w:spacing w:after="0"/>
              <w:rPr>
                <w:sz w:val="7"/>
                <w:szCs w:val="7"/>
                <w:color w:val="auto"/>
              </w:rPr>
            </w:pP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111.2</w:t>
            </w:r>
          </w:p>
        </w:tc>
        <w:tc>
          <w:tcPr>
            <w:tcW w:w="0" w:type="dxa"/>
            <w:vAlign w:val="bottom"/>
          </w:tcPr>
          <w:p>
            <w:pPr>
              <w:spacing w:after="0"/>
              <w:rPr>
                <w:sz w:val="1"/>
                <w:szCs w:val="1"/>
                <w:color w:val="auto"/>
              </w:rPr>
            </w:pPr>
          </w:p>
        </w:tc>
      </w:tr>
      <w:tr>
        <w:trPr>
          <w:trHeight w:val="172"/>
        </w:trPr>
        <w:tc>
          <w:tcPr>
            <w:tcW w:w="8800" w:type="dxa"/>
            <w:vAlign w:val="bottom"/>
            <w:gridSpan w:val="3"/>
          </w:tcPr>
          <w:p>
            <w:pPr>
              <w:spacing w:after="0"/>
              <w:rPr>
                <w:sz w:val="20"/>
                <w:szCs w:val="20"/>
                <w:color w:val="auto"/>
              </w:rPr>
            </w:pPr>
            <w:r>
              <w:rPr>
                <w:rFonts w:ascii="Courier New" w:cs="Courier New" w:eastAsia="Courier New" w:hAnsi="Courier New"/>
                <w:sz w:val="15"/>
                <w:szCs w:val="15"/>
                <w:color w:val="auto"/>
              </w:rPr>
              <w:t>COMMON EQUITY PUT OPTIONS .....................................................</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9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960" w:type="dxa"/>
            <w:vAlign w:val="bottom"/>
            <w:gridSpan w:val="2"/>
            <w:vMerge w:val="continue"/>
          </w:tcPr>
          <w:p>
            <w:pPr>
              <w:spacing w:after="0"/>
              <w:rPr>
                <w:sz w:val="7"/>
                <w:szCs w:val="7"/>
                <w:color w:val="auto"/>
              </w:rPr>
            </w:pPr>
          </w:p>
        </w:tc>
        <w:tc>
          <w:tcPr>
            <w:tcW w:w="18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stock - authorized, 20,000,000 shares; 5% series A convertible,</w:t>
            </w:r>
          </w:p>
        </w:tc>
        <w:tc>
          <w:tcPr>
            <w:tcW w:w="1840" w:type="dxa"/>
            <w:vAlign w:val="bottom"/>
          </w:tcPr>
          <w:p>
            <w:pPr>
              <w:spacing w:after="0"/>
              <w:rPr>
                <w:sz w:val="14"/>
                <w:szCs w:val="14"/>
                <w:color w:val="auto"/>
              </w:rPr>
            </w:pP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31.9</w:t>
            </w:r>
          </w:p>
        </w:tc>
        <w:tc>
          <w:tcPr>
            <w:tcW w:w="0" w:type="dxa"/>
            <w:vAlign w:val="bottom"/>
          </w:tcPr>
          <w:p>
            <w:pPr>
              <w:spacing w:after="0"/>
              <w:rPr>
                <w:sz w:val="1"/>
                <w:szCs w:val="1"/>
                <w:color w:val="auto"/>
              </w:rPr>
            </w:pPr>
          </w:p>
        </w:tc>
      </w:tr>
      <w:tr>
        <w:trPr>
          <w:trHeight w:val="172"/>
        </w:trPr>
        <w:tc>
          <w:tcPr>
            <w:tcW w:w="880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no par value, issued, zero and 6,370 at redemption value ................</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520"/>
              <w:spacing w:after="0" w:line="172" w:lineRule="exact"/>
              <w:rPr>
                <w:sz w:val="20"/>
                <w:szCs w:val="20"/>
                <w:color w:val="auto"/>
              </w:rPr>
            </w:pPr>
            <w:r>
              <w:rPr>
                <w:rFonts w:ascii="Courier New" w:cs="Courier New" w:eastAsia="Courier New" w:hAnsi="Courier New"/>
                <w:sz w:val="12"/>
                <w:szCs w:val="12"/>
                <w:color w:val="auto"/>
                <w:w w:val="96"/>
              </w:rPr>
              <w:t>5.25% series B mandatorily redeemable convertible,</w:t>
            </w:r>
            <w:r>
              <w:rPr>
                <w:rFonts w:ascii="Courier New" w:cs="Courier New" w:eastAsia="Courier New" w:hAnsi="Courier New"/>
                <w:sz w:val="20"/>
                <w:szCs w:val="20"/>
                <w:color w:val="auto"/>
                <w:w w:val="96"/>
                <w:vertAlign w:val="subscript"/>
              </w:rPr>
              <w:t>.........................</w:t>
            </w:r>
            <w:r>
              <w:rPr>
                <w:rFonts w:ascii="Courier New" w:cs="Courier New" w:eastAsia="Courier New" w:hAnsi="Courier New"/>
                <w:sz w:val="12"/>
                <w:szCs w:val="12"/>
                <w:color w:val="auto"/>
                <w:w w:val="96"/>
              </w:rPr>
              <w:t>$1,000parvalue,</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562.3</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540.7</w:t>
            </w:r>
          </w:p>
        </w:tc>
        <w:tc>
          <w:tcPr>
            <w:tcW w:w="0" w:type="dxa"/>
            <w:vAlign w:val="bottom"/>
          </w:tcPr>
          <w:p>
            <w:pPr>
              <w:spacing w:after="0"/>
              <w:rPr>
                <w:sz w:val="1"/>
                <w:szCs w:val="1"/>
                <w:color w:val="auto"/>
              </w:rPr>
            </w:pPr>
          </w:p>
        </w:tc>
      </w:tr>
      <w:tr>
        <w:trPr>
          <w:trHeight w:val="172"/>
        </w:trPr>
        <w:tc>
          <w:tcPr>
            <w:tcW w:w="69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issued, 562,260 and 540,690 at redemption value</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line="172" w:lineRule="exact"/>
              <w:rPr>
                <w:sz w:val="20"/>
                <w:szCs w:val="20"/>
                <w:color w:val="auto"/>
              </w:rPr>
            </w:pPr>
            <w:r>
              <w:rPr>
                <w:rFonts w:ascii="Courier New" w:cs="Courier New" w:eastAsia="Courier New" w:hAnsi="Courier New"/>
                <w:sz w:val="15"/>
                <w:szCs w:val="15"/>
                <w:color w:val="auto"/>
              </w:rPr>
              <w:t>Class A special common stock, $1 par value - authorized,</w:t>
            </w:r>
            <w:r>
              <w:rPr>
                <w:rFonts w:ascii="Courier New" w:cs="Courier New" w:eastAsia="Courier New" w:hAnsi="Courier New"/>
                <w:sz w:val="20"/>
                <w:szCs w:val="20"/>
                <w:color w:val="auto"/>
                <w:vertAlign w:val="subscript"/>
              </w:rPr>
              <w:t>...............</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715.1</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698.4</w:t>
            </w:r>
          </w:p>
        </w:tc>
        <w:tc>
          <w:tcPr>
            <w:tcW w:w="0" w:type="dxa"/>
            <w:vAlign w:val="bottom"/>
          </w:tcPr>
          <w:p>
            <w:pPr>
              <w:spacing w:after="0"/>
              <w:rPr>
                <w:sz w:val="1"/>
                <w:szCs w:val="1"/>
                <w:color w:val="auto"/>
              </w:rPr>
            </w:pPr>
          </w:p>
        </w:tc>
      </w:tr>
      <w:tr>
        <w:trPr>
          <w:trHeight w:val="172"/>
        </w:trPr>
        <w:tc>
          <w:tcPr>
            <w:tcW w:w="69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2,500,000,000 shares; issued, 715,051,949 and 698,395,170</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line="172" w:lineRule="exact"/>
              <w:rPr>
                <w:sz w:val="20"/>
                <w:szCs w:val="20"/>
                <w:color w:val="auto"/>
              </w:rPr>
            </w:pPr>
            <w:r>
              <w:rPr>
                <w:rFonts w:ascii="Courier New" w:cs="Courier New" w:eastAsia="Courier New" w:hAnsi="Courier New"/>
                <w:sz w:val="15"/>
                <w:szCs w:val="15"/>
                <w:color w:val="auto"/>
              </w:rPr>
              <w:t>Class A common stock, $1 par value - authorized,</w:t>
            </w:r>
            <w:r>
              <w:rPr>
                <w:rFonts w:ascii="Courier New" w:cs="Courier New" w:eastAsia="Courier New" w:hAnsi="Courier New"/>
                <w:sz w:val="20"/>
                <w:szCs w:val="20"/>
                <w:color w:val="auto"/>
                <w:vertAlign w:val="subscript"/>
              </w:rPr>
              <w:t>...................</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27.2</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31.7</w:t>
            </w:r>
          </w:p>
        </w:tc>
        <w:tc>
          <w:tcPr>
            <w:tcW w:w="0" w:type="dxa"/>
            <w:vAlign w:val="bottom"/>
          </w:tcPr>
          <w:p>
            <w:pPr>
              <w:spacing w:after="0"/>
              <w:rPr>
                <w:sz w:val="1"/>
                <w:szCs w:val="1"/>
                <w:color w:val="auto"/>
              </w:rPr>
            </w:pPr>
          </w:p>
        </w:tc>
      </w:tr>
      <w:tr>
        <w:trPr>
          <w:trHeight w:val="172"/>
        </w:trPr>
        <w:tc>
          <w:tcPr>
            <w:tcW w:w="69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200,000,000 shares; issued, 27,193,380 and 31,690,063</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line="172" w:lineRule="exact"/>
              <w:rPr>
                <w:sz w:val="20"/>
                <w:szCs w:val="20"/>
                <w:color w:val="auto"/>
              </w:rPr>
            </w:pPr>
            <w:r>
              <w:rPr>
                <w:rFonts w:ascii="Courier New" w:cs="Courier New" w:eastAsia="Courier New" w:hAnsi="Courier New"/>
                <w:sz w:val="12"/>
                <w:szCs w:val="12"/>
                <w:color w:val="auto"/>
              </w:rPr>
              <w:t>Class B common stock, $1 par value - authorized,</w:t>
            </w:r>
            <w:r>
              <w:rPr>
                <w:rFonts w:ascii="Courier New" w:cs="Courier New" w:eastAsia="Courier New" w:hAnsi="Courier New"/>
                <w:sz w:val="20"/>
                <w:szCs w:val="20"/>
                <w:color w:val="auto"/>
                <w:vertAlign w:val="subscript"/>
              </w:rPr>
              <w:t>....................................</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9.4</w:t>
            </w:r>
          </w:p>
        </w:tc>
        <w:tc>
          <w:tcPr>
            <w:tcW w:w="17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72"/>
        </w:trPr>
        <w:tc>
          <w:tcPr>
            <w:tcW w:w="69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50,000,000 shares; issued, 9,444,375</w:t>
            </w:r>
          </w:p>
        </w:tc>
        <w:tc>
          <w:tcPr>
            <w:tcW w:w="18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Additional capital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3,448.2</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2,941.7</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Accumulated deficit ........................................................</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(371.9)</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(1,488.2)</w:t>
            </w:r>
          </w:p>
        </w:tc>
        <w:tc>
          <w:tcPr>
            <w:tcW w:w="0" w:type="dxa"/>
            <w:vAlign w:val="bottom"/>
          </w:tcPr>
          <w:p>
            <w:pPr>
              <w:spacing w:after="0"/>
              <w:rPr>
                <w:sz w:val="1"/>
                <w:szCs w:val="1"/>
                <w:color w:val="auto"/>
              </w:rPr>
            </w:pPr>
          </w:p>
        </w:tc>
      </w:tr>
      <w:tr>
        <w:trPr>
          <w:trHeight w:val="172"/>
        </w:trPr>
        <w:tc>
          <w:tcPr>
            <w:tcW w:w="6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Accumulated other comprehensive income .....................................</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3,245.6</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1,049.7</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Total stockholders' equity ...........................................</w:t>
            </w: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3"/>
              </w:rPr>
              <w:t>-----------</w:t>
            </w:r>
            <w:r>
              <w:rPr>
                <w:rFonts w:ascii="Courier New" w:cs="Courier New" w:eastAsia="Courier New" w:hAnsi="Courier New"/>
                <w:sz w:val="29"/>
                <w:szCs w:val="29"/>
                <w:color w:val="auto"/>
                <w:w w:val="83"/>
                <w:vertAlign w:val="subscript"/>
              </w:rPr>
              <w:t>7,635.9</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3,815.3</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73"/>
              </w:rPr>
              <w:t>-----------</w:t>
            </w:r>
            <w:r>
              <w:rPr>
                <w:rFonts w:ascii="Courier New" w:cs="Courier New" w:eastAsia="Courier New" w:hAnsi="Courier New"/>
                <w:sz w:val="29"/>
                <w:szCs w:val="29"/>
                <w:color w:val="auto"/>
                <w:w w:val="73"/>
                <w:vertAlign w:val="subscript"/>
              </w:rPr>
              <w:t>$22,264.9</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$14,710.5</w:t>
            </w:r>
          </w:p>
        </w:tc>
        <w:tc>
          <w:tcPr>
            <w:tcW w:w="0" w:type="dxa"/>
            <w:vAlign w:val="bottom"/>
          </w:tcPr>
          <w:p>
            <w:pPr>
              <w:spacing w:after="0"/>
              <w:rPr>
                <w:sz w:val="1"/>
                <w:szCs w:val="1"/>
                <w:color w:val="auto"/>
              </w:rPr>
            </w:pPr>
          </w:p>
        </w:tc>
      </w:tr>
      <w:tr>
        <w:trPr>
          <w:trHeight w:val="252"/>
        </w:trPr>
        <w:tc>
          <w:tcPr>
            <w:tcW w:w="70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40"/>
          </w:cols>
          <w:pgMar w:left="240" w:top="435" w:right="1119" w:bottom="1440" w:gutter="0" w:footer="0" w:header="0"/>
        </w:sectPr>
      </w:pPr>
    </w:p>
    <w:bookmarkStart w:id="3" w:name="page4"/>
    <w:bookmarkEnd w:id="3"/>
    <w:p>
      <w:pPr>
        <w:jc w:val="center"/>
        <w:ind w:right="438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CONDENSED CONSOLIDATED STATEMENT OF OPERATIONS AND ACCUMULATED 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4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6340" w:type="dxa"/>
            <w:vAlign w:val="bottom"/>
          </w:tcPr>
          <w:p>
            <w:pPr>
              <w:spacing w:after="0"/>
              <w:rPr>
                <w:sz w:val="24"/>
                <w:szCs w:val="24"/>
                <w:color w:val="auto"/>
              </w:rPr>
            </w:pPr>
          </w:p>
        </w:tc>
        <w:tc>
          <w:tcPr>
            <w:tcW w:w="518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(Amounts in millions, except per share data)</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Nine Months Ended</w:t>
            </w:r>
          </w:p>
        </w:tc>
        <w:tc>
          <w:tcPr>
            <w:tcW w:w="25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26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September 30,</w:t>
            </w:r>
          </w:p>
        </w:tc>
        <w:tc>
          <w:tcPr>
            <w:tcW w:w="25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634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$2,418.4</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$2,049.8</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$848.0</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$664.3</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income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sales from electronic retailing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1,959.2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677.1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573.9</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4,377.6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3,698.3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1,525.1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1,238.2</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COSTS AND EXPENSES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1,201.6</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1,048.4</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412.1</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307.4</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goods sold from electronic retailing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1,181.1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997.6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345.2</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237.3</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212.3</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402.7</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148.6</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117.1</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123.2</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3,890.2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3,332.0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1,373.9</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1,105.2</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OPERATING INCOME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487.4</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366.3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133.0</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392.8</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354.9</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138.1</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117.7</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(229.1)</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(1,022.9)</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net (income) losses of affiliates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108.6</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from equity offering of affiliate ..........................</w:t>
            </w:r>
          </w:p>
        </w:tc>
        <w:tc>
          <w:tcPr>
            <w:tcW w:w="13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(1,433.6)</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(157.8)</w:t>
            </w:r>
          </w:p>
        </w:tc>
        <w:tc>
          <w:tcPr>
            <w:tcW w:w="13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(98.1)</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income ....................................................</w:t>
            </w:r>
          </w:p>
        </w:tc>
        <w:tc>
          <w:tcPr>
            <w:tcW w:w="1300" w:type="dxa"/>
            <w:vAlign w:val="bottom"/>
            <w:vMerge w:val="continue"/>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w:t>
            </w:r>
          </w:p>
        </w:tc>
        <w:tc>
          <w:tcPr>
            <w:tcW w:w="1340" w:type="dxa"/>
            <w:vAlign w:val="bottom"/>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vMerge w:val="restart"/>
          </w:tcPr>
          <w:p>
            <w:pPr>
              <w:jc w:val="right"/>
              <w:ind w:right="67"/>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(1,270.8)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(898.6)</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1,758.2</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852.9</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119.4</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1,031.6</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 EXPENSE, MINORITY INTEREST AND EXTRAORDINARY ITEMS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TAX EXPENSE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827.9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322.6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313.2</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930.3</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530.3</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15.2</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718.4</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 AND EXTRAORDINARY ITEMS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MINORITY INTEREST INCOME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(18.2)</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948.5</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574.7</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20.6</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723.6</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(GAIN) LOSS FROM DISCONTINUED OPERATIONS, net of income tax expense</w:t>
            </w:r>
          </w:p>
        </w:tc>
        <w:tc>
          <w:tcPr>
            <w:tcW w:w="13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(335.8)</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21.4</w:t>
            </w:r>
          </w:p>
        </w:tc>
        <w:tc>
          <w:tcPr>
            <w:tcW w:w="13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(355.9)</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(benefit) of $147.7, ($13.2), $159.6 and ($4.2)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INCOME BEFORE EXTRAORDINARY ITEMS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1,284.3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376.5</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717.0</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EXTRAORDINARY ITEMS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NET INCOME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1,239.9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714.0</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PREFERRED DIVIDENDS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(21.7)</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NET INCOME FOR COMMON STOCKHOLDERS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$1,217.5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$327.8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$706.6</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ACCUMULATED DEFICIT</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($1,488.2)</w:t>
            </w:r>
          </w:p>
        </w:tc>
        <w:tc>
          <w:tcPr>
            <w:tcW w:w="13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($2,415.9)</w:t>
            </w:r>
          </w:p>
        </w:tc>
        <w:tc>
          <w:tcPr>
            <w:tcW w:w="13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($592.8)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($2,596.7)</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Beginning of period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1,239.9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714.0</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dividends - $.035 and $.012 per share in 1998 ............</w:t>
            </w:r>
          </w:p>
        </w:tc>
        <w:tc>
          <w:tcPr>
            <w:tcW w:w="13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(123.6)</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w:t>
            </w:r>
          </w:p>
        </w:tc>
        <w:tc>
          <w:tcPr>
            <w:tcW w:w="13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(114.2)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Retirement of common stock ......................................</w:t>
            </w:r>
          </w:p>
        </w:tc>
        <w:tc>
          <w:tcPr>
            <w:tcW w:w="1300" w:type="dxa"/>
            <w:vAlign w:val="bottom"/>
            <w:vMerge w:val="continue"/>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1340" w:type="dxa"/>
            <w:vAlign w:val="bottom"/>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End of period ...................................................</w:t>
            </w:r>
          </w:p>
        </w:tc>
        <w:tc>
          <w:tcPr>
            <w:tcW w:w="1300" w:type="dxa"/>
            <w:vAlign w:val="bottom"/>
            <w:vMerge w:val="restart"/>
          </w:tcPr>
          <w:p>
            <w:pPr>
              <w:jc w:val="right"/>
              <w:ind w:right="6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($371.9)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($1,898.7)</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($371.9)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($1,898.7)</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FOR COMMON STOCKHOLDERS PER COMMON SHARE</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from continuing operations before extraordinary items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income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$1.63</w:t>
            </w:r>
          </w:p>
        </w:tc>
        <w:tc>
          <w:tcPr>
            <w:tcW w:w="134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BASIC WEIGHTED AVERAGE NUMBER OF COMMON SHARES OUTSTANDING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747.0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755.2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738.6</w:t>
            </w:r>
          </w:p>
        </w:tc>
        <w:tc>
          <w:tcPr>
            <w:tcW w:w="0" w:type="dxa"/>
            <w:vAlign w:val="bottom"/>
          </w:tcPr>
          <w:p>
            <w:pPr>
              <w:spacing w:after="0"/>
              <w:rPr>
                <w:sz w:val="1"/>
                <w:szCs w:val="1"/>
                <w:color w:val="auto"/>
              </w:rPr>
            </w:pPr>
          </w:p>
        </w:tc>
      </w:tr>
      <w:tr>
        <w:trPr>
          <w:trHeight w:val="252"/>
        </w:trPr>
        <w:tc>
          <w:tcPr>
            <w:tcW w:w="634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FOR COMMON STOCKHOLDERS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4385"/>
              <w:spacing w:after="0"/>
              <w:rPr>
                <w:sz w:val="20"/>
                <w:szCs w:val="20"/>
                <w:color w:val="auto"/>
              </w:rPr>
            </w:pPr>
            <w:r>
              <w:rPr>
                <w:rFonts w:ascii="Courier New" w:cs="Courier New" w:eastAsia="Courier New" w:hAnsi="Courier New"/>
                <w:sz w:val="15"/>
                <w:szCs w:val="15"/>
                <w:color w:val="auto"/>
              </w:rPr>
              <w:t>PER COMMON SHARE</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$.72</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from continuing operations before extraordinary items ....</w:t>
            </w:r>
          </w:p>
        </w:tc>
        <w:tc>
          <w:tcPr>
            <w:tcW w:w="13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6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 .............................................</w:t>
            </w:r>
          </w:p>
        </w:tc>
        <w:tc>
          <w:tcPr>
            <w:tcW w:w="13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w:t>
            </w:r>
          </w:p>
        </w:tc>
        <w:tc>
          <w:tcPr>
            <w:tcW w:w="13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w:t>
            </w: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income ...................................................</w:t>
            </w:r>
          </w:p>
        </w:tc>
        <w:tc>
          <w:tcPr>
            <w:tcW w:w="1300" w:type="dxa"/>
            <w:vAlign w:val="bottom"/>
            <w:vMerge w:val="restart"/>
          </w:tcPr>
          <w:p>
            <w:pPr>
              <w:jc w:val="right"/>
              <w:ind w:right="14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$1.52</w:t>
            </w:r>
          </w:p>
        </w:tc>
        <w:tc>
          <w:tcPr>
            <w:tcW w:w="134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72"/>
        </w:trPr>
        <w:tc>
          <w:tcPr>
            <w:tcW w:w="6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DILUTED WEIGHTED AVERAGE NUMBER OF COMMON SHARES OUTSTANDING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815.4</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804.2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823.9</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808.6</w:t>
            </w:r>
          </w:p>
        </w:tc>
        <w:tc>
          <w:tcPr>
            <w:tcW w:w="0" w:type="dxa"/>
            <w:vAlign w:val="bottom"/>
          </w:tcPr>
          <w:p>
            <w:pPr>
              <w:spacing w:after="0"/>
              <w:rPr>
                <w:sz w:val="1"/>
                <w:szCs w:val="1"/>
                <w:color w:val="auto"/>
              </w:rPr>
            </w:pPr>
          </w:p>
        </w:tc>
      </w:tr>
      <w:tr>
        <w:trPr>
          <w:trHeight w:val="252"/>
        </w:trPr>
        <w:tc>
          <w:tcPr>
            <w:tcW w:w="6340" w:type="dxa"/>
            <w:vAlign w:val="bottom"/>
          </w:tcPr>
          <w:p>
            <w:pPr>
              <w:spacing w:after="0"/>
              <w:rPr>
                <w:sz w:val="21"/>
                <w:szCs w:val="21"/>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35" w:right="139" w:bottom="188" w:gutter="0" w:footer="0" w:header="0"/>
        </w:sectPr>
      </w:pPr>
    </w:p>
    <w:bookmarkStart w:id="4" w:name="page5"/>
    <w:bookmarkEnd w:id="4"/>
    <w:p>
      <w:pPr>
        <w:jc w:val="center"/>
        <w:ind w:right="358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CONDENSED CONSOLIDATED STATEMENT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900" w:type="dxa"/>
            <w:vAlign w:val="bottom"/>
          </w:tcPr>
          <w:p>
            <w:pPr>
              <w:jc w:val="right"/>
              <w:ind w:right="3725"/>
              <w:spacing w:after="0"/>
              <w:rPr>
                <w:sz w:val="20"/>
                <w:szCs w:val="20"/>
                <w:color w:val="auto"/>
              </w:rPr>
            </w:pPr>
            <w:r>
              <w:rPr>
                <w:rFonts w:ascii="Courier New" w:cs="Courier New" w:eastAsia="Courier New" w:hAnsi="Courier New"/>
                <w:sz w:val="15"/>
                <w:szCs w:val="15"/>
                <w:color w:val="auto"/>
              </w:rPr>
              <w:t>(Unaudited)</w:t>
            </w: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7900" w:type="dxa"/>
            <w:vAlign w:val="bottom"/>
          </w:tcPr>
          <w:p>
            <w:pPr>
              <w:spacing w:after="0"/>
              <w:rPr>
                <w:sz w:val="24"/>
                <w:szCs w:val="24"/>
                <w:color w:val="auto"/>
              </w:rPr>
            </w:pPr>
          </w:p>
        </w:tc>
        <w:tc>
          <w:tcPr>
            <w:tcW w:w="28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(Dollars in millions)</w:t>
            </w:r>
          </w:p>
        </w:tc>
        <w:tc>
          <w:tcPr>
            <w:tcW w:w="0" w:type="dxa"/>
            <w:vAlign w:val="bottom"/>
          </w:tcPr>
          <w:p>
            <w:pPr>
              <w:spacing w:after="0"/>
              <w:rPr>
                <w:sz w:val="1"/>
                <w:szCs w:val="1"/>
                <w:color w:val="auto"/>
              </w:rPr>
            </w:pPr>
          </w:p>
        </w:tc>
      </w:tr>
      <w:tr>
        <w:trPr>
          <w:trHeight w:val="172"/>
        </w:trPr>
        <w:tc>
          <w:tcPr>
            <w:tcW w:w="79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72"/>
        </w:trPr>
        <w:tc>
          <w:tcPr>
            <w:tcW w:w="790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7900" w:type="dxa"/>
            <w:vAlign w:val="bottom"/>
          </w:tcPr>
          <w:p>
            <w:pPr>
              <w:spacing w:after="0"/>
              <w:rPr>
                <w:sz w:val="21"/>
                <w:szCs w:val="21"/>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$1,239.9</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$550.3</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Net income ..........................................................................</w:t>
            </w: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ind w:right="2565"/>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ind w:right="2825"/>
              <w:spacing w:after="0"/>
              <w:rPr>
                <w:sz w:val="20"/>
                <w:szCs w:val="20"/>
                <w:color w:val="auto"/>
              </w:rPr>
            </w:pPr>
            <w:r>
              <w:rPr>
                <w:rFonts w:ascii="Courier New" w:cs="Courier New" w:eastAsia="Courier New" w:hAnsi="Courier New"/>
                <w:sz w:val="15"/>
                <w:szCs w:val="15"/>
                <w:color w:val="auto"/>
              </w:rPr>
              <w:t>by operating activities from continuing operations:</w:t>
            </w: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402.7</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344.8</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Depreciation .....................................................................</w:t>
            </w: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Amortization .....................................................................</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456.2</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364.1</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Non-cash interest (income) expense, net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Equity in net (income) losses of affiliates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345.4</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Gain from equity offering of affiliate ...........................................</w:t>
            </w:r>
          </w:p>
        </w:tc>
        <w:tc>
          <w:tcPr>
            <w:tcW w:w="14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(136.0)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(157.8)</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Non-cash investment income, net ..................................................</w:t>
            </w:r>
          </w:p>
        </w:tc>
        <w:tc>
          <w:tcPr>
            <w:tcW w:w="1480" w:type="dxa"/>
            <w:vAlign w:val="bottom"/>
            <w:vMerge w:val="continue"/>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(976.6)</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 income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Discontinued operations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(335.8)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items ..............................................................</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 and other ..................................................</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214.9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205.8</w:t>
            </w:r>
          </w:p>
        </w:tc>
        <w:tc>
          <w:tcPr>
            <w:tcW w:w="0" w:type="dxa"/>
            <w:vAlign w:val="bottom"/>
          </w:tcPr>
          <w:p>
            <w:pPr>
              <w:spacing w:after="0"/>
              <w:rPr>
                <w:sz w:val="1"/>
                <w:szCs w:val="1"/>
                <w:color w:val="auto"/>
              </w:rPr>
            </w:pPr>
          </w:p>
        </w:tc>
      </w:tr>
      <w:tr>
        <w:trPr>
          <w:trHeight w:val="172"/>
        </w:trPr>
        <w:tc>
          <w:tcPr>
            <w:tcW w:w="7900" w:type="dxa"/>
            <w:vAlign w:val="bottom"/>
          </w:tcPr>
          <w:p>
            <w:pPr>
              <w:spacing w:after="0"/>
              <w:rPr>
                <w:sz w:val="14"/>
                <w:szCs w:val="14"/>
                <w:color w:val="auto"/>
              </w:rPr>
            </w:pP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1,852.9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Changes in working capital .......................................................</w:t>
            </w:r>
          </w:p>
        </w:tc>
        <w:tc>
          <w:tcPr>
            <w:tcW w:w="1480" w:type="dxa"/>
            <w:vAlign w:val="bottom"/>
            <w:vMerge w:val="continue"/>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686.4</w:t>
            </w:r>
          </w:p>
        </w:tc>
        <w:tc>
          <w:tcPr>
            <w:tcW w:w="0" w:type="dxa"/>
            <w:vAlign w:val="bottom"/>
          </w:tcPr>
          <w:p>
            <w:pPr>
              <w:spacing w:after="0"/>
              <w:rPr>
                <w:sz w:val="1"/>
                <w:szCs w:val="1"/>
                <w:color w:val="auto"/>
              </w:rPr>
            </w:pPr>
          </w:p>
        </w:tc>
      </w:tr>
      <w:tr>
        <w:trPr>
          <w:trHeight w:val="172"/>
        </w:trPr>
        <w:tc>
          <w:tcPr>
            <w:tcW w:w="7900" w:type="dxa"/>
            <w:vAlign w:val="bottom"/>
            <w:vMerge w:val="continue"/>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534.9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w:t>
            </w:r>
          </w:p>
        </w:tc>
        <w:tc>
          <w:tcPr>
            <w:tcW w:w="0" w:type="dxa"/>
            <w:vAlign w:val="bottom"/>
          </w:tcPr>
          <w:p>
            <w:pPr>
              <w:spacing w:after="0"/>
              <w:rPr>
                <w:sz w:val="1"/>
                <w:szCs w:val="1"/>
                <w:color w:val="auto"/>
              </w:rPr>
            </w:pPr>
          </w:p>
        </w:tc>
      </w:tr>
      <w:tr>
        <w:trPr>
          <w:trHeight w:val="172"/>
        </w:trPr>
        <w:tc>
          <w:tcPr>
            <w:tcW w:w="7900" w:type="dxa"/>
            <w:vAlign w:val="bottom"/>
            <w:vMerge w:val="restart"/>
          </w:tcPr>
          <w:p>
            <w:pPr>
              <w:ind w:left="1340"/>
              <w:spacing w:after="0"/>
              <w:rPr>
                <w:sz w:val="20"/>
                <w:szCs w:val="20"/>
                <w:color w:val="auto"/>
              </w:rPr>
            </w:pPr>
            <w:r>
              <w:rPr>
                <w:rFonts w:ascii="Courier New" w:cs="Courier New" w:eastAsia="Courier New" w:hAnsi="Courier New"/>
                <w:sz w:val="15"/>
                <w:szCs w:val="15"/>
                <w:color w:val="auto"/>
              </w:rPr>
              <w:t>Net cash provided by operating activities from continuing operations</w:t>
            </w: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2,387.8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900" w:type="dxa"/>
            <w:vAlign w:val="bottom"/>
            <w:vMerge w:val="continue"/>
          </w:tcPr>
          <w:p>
            <w:pPr>
              <w:jc w:val="right"/>
              <w:spacing w:after="0" w:line="152" w:lineRule="exact"/>
              <w:rPr>
                <w:sz w:val="20"/>
                <w:szCs w:val="20"/>
                <w:color w:val="auto"/>
              </w:rPr>
            </w:pPr>
            <w:r>
              <w:rPr>
                <w:rFonts w:ascii="Courier New" w:cs="Courier New" w:eastAsia="Courier New" w:hAnsi="Courier New"/>
                <w:sz w:val="15"/>
                <w:szCs w:val="15"/>
                <w:color w:val="auto"/>
              </w:rPr>
              <w:t>....</w:t>
            </w:r>
          </w:p>
        </w:tc>
        <w:tc>
          <w:tcPr>
            <w:tcW w:w="1480" w:type="dxa"/>
            <w:vAlign w:val="bottom"/>
            <w:vMerge w:val="continue"/>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776.6</w:t>
            </w:r>
          </w:p>
        </w:tc>
        <w:tc>
          <w:tcPr>
            <w:tcW w:w="0" w:type="dxa"/>
            <w:vAlign w:val="bottom"/>
          </w:tcPr>
          <w:p>
            <w:pPr>
              <w:spacing w:after="0"/>
              <w:rPr>
                <w:sz w:val="1"/>
                <w:szCs w:val="1"/>
                <w:color w:val="auto"/>
              </w:rPr>
            </w:pPr>
          </w:p>
        </w:tc>
      </w:tr>
      <w:tr>
        <w:trPr>
          <w:trHeight w:val="252"/>
        </w:trPr>
        <w:tc>
          <w:tcPr>
            <w:tcW w:w="790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 ACTIVITIES</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900" w:type="dxa"/>
            <w:vAlign w:val="bottom"/>
            <w:vMerge w:val="continue"/>
          </w:tcPr>
          <w:p>
            <w:pPr>
              <w:spacing w:after="0"/>
              <w:rPr>
                <w:sz w:val="7"/>
                <w:szCs w:val="7"/>
                <w:color w:val="auto"/>
              </w:rPr>
            </w:pP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935.0</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1,023.3</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borrowings ............................................................</w:t>
            </w: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Retirement and repayment of debt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(1,108.8)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(897.2)</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(Repurchases) issuances of common stock, net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Issuances of common equity put options ..............................................</w:t>
            </w:r>
          </w:p>
        </w:tc>
        <w:tc>
          <w:tcPr>
            <w:tcW w:w="14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(9.4)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Dividends ...........................................................................</w:t>
            </w:r>
          </w:p>
        </w:tc>
        <w:tc>
          <w:tcPr>
            <w:tcW w:w="1480" w:type="dxa"/>
            <w:vAlign w:val="bottom"/>
            <w:vMerge w:val="continue"/>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Deferred financing costs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Other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252"/>
        </w:trPr>
        <w:tc>
          <w:tcPr>
            <w:tcW w:w="7900" w:type="dxa"/>
            <w:vAlign w:val="bottom"/>
            <w:vMerge w:val="restart"/>
          </w:tcPr>
          <w:p>
            <w:pPr>
              <w:ind w:left="1340"/>
              <w:spacing w:after="0"/>
              <w:rPr>
                <w:sz w:val="20"/>
                <w:szCs w:val="20"/>
                <w:color w:val="auto"/>
              </w:rPr>
            </w:pPr>
            <w:r>
              <w:rPr>
                <w:rFonts w:ascii="Courier New" w:cs="Courier New" w:eastAsia="Courier New" w:hAnsi="Courier New"/>
                <w:sz w:val="15"/>
                <w:szCs w:val="15"/>
                <w:color w:val="auto"/>
              </w:rPr>
              <w:t>Net cash (used in) provided by financing activities from</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900" w:type="dxa"/>
            <w:vAlign w:val="bottom"/>
            <w:vMerge w:val="continue"/>
          </w:tcPr>
          <w:p>
            <w:pPr>
              <w:spacing w:after="0"/>
              <w:rPr>
                <w:sz w:val="7"/>
                <w:szCs w:val="7"/>
                <w:color w:val="auto"/>
              </w:rPr>
            </w:pPr>
          </w:p>
        </w:tc>
        <w:tc>
          <w:tcPr>
            <w:tcW w:w="14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(216.2)</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124.5</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900" w:type="dxa"/>
            <w:vAlign w:val="bottom"/>
            <w:vMerge w:val="restart"/>
          </w:tcPr>
          <w:p>
            <w:pPr>
              <w:spacing w:after="0"/>
              <w:rPr>
                <w:sz w:val="20"/>
                <w:szCs w:val="20"/>
                <w:color w:val="auto"/>
              </w:rPr>
            </w:pPr>
            <w:r>
              <w:rPr>
                <w:rFonts w:ascii="Courier New" w:cs="Courier New" w:eastAsia="Courier New" w:hAnsi="Courier New"/>
                <w:sz w:val="15"/>
                <w:szCs w:val="15"/>
                <w:color w:val="auto"/>
              </w:rPr>
              <w:t>INVESTING ACTIVITIES</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900" w:type="dxa"/>
            <w:vAlign w:val="bottom"/>
            <w:vMerge w:val="continue"/>
          </w:tcPr>
          <w:p>
            <w:pPr>
              <w:spacing w:after="0"/>
              <w:rPr>
                <w:sz w:val="7"/>
                <w:szCs w:val="7"/>
                <w:color w:val="auto"/>
              </w:rPr>
            </w:pPr>
          </w:p>
        </w:tc>
        <w:tc>
          <w:tcPr>
            <w:tcW w:w="14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(755.2)</w:t>
            </w:r>
          </w:p>
        </w:tc>
        <w:tc>
          <w:tcPr>
            <w:tcW w:w="13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(269.4)</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Acquisitions, net of cash acquired ..................................................</w:t>
            </w: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(Purchases of) proceeds from sales of short-term investments, net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(206.2)</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125.2</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Investments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(272.2)</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(137.6)</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Increase in notes receivable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(733.5)</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discontinued operations .......................................</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361.1</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sales of and distributions from investments ...........................</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146.7</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investee's repayment of loan ..........................................</w:t>
            </w:r>
          </w:p>
        </w:tc>
        <w:tc>
          <w:tcPr>
            <w:tcW w:w="14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sales of call options .................................................</w:t>
            </w:r>
          </w:p>
        </w:tc>
        <w:tc>
          <w:tcPr>
            <w:tcW w:w="14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(545.3)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 ................................................................</w:t>
            </w:r>
          </w:p>
        </w:tc>
        <w:tc>
          <w:tcPr>
            <w:tcW w:w="1480" w:type="dxa"/>
            <w:vAlign w:val="bottom"/>
            <w:vMerge w:val="continue"/>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(643.1)</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Additions to deferred charges .......................................................</w:t>
            </w:r>
          </w:p>
        </w:tc>
        <w:tc>
          <w:tcPr>
            <w:tcW w:w="14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Other ...............................................................................</w:t>
            </w:r>
          </w:p>
        </w:tc>
        <w:tc>
          <w:tcPr>
            <w:tcW w:w="148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72"/>
        </w:trPr>
        <w:tc>
          <w:tcPr>
            <w:tcW w:w="7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cash used in investing activities from continuing operations ........</w:t>
            </w:r>
          </w:p>
        </w:tc>
        <w:tc>
          <w:tcPr>
            <w:tcW w:w="1480" w:type="dxa"/>
            <w:vAlign w:val="bottom"/>
            <w:vMerge w:val="restart"/>
          </w:tcPr>
          <w:p>
            <w:pPr>
              <w:jc w:val="right"/>
              <w:ind w:right="186"/>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(2,160.4)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9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(889.4)</w:t>
            </w:r>
          </w:p>
        </w:tc>
        <w:tc>
          <w:tcPr>
            <w:tcW w:w="0" w:type="dxa"/>
            <w:vAlign w:val="bottom"/>
          </w:tcPr>
          <w:p>
            <w:pPr>
              <w:spacing w:after="0"/>
              <w:rPr>
                <w:sz w:val="1"/>
                <w:szCs w:val="1"/>
                <w:color w:val="auto"/>
              </w:rPr>
            </w:pPr>
          </w:p>
        </w:tc>
      </w:tr>
      <w:tr>
        <w:trPr>
          <w:trHeight w:val="252"/>
        </w:trPr>
        <w:tc>
          <w:tcPr>
            <w:tcW w:w="790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IN CASH AND CASH</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7900" w:type="dxa"/>
            <w:vAlign w:val="bottom"/>
            <w:vMerge w:val="continue"/>
          </w:tcPr>
          <w:p>
            <w:pPr>
              <w:spacing w:after="0"/>
              <w:rPr>
                <w:sz w:val="7"/>
                <w:szCs w:val="7"/>
                <w:color w:val="auto"/>
              </w:rPr>
            </w:pP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11.2</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rPr>
              <w:t>EQUIVALENTS - CONTINUING OPERATIONS ..................................................</w:t>
            </w: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CASH EQUIVALENTS, beginning of period .........................................</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870.7</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409.1</w:t>
            </w:r>
          </w:p>
        </w:tc>
        <w:tc>
          <w:tcPr>
            <w:tcW w:w="0" w:type="dxa"/>
            <w:vAlign w:val="bottom"/>
          </w:tcPr>
          <w:p>
            <w:pPr>
              <w:spacing w:after="0"/>
              <w:rPr>
                <w:sz w:val="1"/>
                <w:szCs w:val="1"/>
                <w:color w:val="auto"/>
              </w:rPr>
            </w:pPr>
          </w:p>
        </w:tc>
      </w:tr>
      <w:tr>
        <w:trPr>
          <w:trHeight w:val="172"/>
        </w:trPr>
        <w:tc>
          <w:tcPr>
            <w:tcW w:w="7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CASH AND CASH EQUIVALENTS, end of period ...............................................</w:t>
            </w:r>
          </w:p>
        </w:tc>
        <w:tc>
          <w:tcPr>
            <w:tcW w:w="1480" w:type="dxa"/>
            <w:vAlign w:val="bottom"/>
            <w:vMerge w:val="restart"/>
          </w:tcPr>
          <w:p>
            <w:pPr>
              <w:jc w:val="right"/>
              <w:ind w:right="286"/>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7"/>
                <w:szCs w:val="27"/>
                <w:color w:val="auto"/>
                <w:w w:val="73"/>
                <w:vertAlign w:val="subscript"/>
              </w:rPr>
              <w:t>$881.9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9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$420.8</w:t>
            </w:r>
          </w:p>
        </w:tc>
        <w:tc>
          <w:tcPr>
            <w:tcW w:w="0" w:type="dxa"/>
            <w:vAlign w:val="bottom"/>
          </w:tcPr>
          <w:p>
            <w:pPr>
              <w:spacing w:after="0"/>
              <w:rPr>
                <w:sz w:val="1"/>
                <w:szCs w:val="1"/>
                <w:color w:val="auto"/>
              </w:rPr>
            </w:pPr>
          </w:p>
        </w:tc>
      </w:tr>
      <w:tr>
        <w:trPr>
          <w:trHeight w:val="252"/>
        </w:trPr>
        <w:tc>
          <w:tcPr>
            <w:tcW w:w="7900" w:type="dxa"/>
            <w:vAlign w:val="bottom"/>
          </w:tcPr>
          <w:p>
            <w:pPr>
              <w:spacing w:after="0"/>
              <w:rPr>
                <w:sz w:val="21"/>
                <w:szCs w:val="21"/>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20"/>
          </w:cols>
          <w:pgMar w:left="240" w:top="435" w:right="939" w:bottom="1440" w:gutter="0" w:footer="0" w:header="0"/>
        </w:sectPr>
      </w:pPr>
    </w:p>
    <w:bookmarkStart w:id="5" w:name="page6"/>
    <w:bookmarkEnd w:id="5"/>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30" w:lineRule="exact"/>
        <w:rPr>
          <w:rFonts w:ascii="Courier New" w:cs="Courier New" w:eastAsia="Courier New" w:hAnsi="Courier New"/>
          <w:sz w:val="15"/>
          <w:szCs w:val="15"/>
          <w:color w:val="auto"/>
        </w:rPr>
      </w:pPr>
    </w:p>
    <w:p>
      <w:pPr>
        <w:jc w:val="both"/>
        <w:ind w:left="448" w:right="307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condensed consolidated balance sheet as of December 31, 1998 has been condensed from the audited consolidated balance sheet as of that date. The condensed consolidated balance sheet as of September 30, 1999, the condensed consolidated statement of operations and accumulated deficit for the nine and three months ended September 30, 1999 and 1998 and the condensed consolidated statement of cash flows for the nine months ended September 30, 1999 and 1998 have been prepared by Comcast Corporation (the "Company") and have not been audited by the Company's independent auditors. In the opinion of management, all adjustments necessary to present fairly the financial position, results of operations and cash flows as of September 30, 1999 and for all periods presented have been made.</w:t>
      </w:r>
    </w:p>
    <w:p>
      <w:pPr>
        <w:spacing w:after="0" w:line="73" w:lineRule="exact"/>
        <w:rPr>
          <w:rFonts w:ascii="Courier New" w:cs="Courier New" w:eastAsia="Courier New" w:hAnsi="Courier New"/>
          <w:sz w:val="15"/>
          <w:szCs w:val="15"/>
          <w:color w:val="auto"/>
        </w:rPr>
      </w:pPr>
    </w:p>
    <w:p>
      <w:pPr>
        <w:jc w:val="both"/>
        <w:ind w:left="448" w:right="307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1998 Annual Report on Form 10-K filed with the Securities and Exchange Commission (the "SEC"). The results of operations for the periods ended September 30, 1999 are not necessarily indicative of operating results for the full year.</w:t>
      </w:r>
    </w:p>
    <w:p>
      <w:pPr>
        <w:spacing w:after="0" w:line="82" w:lineRule="exact"/>
        <w:rPr>
          <w:rFonts w:ascii="Courier New" w:cs="Courier New" w:eastAsia="Courier New" w:hAnsi="Courier New"/>
          <w:sz w:val="15"/>
          <w:szCs w:val="15"/>
          <w:color w:val="auto"/>
        </w:rPr>
      </w:pPr>
    </w:p>
    <w:p>
      <w:pPr>
        <w:jc w:val="both"/>
        <w:ind w:left="44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of Comcast Cellular Corporation ("Comcast Cellular"), an indirect wholly owned subsidiary of the Company, have been presented as a discontinued operation in accordance with Accounting Principles Board ("APB") Opinion No. 30, "Reporting the Results of Operations - Reporting the Effects of Disposal of a Segment of a Business, and Extraordinary, Unusual and Infrequently Occurring Events and Transactions" (see Note 3).</w:t>
      </w:r>
    </w:p>
    <w:p>
      <w:pPr>
        <w:spacing w:after="0" w:line="77"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30" w:lineRule="exact"/>
        <w:rPr>
          <w:rFonts w:ascii="Courier New" w:cs="Courier New" w:eastAsia="Courier New" w:hAnsi="Courier New"/>
          <w:sz w:val="15"/>
          <w:szCs w:val="15"/>
          <w:color w:val="auto"/>
        </w:rPr>
      </w:pPr>
    </w:p>
    <w:p>
      <w:pPr>
        <w:jc w:val="both"/>
        <w:ind w:left="448" w:right="30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 1999, the Company's board of directors authorized an increase in the number of authorized shares of the Company's Class A Special Common Stock from 500 million shares to 2.5 billion shares. On that date, the Company's board of directors also authorized a two-for-one stock split in the form of a 100% stock dividend (the "Stock Split") payable on May 5, 1999 to shareholders of record on April 20, 1999, subject to shareholder approval of the increase in authorized shares (which was obtained on April 20, 1999). The dividend was paid in Class A Special Common Stock to the holders of Class A Common, Class A Special Common and Class B Common Stock. The average number of shares outstanding and related prices, per share amounts, share conversions and stock option data have been retroactively restated to reflect the Stock Split. The Company's board of directors also eliminated the quarterly cash dividend of $.012 per share on all classes of its Common Stock. The last quarterly cash dividend was paid on March 25, 1999.</w:t>
      </w:r>
    </w:p>
    <w:p>
      <w:pPr>
        <w:spacing w:after="0" w:line="90"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w:t>
      </w:r>
    </w:p>
    <w:p>
      <w:pPr>
        <w:spacing w:after="0" w:line="30" w:lineRule="exact"/>
        <w:rPr>
          <w:rFonts w:ascii="Courier New" w:cs="Courier New" w:eastAsia="Courier New" w:hAnsi="Courier New"/>
          <w:sz w:val="15"/>
          <w:szCs w:val="15"/>
          <w:color w:val="auto"/>
        </w:rPr>
      </w:pPr>
    </w:p>
    <w:p>
      <w:pPr>
        <w:jc w:val="both"/>
        <w:ind w:left="448"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(the "FASB") issued Statement of Financial Accounting Standards ("SFAS") No. 133, "Accounting for Derivative Instruments and Hedging Activities." This statement establishes the accounting and reporting standards for derivatives and hedging activity. Upon the adoption of SFAS No. 133, all derivatives are required to be recognized in the statement of financial position as either assets or liabilities and measured at fair value. In July 1999, the FASB issued SFAS No. 137, "Accounting for Derivative Instruments and Hedging Activities - Deferral of the Effective Date of FASB Statement No. 133 - an amendment of FASB Statement No. 133" deferring the effective date for implementation of SFAS No. 133 to fiscal years beginning after June 15, 2000. The Company is currently evaluating the impact the adoption of SFAS No. 133 will have on its financial position and results of operations.</w:t>
      </w:r>
    </w:p>
    <w:p>
      <w:pPr>
        <w:spacing w:after="0" w:line="8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435" w:right="1440" w:bottom="1440" w:gutter="0" w:footer="0" w:header="0"/>
        </w:sectPr>
      </w:pPr>
    </w:p>
    <w:bookmarkStart w:id="6" w:name="page7"/>
    <w:bookmarkEnd w:id="6"/>
    <w:p>
      <w:pPr>
        <w:jc w:val="center"/>
        <w:ind w:right="351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for Common Stockholders Per Common Share</w:t>
      </w:r>
    </w:p>
    <w:p>
      <w:pPr>
        <w:spacing w:after="0" w:line="30" w:lineRule="exact"/>
        <w:rPr>
          <w:sz w:val="20"/>
          <w:szCs w:val="20"/>
          <w:color w:val="auto"/>
        </w:rPr>
      </w:pPr>
    </w:p>
    <w:p>
      <w:pPr>
        <w:jc w:val="both"/>
        <w:ind w:right="3079"/>
        <w:spacing w:after="0" w:line="268" w:lineRule="auto"/>
        <w:rPr>
          <w:sz w:val="20"/>
          <w:szCs w:val="20"/>
          <w:color w:val="auto"/>
        </w:rPr>
      </w:pPr>
      <w:r>
        <w:rPr>
          <w:rFonts w:ascii="Courier New" w:cs="Courier New" w:eastAsia="Courier New" w:hAnsi="Courier New"/>
          <w:sz w:val="15"/>
          <w:szCs w:val="15"/>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73"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The following table reconciles the numerator and denominator of the computations of diluted earnings for common stockholders per common share ("Diluted EPS") for the nine and three months ended September 30, 1999 and 1998, respectively.</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452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(Amounts in millions, except per share data)</w:t>
            </w: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23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Nine Months Ended</w:t>
            </w:r>
          </w:p>
        </w:tc>
        <w:tc>
          <w:tcPr>
            <w:tcW w:w="2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232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September 30,</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4520" w:type="dxa"/>
            <w:vAlign w:val="bottom"/>
          </w:tcPr>
          <w:p>
            <w:pPr>
              <w:spacing w:after="0"/>
              <w:rPr>
                <w:sz w:val="21"/>
                <w:szCs w:val="21"/>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for common stockholders..............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$1,217.5</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$528.6</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$327.8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$706.6</w:t>
            </w:r>
          </w:p>
        </w:tc>
        <w:tc>
          <w:tcPr>
            <w:tcW w:w="0" w:type="dxa"/>
            <w:vAlign w:val="bottom"/>
          </w:tcPr>
          <w:p>
            <w:pPr>
              <w:spacing w:after="0"/>
              <w:rPr>
                <w:sz w:val="1"/>
                <w:szCs w:val="1"/>
                <w:color w:val="auto"/>
              </w:rPr>
            </w:pP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Dilutive securities effect on net income</w:t>
            </w:r>
          </w:p>
        </w:tc>
        <w:tc>
          <w:tcPr>
            <w:tcW w:w="1120" w:type="dxa"/>
            <w:vAlign w:val="bottom"/>
          </w:tcPr>
          <w:p>
            <w:pPr>
              <w:spacing w:after="0"/>
              <w:rPr>
                <w:sz w:val="14"/>
                <w:szCs w:val="14"/>
                <w:color w:val="auto"/>
              </w:rPr>
            </w:pP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for common stockholders.......................</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22.4</w:t>
            </w:r>
          </w:p>
        </w:tc>
        <w:tc>
          <w:tcPr>
            <w:tcW w:w="1200" w:type="dxa"/>
            <w:vAlign w:val="bottom"/>
            <w:vMerge w:val="continue"/>
          </w:tcPr>
          <w:p>
            <w:pPr>
              <w:spacing w:after="0"/>
              <w:rPr>
                <w:sz w:val="14"/>
                <w:szCs w:val="14"/>
                <w:color w:val="auto"/>
              </w:rPr>
            </w:pP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120" w:type="dxa"/>
            <w:vAlign w:val="bottom"/>
            <w:vMerge w:val="continue"/>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w:t>
            </w: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for common stockholders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20" w:type="dxa"/>
            <w:vAlign w:val="bottom"/>
            <w:vMerge w:val="continue"/>
          </w:tcPr>
          <w:p>
            <w:pPr>
              <w:spacing w:after="0"/>
              <w:rPr>
                <w:sz w:val="7"/>
                <w:szCs w:val="7"/>
                <w:color w:val="auto"/>
              </w:rPr>
            </w:pP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$1,239.9</w:t>
            </w: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$551.3</w:t>
            </w: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$335.1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$714.0</w:t>
            </w: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used for Diluted EPS..........................</w:t>
            </w:r>
          </w:p>
        </w:tc>
        <w:tc>
          <w:tcPr>
            <w:tcW w:w="1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Basic weighted average number of common</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20" w:type="dxa"/>
            <w:vAlign w:val="bottom"/>
            <w:vMerge w:val="continue"/>
          </w:tcPr>
          <w:p>
            <w:pPr>
              <w:spacing w:after="0"/>
              <w:rPr>
                <w:sz w:val="7"/>
                <w:szCs w:val="7"/>
                <w:color w:val="auto"/>
              </w:rPr>
            </w:pP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747.0</w:t>
            </w: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731.0</w:t>
            </w: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755.2</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738.6</w:t>
            </w: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Dilutive securities: (see Note 6)</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1 1/8% discount convertible subordinated</w:t>
            </w:r>
          </w:p>
        </w:tc>
        <w:tc>
          <w:tcPr>
            <w:tcW w:w="1120" w:type="dxa"/>
            <w:vAlign w:val="bottom"/>
          </w:tcPr>
          <w:p>
            <w:pPr>
              <w:spacing w:after="0"/>
              <w:rPr>
                <w:sz w:val="14"/>
                <w:szCs w:val="14"/>
                <w:color w:val="auto"/>
              </w:rPr>
            </w:pP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6.8</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debentures, redeemed March 1998............</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44.6</w:t>
            </w:r>
          </w:p>
        </w:tc>
        <w:tc>
          <w:tcPr>
            <w:tcW w:w="1200" w:type="dxa"/>
            <w:vAlign w:val="bottom"/>
            <w:vMerge w:val="continue"/>
          </w:tcPr>
          <w:p>
            <w:pPr>
              <w:spacing w:after="0"/>
              <w:rPr>
                <w:sz w:val="14"/>
                <w:szCs w:val="14"/>
                <w:color w:val="auto"/>
              </w:rPr>
            </w:pP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43.4</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45.2</w:t>
            </w: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Series A and B convertible preferred stock</w:t>
            </w:r>
          </w:p>
        </w:tc>
        <w:tc>
          <w:tcPr>
            <w:tcW w:w="1120" w:type="dxa"/>
            <w:vAlign w:val="bottom"/>
            <w:vMerge w:val="continue"/>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45.2</w:t>
            </w: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Stock option and restricted stock plans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0" w:type="dxa"/>
            <w:vAlign w:val="bottom"/>
          </w:tcPr>
          <w:p>
            <w:pPr>
              <w:spacing w:after="0"/>
              <w:rPr>
                <w:sz w:val="1"/>
                <w:szCs w:val="1"/>
                <w:color w:val="auto"/>
              </w:rPr>
            </w:pPr>
          </w:p>
        </w:tc>
      </w:tr>
      <w:tr>
        <w:trPr>
          <w:trHeight w:val="252"/>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weighted average number of common</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20" w:type="dxa"/>
            <w:vAlign w:val="bottom"/>
            <w:vMerge w:val="continue"/>
          </w:tcPr>
          <w:p>
            <w:pPr>
              <w:spacing w:after="0"/>
              <w:rPr>
                <w:sz w:val="7"/>
                <w:szCs w:val="7"/>
                <w:color w:val="auto"/>
              </w:rPr>
            </w:pP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815.4</w:t>
            </w: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804.2</w:t>
            </w: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823.9</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808.6</w:t>
            </w: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for common stockholders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520" w:type="dxa"/>
            <w:vAlign w:val="bottom"/>
            <w:vMerge w:val="continue"/>
          </w:tcPr>
          <w:p>
            <w:pPr>
              <w:spacing w:after="0"/>
              <w:rPr>
                <w:sz w:val="7"/>
                <w:szCs w:val="7"/>
                <w:color w:val="auto"/>
              </w:rPr>
            </w:pP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$1.52</w:t>
            </w:r>
          </w:p>
        </w:tc>
        <w:tc>
          <w:tcPr>
            <w:tcW w:w="12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$.69</w:t>
            </w: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72"/>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20" w:type="dxa"/>
            <w:vAlign w:val="bottom"/>
          </w:tcPr>
          <w:p>
            <w:pPr>
              <w:spacing w:after="0"/>
              <w:rPr>
                <w:sz w:val="21"/>
                <w:szCs w:val="21"/>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3079"/>
        <w:spacing w:after="0" w:line="262" w:lineRule="auto"/>
        <w:rPr>
          <w:sz w:val="20"/>
          <w:szCs w:val="20"/>
          <w:color w:val="auto"/>
        </w:rPr>
      </w:pPr>
      <w:r>
        <w:rPr>
          <w:rFonts w:ascii="Courier New" w:cs="Courier New" w:eastAsia="Courier New" w:hAnsi="Courier New"/>
          <w:sz w:val="15"/>
          <w:szCs w:val="15"/>
          <w:color w:val="auto"/>
        </w:rPr>
        <w:t>Put options sold by the Company on a weighted average 3.6 million shares, 2.1 million shares, 1.2 million shares and 1.0 million shares, respectively, of its Class A Special Common stock (see Note 6) were outstanding during the nine and three months ended September 30, 1999 and 1998 but were not included in the computation of Diluted EPS as the options' exercise price was less than the average market price of the Company's Class A Special Common Stock during the periods.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30"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Certain reclassifications have been made to the prior year condensed consolidated financial statements to conform to those classifications used in 1999.</w:t>
      </w:r>
    </w:p>
    <w:p>
      <w:pPr>
        <w:spacing w:after="0" w:line="6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435" w:right="1440" w:bottom="1440" w:gutter="0" w:footer="0" w:header="0"/>
        </w:sectPr>
      </w:pPr>
    </w:p>
    <w:bookmarkStart w:id="7" w:name="page8"/>
    <w:bookmarkEnd w:id="7"/>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EVENTS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Prime Communications</w:t>
      </w:r>
    </w:p>
    <w:p>
      <w:pPr>
        <w:spacing w:after="0" w:line="30" w:lineRule="exact"/>
        <w:rPr>
          <w:rFonts w:ascii="Courier New" w:cs="Courier New" w:eastAsia="Courier New" w:hAnsi="Courier New"/>
          <w:sz w:val="15"/>
          <w:szCs w:val="15"/>
          <w:color w:val="auto"/>
        </w:rPr>
      </w:pPr>
    </w:p>
    <w:p>
      <w:pPr>
        <w:jc w:val="both"/>
        <w:ind w:left="448" w:right="30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1998, the Company agreed to invest in Prime Communications LLC ("Prime"), a cable television operator with cable communications systems serving approximately 430,000 subscribers. Pursuant to the terms of this agreement, in December 1998 the Company acquired from Prime a $50 million 12.75% subordinated note due 2008 issued by Prime. In July 1999, the Company made a loan to Prime in the form of a $733.5 million 6% ten year note (the "Prime Note"), convertible into 90% of the equity of Prime. In November 1999, the Company made an additional $20.0 million loan to Prime (on the same terms as the original loan), and delivered a notice of the Company's intention to convert the Prime Note. The Prime Note will be converted upon receipt of required regulatory approvals, which are expected to be obtained by the end of the second quarter of 2000. The owners of Prime have agreed that at the time of conversion, they will sell their remaining 10% equity interest in Prime to the Company, for approximately $82 million, plus accrued interest from July 1999 at 7% per annum. As a result, the Company would then own 100% of Prime and assume approximately $550 million of Prime debt.</w:t>
      </w:r>
    </w:p>
    <w:p>
      <w:pPr>
        <w:spacing w:after="0" w:line="95"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Comcast Cellular</w:t>
      </w:r>
    </w:p>
    <w:p>
      <w:pPr>
        <w:spacing w:after="0" w:line="30" w:lineRule="exact"/>
        <w:rPr>
          <w:rFonts w:ascii="Courier New" w:cs="Courier New" w:eastAsia="Courier New" w:hAnsi="Courier New"/>
          <w:sz w:val="15"/>
          <w:szCs w:val="15"/>
          <w:color w:val="auto"/>
        </w:rPr>
      </w:pPr>
    </w:p>
    <w:p>
      <w:pPr>
        <w:jc w:val="both"/>
        <w:ind w:left="448" w:right="30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the Company completed the sale of Comcast Cellular to SBC Communications, Inc. for $361.1 million in cash and the assumption of $1.315 billion of Comcast Cellular debt, and recognized a gain on the sale of discontinued operations of $355.9 million, net of income tax expense. During the nine and three months ended September 30, 1999 and 1998, the Company recognized losses from discontinued operations of $20.1 million, $21.4 million, zero and $6.6 million, respectively.</w:t>
      </w:r>
    </w:p>
    <w:p>
      <w:pPr>
        <w:spacing w:after="0" w:line="8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Greater Philadelphia Cablevision</w:t>
      </w:r>
    </w:p>
    <w:p>
      <w:pPr>
        <w:spacing w:after="0" w:line="30" w:lineRule="exact"/>
        <w:rPr>
          <w:rFonts w:ascii="Courier New" w:cs="Courier New" w:eastAsia="Courier New" w:hAnsi="Courier New"/>
          <w:sz w:val="15"/>
          <w:szCs w:val="15"/>
          <w:color w:val="auto"/>
        </w:rPr>
      </w:pPr>
    </w:p>
    <w:p>
      <w:pPr>
        <w:jc w:val="both"/>
        <w:ind w:left="448" w:right="307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30, 1999, the Company completed the acquisition of Greater Philadelphia Cablevision, Inc. ("Greater Philadelphia"), a subsidiary of Greater Media, Inc. that operates a cable system serving approximately 79,000 subscribers in Philadelphia, Pennsylvania, by issuing approximately 8.5 million shares of its Class A Special Common Stock with a value of $291.7 million based upon the average closing price of the Company's Class A Special Common Stock for a ten-day period before and after the announcement of the transaction in February 1999. The acquisition was accounted for under the purchase method of accounting. As such, the operating results of Greater Philadelphia have been included in the accompanying condensed consolidated statement of operations and accumulated deficit from the acquisition date. The allocation of the purchase price to the assets and liabilities of Greater Philadelphia is preliminary pending a final appraisal. As the consideration given in exchange for Greater Philadelphia was shares of the Company's Class A Special Common Stock, the Greater Philadelphia acquisition had no significant impact on the Company's condensed consolidated statement of cash flows.</w:t>
      </w:r>
    </w:p>
    <w:p>
      <w:pPr>
        <w:spacing w:after="0" w:line="255"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Agreement</w:t>
      </w:r>
    </w:p>
    <w:p>
      <w:pPr>
        <w:spacing w:after="0" w:line="30" w:lineRule="exact"/>
        <w:rPr>
          <w:rFonts w:ascii="Courier New" w:cs="Courier New" w:eastAsia="Courier New" w:hAnsi="Courier New"/>
          <w:sz w:val="15"/>
          <w:szCs w:val="15"/>
          <w:color w:val="auto"/>
        </w:rPr>
      </w:pPr>
    </w:p>
    <w:p>
      <w:pPr>
        <w:jc w:val="both"/>
        <w:ind w:left="448" w:right="3079"/>
        <w:spacing w:after="0" w:line="26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May 1999, the Company and Jones Intercable, Inc., a consolidated subsidiary of the Company, ("Jones Intercable" - see "Acquisition of a Controlling Interest in Jones Intercable" below) entered into an agreement (the "Adelphia Agreement") to exchange certain cable systems with Adelphia Communications ("Adelphia"). Under the terms of the Adelphia Agreement, the Company and Jones Intercable, in the aggregate, will receive approximately 464,000 cable subscribers from Adelphia. In exchange, Adelphia will receive current systems owned by the Company and Jones Intercable serving, in the aggregate, approximately 440,000 subscribers. All of the systems involved in the transactions will be valued based upon independent appraisals with any difference in relative value to be funded with cash or additional cable systems. The system exchanges are subject to customary closing and regulatory approvals and are expected to close by mid-2000.</w:t>
      </w:r>
    </w:p>
    <w:p>
      <w:pPr>
        <w:spacing w:after="0" w:line="77"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AT&amp;T Agreement</w:t>
      </w:r>
    </w:p>
    <w:p>
      <w:pPr>
        <w:spacing w:after="0" w:line="30" w:lineRule="exact"/>
        <w:rPr>
          <w:rFonts w:ascii="Courier New" w:cs="Courier New" w:eastAsia="Courier New" w:hAnsi="Courier New"/>
          <w:sz w:val="15"/>
          <w:szCs w:val="15"/>
          <w:color w:val="auto"/>
        </w:rPr>
      </w:pPr>
    </w:p>
    <w:p>
      <w:pPr>
        <w:jc w:val="both"/>
        <w:ind w:left="44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1999, the Company and AT&amp;T Corp. ("AT&amp;T") entered into an agreement (the "AT&amp;T Agreement") to exchange various cable systems (the "AT&amp;T System Exchanges"). Under the terms of the AT&amp;T Agreement, the Company will pay AT&amp;T approximately $3.4 billion (subject to adjustment based on the actual number of net</w:t>
      </w:r>
    </w:p>
    <w:p>
      <w:pPr>
        <w:spacing w:after="0" w:line="7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435" w:right="1440" w:bottom="1440" w:gutter="0" w:footer="0" w:header="0"/>
        </w:sectPr>
      </w:pPr>
    </w:p>
    <w:bookmarkStart w:id="8" w:name="page9"/>
    <w:bookmarkEnd w:id="8"/>
    <w:p>
      <w:pPr>
        <w:jc w:val="center"/>
        <w:ind w:right="351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jc w:val="both"/>
        <w:ind w:right="3079"/>
        <w:spacing w:after="0" w:line="255" w:lineRule="auto"/>
        <w:rPr>
          <w:sz w:val="20"/>
          <w:szCs w:val="20"/>
          <w:color w:val="auto"/>
        </w:rPr>
      </w:pPr>
      <w:r>
        <w:rPr>
          <w:rFonts w:ascii="Courier New" w:cs="Courier New" w:eastAsia="Courier New" w:hAnsi="Courier New"/>
          <w:sz w:val="15"/>
          <w:szCs w:val="15"/>
          <w:color w:val="auto"/>
        </w:rPr>
        <w:t>subscribers acquired and the per subscriber price of certain subscribers) for the approximately 750,000 net subscribers to be acquired as a result of the AT&amp;T System Exchanges. The Company will pay for the net subscribers acquired in connection with the AT&amp;T System Exchanges with shares of AT&amp;T common stock currently owned or subsequently acquired by the Company and other securities or assets which would permit the AT&amp;T System Exchanges to be tax-free to the extent possible. The value of any currently owned AT&amp;T common stock to be exchanged will be $54.41 per share, based upon the average trading price during the 20-day trading period beginning June 3, 1999.</w:t>
      </w:r>
    </w:p>
    <w:p>
      <w:pPr>
        <w:spacing w:after="0" w:line="87" w:lineRule="exact"/>
        <w:rPr>
          <w:sz w:val="20"/>
          <w:szCs w:val="20"/>
          <w:color w:val="auto"/>
        </w:rPr>
      </w:pPr>
    </w:p>
    <w:p>
      <w:pPr>
        <w:jc w:val="both"/>
        <w:ind w:right="3079"/>
        <w:spacing w:after="0" w:line="255" w:lineRule="auto"/>
        <w:rPr>
          <w:sz w:val="20"/>
          <w:szCs w:val="20"/>
          <w:color w:val="auto"/>
        </w:rPr>
      </w:pPr>
      <w:r>
        <w:rPr>
          <w:rFonts w:ascii="Courier New" w:cs="Courier New" w:eastAsia="Courier New" w:hAnsi="Courier New"/>
          <w:sz w:val="15"/>
          <w:szCs w:val="15"/>
          <w:color w:val="auto"/>
        </w:rPr>
        <w:t>Under the terms of the AT&amp;T Agreement, the Company also has an option to acquire from AT&amp;T, following approximately three years, additional cable systems with a total of between 1.0 million and 1.4 million subscribers for approximately $4.8 billion to $6.7 billion (subject to reduction for any long-term debt and other liabilities of the acquired cable systems). The Company will pay for these cable systems with shares of the Company's Class A Special Common Stock (valued on the same basis as described in the prior paragraph) and other securities or assets which would permit the acquisition to be tax-free (or if such result can not be obtained, with cash).</w:t>
      </w:r>
    </w:p>
    <w:p>
      <w:pPr>
        <w:spacing w:after="0" w:line="87" w:lineRule="exact"/>
        <w:rPr>
          <w:sz w:val="20"/>
          <w:szCs w:val="20"/>
          <w:color w:val="auto"/>
        </w:rPr>
      </w:pPr>
    </w:p>
    <w:p>
      <w:pPr>
        <w:jc w:val="both"/>
        <w:ind w:right="3079"/>
        <w:spacing w:after="0" w:line="266" w:lineRule="auto"/>
        <w:rPr>
          <w:sz w:val="20"/>
          <w:szCs w:val="20"/>
          <w:color w:val="auto"/>
        </w:rPr>
      </w:pPr>
      <w:r>
        <w:rPr>
          <w:rFonts w:ascii="Courier New" w:cs="Courier New" w:eastAsia="Courier New" w:hAnsi="Courier New"/>
          <w:sz w:val="15"/>
          <w:szCs w:val="15"/>
          <w:color w:val="auto"/>
        </w:rPr>
        <w:t>Under the terms of the AT&amp;T Agreement, the Company has also agreed to offer AT&amp;T-branded residential wireline telephony in its cable system markets, provided AT&amp;T has concluded separate residential telephony agreements with at least two other non-AT&amp;T affiliated multi-system cable operators. AT&amp;T has agreed to grant the Company the most favorable terms AT&amp;T has reached with any of those or other multi-system cable operators.</w:t>
      </w:r>
    </w:p>
    <w:p>
      <w:pPr>
        <w:spacing w:after="0" w:line="74" w:lineRule="exact"/>
        <w:rPr>
          <w:sz w:val="20"/>
          <w:szCs w:val="20"/>
          <w:color w:val="auto"/>
        </w:rPr>
      </w:pPr>
    </w:p>
    <w:p>
      <w:pPr>
        <w:jc w:val="both"/>
        <w:ind w:right="3079"/>
        <w:spacing w:after="0" w:line="288" w:lineRule="auto"/>
        <w:rPr>
          <w:sz w:val="20"/>
          <w:szCs w:val="20"/>
          <w:color w:val="auto"/>
        </w:rPr>
      </w:pPr>
      <w:r>
        <w:rPr>
          <w:rFonts w:ascii="Courier New" w:cs="Courier New" w:eastAsia="Courier New" w:hAnsi="Courier New"/>
          <w:sz w:val="14"/>
          <w:szCs w:val="14"/>
          <w:color w:val="auto"/>
        </w:rPr>
        <w:t>The majority of the AT&amp;T System Exchanges and the exercise of the Company's option to acquire the additional cable systems are contingent upon the completion of AT&amp;T's acquisition of MediaOne (see Proposed Acquisition of MediaOne Group, Inc. below), which is expected to close in 2000, subject to receipt of necessary regulatory and other approvals. There can be no assurance, however, that such acquisition will be consummated.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Acquisition of MediaOne Group, Inc.</w:t>
      </w:r>
    </w:p>
    <w:p>
      <w:pPr>
        <w:spacing w:after="0" w:line="30"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In March 1999, the Company and MediaOne Group, Inc. ("MediaOne"), entered into an Agreement and Plan of Merger (the "Merger Agreement") pursuant to which MediaOne was to be merged with and into the Company. Under the terms of the Merger Agreement, MediaOne could terminate the Merger Agreement under certain conditions, provided that it pay a termination fee of $1.5 billion in cash to the Company. In April 1999, AT&amp;T submitted an offer to purchase MediaOne. On May 1, 1999, the MediaOne board of directors notified the Company that it had determined that the AT&amp;T offer was superior to the Company's offer. On May 6, 1999, MediaOne terminated the Merger Agreement and MediaOne paid the Company the termination fee. The termination fee was recorded to other income in the Company's condensed consolidated statement of operations and accumulated deficit, net of transaction costs, for the nine months ended September 30, 1999.</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a Controlling Interest in Jones Intercable</w:t>
      </w:r>
    </w:p>
    <w:p>
      <w:pPr>
        <w:spacing w:after="0" w:line="30" w:lineRule="exact"/>
        <w:rPr>
          <w:sz w:val="20"/>
          <w:szCs w:val="20"/>
          <w:color w:val="auto"/>
        </w:rPr>
      </w:pPr>
    </w:p>
    <w:p>
      <w:pPr>
        <w:jc w:val="both"/>
        <w:ind w:right="3079"/>
        <w:spacing w:after="0" w:line="246" w:lineRule="auto"/>
        <w:rPr>
          <w:sz w:val="20"/>
          <w:szCs w:val="20"/>
          <w:color w:val="auto"/>
        </w:rPr>
      </w:pPr>
      <w:r>
        <w:rPr>
          <w:rFonts w:ascii="Courier New" w:cs="Courier New" w:eastAsia="Courier New" w:hAnsi="Courier New"/>
          <w:sz w:val="15"/>
          <w:szCs w:val="15"/>
          <w:color w:val="auto"/>
        </w:rPr>
        <w:t>In May 1998, the Company agreed to purchase from BCI Telecom Holding ("BTH") 6.4 million Class A Common Shares in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in August 1998 to accelerate the Control Option to permit its early exercise and the early closing of the transactions with BTH. The transaction closed on April 7, 1999. The Company paid $706.3 million in cash to acquire the 12.8 million shares of Jones Intercable Class A Common Stock and the Control Shares. In June 1999, the Company purchased an additional 1.0 million shares of Jones Intercable Class A Common Stock for $50.0 million through a private transaction. As a result, the Company controls 39.6% of the economic and 48.3% of the voting interest in Jones Intercable. In addition, the Control Shares represent shares having the right to elect</w:t>
      </w:r>
    </w:p>
    <w:p>
      <w:pPr>
        <w:spacing w:after="0" w:line="9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9"/>
          </w:cols>
          <w:pgMar w:left="680" w:top="435" w:right="1440" w:bottom="1440" w:gutter="0" w:footer="0" w:header="0"/>
        </w:sectPr>
      </w:pPr>
    </w:p>
    <w:bookmarkStart w:id="9" w:name="page10"/>
    <w:bookmarkEnd w:id="9"/>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jc w:val="both"/>
        <w:ind w:left="448" w:right="3079"/>
        <w:spacing w:after="0" w:line="257" w:lineRule="auto"/>
        <w:rPr>
          <w:sz w:val="20"/>
          <w:szCs w:val="20"/>
          <w:color w:val="auto"/>
        </w:rPr>
      </w:pPr>
      <w:r>
        <w:rPr>
          <w:rFonts w:ascii="Courier New" w:cs="Courier New" w:eastAsia="Courier New" w:hAnsi="Courier New"/>
          <w:sz w:val="15"/>
          <w:szCs w:val="15"/>
          <w:color w:val="auto"/>
        </w:rPr>
        <w:t>approximately 75% of the Board of Directors of Jones Intercable. The share acquisitions were funded with available cash and cash equivalents. Jones Intercable is a public company, which owns cable operations serving approximately 1.0 million customers. The acquisition was accounted for under the purchase method of accounting. As such, the operating results of Jones Intercable have been included in the accompanying condensed consolidated statement of operations and accumulated deficit from the acquisition date. The allocation of the purchase price to the assets and liabilities of Jones Intercable is preliminary pending a final appraisal.</w:t>
      </w:r>
    </w:p>
    <w:p>
      <w:pPr>
        <w:spacing w:after="0" w:line="83" w:lineRule="exact"/>
        <w:rPr>
          <w:sz w:val="20"/>
          <w:szCs w:val="20"/>
          <w:color w:val="auto"/>
        </w:rPr>
      </w:pPr>
    </w:p>
    <w:p>
      <w:pPr>
        <w:jc w:val="both"/>
        <w:ind w:left="448" w:right="3079"/>
        <w:spacing w:after="0" w:line="257" w:lineRule="auto"/>
        <w:rPr>
          <w:sz w:val="20"/>
          <w:szCs w:val="20"/>
          <w:color w:val="auto"/>
        </w:rPr>
      </w:pPr>
      <w:r>
        <w:rPr>
          <w:rFonts w:ascii="Courier New" w:cs="Courier New" w:eastAsia="Courier New" w:hAnsi="Courier New"/>
          <w:sz w:val="15"/>
          <w:szCs w:val="15"/>
          <w:color w:val="auto"/>
        </w:rPr>
        <w:t>In August 1999, the Company announced its intention to commence an offer to exchange 1.4 shares of its Class A Special Common Stock for each share of Class A Common Stock or Common Stock of Jones Intercable for up to 79% of the combined number of shares of Jones Intercable Class A Common Stock and Common Stock outstanding (subject to certain terms and conditions to be contained in the offer documents). The offer would commence upon registration of the Company's Class A Special Common Stock to be offered in the exchange offer with the SEC pursuant to an effective registration statement.</w:t>
      </w:r>
    </w:p>
    <w:p>
      <w:pPr>
        <w:spacing w:after="0" w:line="83" w:lineRule="exact"/>
        <w:rPr>
          <w:sz w:val="20"/>
          <w:szCs w:val="20"/>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1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September 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5640" w:type="dxa"/>
            <w:vAlign w:val="bottom"/>
          </w:tcPr>
          <w:p>
            <w:pPr>
              <w:spacing w:after="0"/>
              <w:rPr>
                <w:sz w:val="14"/>
                <w:szCs w:val="14"/>
                <w:color w:val="auto"/>
              </w:rPr>
            </w:pP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2"/>
        </w:trPr>
        <w:tc>
          <w:tcPr>
            <w:tcW w:w="5640" w:type="dxa"/>
            <w:vAlign w:val="bottom"/>
          </w:tcPr>
          <w:p>
            <w:pPr>
              <w:spacing w:after="0"/>
              <w:rPr>
                <w:sz w:val="14"/>
                <w:szCs w:val="14"/>
                <w:color w:val="auto"/>
              </w:rPr>
            </w:pP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1"/>
                <w:szCs w:val="21"/>
                <w:color w:val="auto"/>
              </w:rPr>
            </w:pPr>
          </w:p>
        </w:tc>
        <w:tc>
          <w:tcPr>
            <w:tcW w:w="2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(Dollars in millions)</w:t>
            </w:r>
          </w:p>
        </w:tc>
        <w:tc>
          <w:tcPr>
            <w:tcW w:w="0" w:type="dxa"/>
            <w:vAlign w:val="bottom"/>
          </w:tcPr>
          <w:p>
            <w:pPr>
              <w:spacing w:after="0"/>
              <w:rPr>
                <w:sz w:val="1"/>
                <w:szCs w:val="1"/>
                <w:color w:val="auto"/>
              </w:rPr>
            </w:pPr>
          </w:p>
        </w:tc>
      </w:tr>
      <w:tr>
        <w:trPr>
          <w:trHeight w:val="264"/>
        </w:trPr>
        <w:tc>
          <w:tcPr>
            <w:tcW w:w="5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Equity method...............................................</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72"/>
        </w:trPr>
        <w:tc>
          <w:tcPr>
            <w:tcW w:w="5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Fair value method...........................................</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7,711.2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4,170.0</w:t>
            </w:r>
          </w:p>
        </w:tc>
        <w:tc>
          <w:tcPr>
            <w:tcW w:w="0" w:type="dxa"/>
            <w:vAlign w:val="bottom"/>
          </w:tcPr>
          <w:p>
            <w:pPr>
              <w:spacing w:after="0"/>
              <w:rPr>
                <w:sz w:val="1"/>
                <w:szCs w:val="1"/>
                <w:color w:val="auto"/>
              </w:rPr>
            </w:pPr>
          </w:p>
        </w:tc>
      </w:tr>
      <w:tr>
        <w:trPr>
          <w:trHeight w:val="172"/>
        </w:trPr>
        <w:tc>
          <w:tcPr>
            <w:tcW w:w="5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Cost method.................................................</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279.8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w:t>
            </w:r>
          </w:p>
        </w:tc>
        <w:tc>
          <w:tcPr>
            <w:tcW w:w="0" w:type="dxa"/>
            <w:vAlign w:val="bottom"/>
          </w:tcPr>
          <w:p>
            <w:pPr>
              <w:spacing w:after="0"/>
              <w:rPr>
                <w:sz w:val="1"/>
                <w:szCs w:val="1"/>
                <w:color w:val="auto"/>
              </w:rPr>
            </w:pPr>
          </w:p>
        </w:tc>
      </w:tr>
      <w:tr>
        <w:trPr>
          <w:trHeight w:val="172"/>
        </w:trPr>
        <w:tc>
          <w:tcPr>
            <w:tcW w:w="5640" w:type="dxa"/>
            <w:vAlign w:val="bottom"/>
            <w:vMerge w:val="restart"/>
          </w:tcPr>
          <w:p>
            <w:pPr>
              <w:jc w:val="right"/>
              <w:ind w:right="3425"/>
              <w:spacing w:after="0"/>
              <w:rPr>
                <w:sz w:val="20"/>
                <w:szCs w:val="20"/>
                <w:color w:val="auto"/>
              </w:rPr>
            </w:pPr>
            <w:r>
              <w:rPr>
                <w:rFonts w:ascii="Courier New" w:cs="Courier New" w:eastAsia="Courier New" w:hAnsi="Courier New"/>
                <w:sz w:val="15"/>
                <w:szCs w:val="15"/>
                <w:color w:val="auto"/>
              </w:rPr>
              <w:t>Total investments</w:t>
            </w:r>
          </w:p>
        </w:tc>
        <w:tc>
          <w:tcPr>
            <w:tcW w:w="16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8,037.3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40" w:type="dxa"/>
            <w:vAlign w:val="bottom"/>
            <w:vMerge w:val="continue"/>
          </w:tcPr>
          <w:p>
            <w:pPr>
              <w:jc w:val="right"/>
              <w:ind w:right="205"/>
              <w:spacing w:after="0" w:line="152" w:lineRule="exact"/>
              <w:rPr>
                <w:sz w:val="20"/>
                <w:szCs w:val="20"/>
                <w:color w:val="auto"/>
              </w:rPr>
            </w:pPr>
            <w:r>
              <w:rPr>
                <w:rFonts w:ascii="Courier New" w:cs="Courier New" w:eastAsia="Courier New" w:hAnsi="Courier New"/>
                <w:sz w:val="15"/>
                <w:szCs w:val="15"/>
                <w:color w:val="auto"/>
              </w:rPr>
              <w:t>....................................</w:t>
            </w:r>
          </w:p>
        </w:tc>
        <w:tc>
          <w:tcPr>
            <w:tcW w:w="1640" w:type="dxa"/>
            <w:vAlign w:val="bottom"/>
            <w:vMerge w:val="continue"/>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4,255.8</w:t>
            </w:r>
          </w:p>
        </w:tc>
        <w:tc>
          <w:tcPr>
            <w:tcW w:w="0" w:type="dxa"/>
            <w:vAlign w:val="bottom"/>
          </w:tcPr>
          <w:p>
            <w:pPr>
              <w:spacing w:after="0"/>
              <w:rPr>
                <w:sz w:val="1"/>
                <w:szCs w:val="1"/>
                <w:color w:val="auto"/>
              </w:rPr>
            </w:pPr>
          </w:p>
        </w:tc>
      </w:tr>
      <w:tr>
        <w:trPr>
          <w:trHeight w:val="172"/>
        </w:trPr>
        <w:tc>
          <w:tcPr>
            <w:tcW w:w="5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Less current investments....................................</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5,354.1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3,653.4</w:t>
            </w:r>
          </w:p>
        </w:tc>
        <w:tc>
          <w:tcPr>
            <w:tcW w:w="0" w:type="dxa"/>
            <w:vAlign w:val="bottom"/>
          </w:tcPr>
          <w:p>
            <w:pPr>
              <w:spacing w:after="0"/>
              <w:rPr>
                <w:sz w:val="1"/>
                <w:szCs w:val="1"/>
                <w:color w:val="auto"/>
              </w:rPr>
            </w:pPr>
          </w:p>
        </w:tc>
      </w:tr>
      <w:tr>
        <w:trPr>
          <w:trHeight w:val="172"/>
        </w:trPr>
        <w:tc>
          <w:tcPr>
            <w:tcW w:w="56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8"/>
              </w:rPr>
              <w:t>Non-current investments.....................................</w:t>
            </w:r>
          </w:p>
        </w:tc>
        <w:tc>
          <w:tcPr>
            <w:tcW w:w="1640" w:type="dxa"/>
            <w:vAlign w:val="bottom"/>
            <w:vMerge w:val="restart"/>
          </w:tcPr>
          <w:p>
            <w:pPr>
              <w:jc w:val="right"/>
              <w:ind w:right="22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$2,683.2</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4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$602.4</w:t>
            </w: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1"/>
                <w:szCs w:val="21"/>
                <w:color w:val="auto"/>
              </w:rPr>
            </w:pP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Equity Method</w:t>
      </w:r>
    </w:p>
    <w:p>
      <w:pPr>
        <w:spacing w:after="0" w:line="30" w:lineRule="exact"/>
        <w:rPr>
          <w:sz w:val="20"/>
          <w:szCs w:val="20"/>
          <w:color w:val="auto"/>
        </w:rPr>
      </w:pPr>
    </w:p>
    <w:p>
      <w:pPr>
        <w:jc w:val="both"/>
        <w:ind w:left="448" w:right="3079"/>
        <w:spacing w:after="0" w:line="251" w:lineRule="auto"/>
        <w:rPr>
          <w:sz w:val="20"/>
          <w:szCs w:val="20"/>
          <w:color w:val="auto"/>
        </w:rPr>
      </w:pPr>
      <w:r>
        <w:rPr>
          <w:rFonts w:ascii="Courier New" w:cs="Courier New" w:eastAsia="Courier New" w:hAnsi="Courier New"/>
          <w:sz w:val="15"/>
          <w:szCs w:val="15"/>
          <w:color w:val="auto"/>
        </w:rPr>
        <w:t>The Company records its proportionate interests in the net income (loss) of certain of its equity method investees in arrears. The Company's recorded investments exceed its proportionate interests in the book value of the investees' net assets by $79.1 million as of September 30, 1999 (primarily related to the Company's investment in The Golf Channel). Such excess is being amortized to equity in net income or loss, primarily over a period of twenty years, which is consistent with the estimated lives of the underlying assets. The cost basis of investments accounted for under the equity method totaled $237.2 million and $215.3 million as of September 30, 1999 and December 31, 1998, respectively.</w:t>
      </w:r>
    </w:p>
    <w:p>
      <w:pPr>
        <w:spacing w:after="0" w:line="8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435" w:right="1440" w:bottom="1440" w:gutter="0" w:footer="0" w:header="0"/>
        </w:sectPr>
      </w:pPr>
    </w:p>
    <w:bookmarkStart w:id="10" w:name="page11"/>
    <w:bookmarkEnd w:id="10"/>
    <w:p>
      <w:pPr>
        <w:jc w:val="center"/>
        <w:ind w:right="3518"/>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3438"/>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518"/>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51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3438"/>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jc w:val="both"/>
        <w:ind w:left="1" w:right="3079"/>
        <w:spacing w:after="0" w:line="259" w:lineRule="auto"/>
        <w:rPr>
          <w:sz w:val="20"/>
          <w:szCs w:val="20"/>
          <w:color w:val="auto"/>
        </w:rPr>
      </w:pPr>
      <w:r>
        <w:rPr>
          <w:rFonts w:ascii="Courier New" w:cs="Courier New" w:eastAsia="Courier New" w:hAnsi="Courier New"/>
          <w:sz w:val="15"/>
          <w:szCs w:val="15"/>
          <w:color w:val="auto"/>
        </w:rPr>
        <w:t>Summarized financial information for the nine and three months ended September 30, 1998 for the Company's equity method investees is presented below. Summarized financial information is not presented for Sprint PCS, Teleport Communications Group Inc. ("Teleport") or Birmingham Cable Corporation Limited and Cable London, PLC (together, the "UK Investees") as of or for the nine and three months ended September 30, 1999 as such investments are no longer accounted for under the equity method (dollars in millions):</w:t>
      </w:r>
    </w:p>
    <w:p>
      <w:pPr>
        <w:spacing w:after="0" w:line="200" w:lineRule="exact"/>
        <w:rPr>
          <w:sz w:val="20"/>
          <w:szCs w:val="20"/>
          <w:color w:val="auto"/>
        </w:rPr>
      </w:pP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Sprint</w:t>
            </w: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Teleport</w:t>
            </w:r>
          </w:p>
        </w:tc>
        <w:tc>
          <w:tcPr>
            <w:tcW w:w="1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UK</w:t>
            </w:r>
          </w:p>
        </w:tc>
        <w:tc>
          <w:tcPr>
            <w:tcW w:w="108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Other</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Combined</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0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PCS</w:t>
            </w:r>
          </w:p>
        </w:tc>
        <w:tc>
          <w:tcPr>
            <w:tcW w:w="1120" w:type="dxa"/>
            <w:vAlign w:val="bottom"/>
            <w:vMerge w:val="continue"/>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Investees</w:t>
            </w: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1998:</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Combined Results of Operations</w:t>
            </w:r>
          </w:p>
        </w:tc>
        <w:tc>
          <w:tcPr>
            <w:tcW w:w="10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$477.3</w:t>
            </w:r>
          </w:p>
        </w:tc>
        <w:tc>
          <w:tcPr>
            <w:tcW w:w="11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$605.8</w:t>
            </w: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$176.5</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$584.1</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$1,843.7</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Revenues, net...............................</w:t>
            </w: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Operating, selling, general and</w:t>
            </w:r>
          </w:p>
        </w:tc>
        <w:tc>
          <w:tcPr>
            <w:tcW w:w="10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1,300.0</w:t>
            </w:r>
          </w:p>
        </w:tc>
        <w:tc>
          <w:tcPr>
            <w:tcW w:w="11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558.7</w:t>
            </w: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136.0</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613.5</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2,608.2</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administrative expenses...................</w:t>
            </w: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389.8</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163.4</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670.2</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loss..............................</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(1,212.5)</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(116.3)</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(1,434.7)</w:t>
            </w:r>
          </w:p>
        </w:tc>
        <w:tc>
          <w:tcPr>
            <w:tcW w:w="0" w:type="dxa"/>
            <w:vAlign w:val="bottom"/>
          </w:tcPr>
          <w:p>
            <w:pPr>
              <w:spacing w:after="0"/>
              <w:rPr>
                <w:sz w:val="1"/>
                <w:szCs w:val="1"/>
                <w:color w:val="auto"/>
              </w:rPr>
            </w:pPr>
          </w:p>
        </w:tc>
      </w:tr>
      <w:tr>
        <w:trPr>
          <w:trHeight w:val="25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(1)................................</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(1,600.2)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(1,984.6)</w:t>
            </w:r>
          </w:p>
        </w:tc>
        <w:tc>
          <w:tcPr>
            <w:tcW w:w="0" w:type="dxa"/>
            <w:vAlign w:val="bottom"/>
          </w:tcPr>
          <w:p>
            <w:pPr>
              <w:spacing w:after="0"/>
              <w:rPr>
                <w:sz w:val="1"/>
                <w:szCs w:val="1"/>
                <w:color w:val="auto"/>
              </w:rPr>
            </w:pPr>
          </w:p>
        </w:tc>
      </w:tr>
      <w:tr>
        <w:trPr>
          <w:trHeight w:val="264"/>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Company's Equity in Net Loss</w:t>
            </w:r>
          </w:p>
        </w:tc>
        <w:tc>
          <w:tcPr>
            <w:tcW w:w="10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($240.0)</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($27.2)</w:t>
            </w:r>
          </w:p>
        </w:tc>
        <w:tc>
          <w:tcPr>
            <w:tcW w:w="10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($25.9)</w:t>
            </w:r>
          </w:p>
        </w:tc>
        <w:tc>
          <w:tcPr>
            <w:tcW w:w="10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($47.2)</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($340.3)</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current period net loss...........</w:t>
            </w: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expense........................</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11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equity in net loss..................</w:t>
            </w:r>
          </w:p>
        </w:tc>
        <w:tc>
          <w:tcPr>
            <w:tcW w:w="1080" w:type="dxa"/>
            <w:vAlign w:val="bottom"/>
            <w:vMerge w:val="restart"/>
          </w:tcPr>
          <w:p>
            <w:pPr>
              <w:jc w:val="right"/>
              <w:ind w:right="2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($242.3)</w:t>
            </w:r>
          </w:p>
        </w:tc>
        <w:tc>
          <w:tcPr>
            <w:tcW w:w="1120" w:type="dxa"/>
            <w:vAlign w:val="bottom"/>
            <w:vMerge w:val="continue"/>
          </w:tcPr>
          <w:p>
            <w:pPr>
              <w:spacing w:after="0"/>
              <w:rPr>
                <w:sz w:val="14"/>
                <w:szCs w:val="14"/>
                <w:color w:val="auto"/>
              </w:rPr>
            </w:pP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($27.2)</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($345.4)</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Three months ended September 30, 1998:</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Combined Results of Operations</w:t>
            </w:r>
          </w:p>
        </w:tc>
        <w:tc>
          <w:tcPr>
            <w:tcW w:w="10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$192.3</w:t>
            </w:r>
          </w:p>
        </w:tc>
        <w:tc>
          <w:tcPr>
            <w:tcW w:w="11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$295.3</w:t>
            </w: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$60.4</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$48.8</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$596.8</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Revenues, net...............................</w:t>
            </w: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Operating, selling, general and</w:t>
            </w:r>
          </w:p>
        </w:tc>
        <w:tc>
          <w:tcPr>
            <w:tcW w:w="10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428.5</w:t>
            </w:r>
          </w:p>
        </w:tc>
        <w:tc>
          <w:tcPr>
            <w:tcW w:w="11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257.4</w:t>
            </w:r>
          </w:p>
        </w:tc>
        <w:tc>
          <w:tcPr>
            <w:tcW w:w="10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45.8</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37.2</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768.9</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administrative expenses...................</w:t>
            </w: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151.4</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66.3</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250.4</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loss..............................</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(387.6)</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10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(422.5)</w:t>
            </w:r>
          </w:p>
        </w:tc>
        <w:tc>
          <w:tcPr>
            <w:tcW w:w="0" w:type="dxa"/>
            <w:vAlign w:val="bottom"/>
          </w:tcPr>
          <w:p>
            <w:pPr>
              <w:spacing w:after="0"/>
              <w:rPr>
                <w:sz w:val="1"/>
                <w:szCs w:val="1"/>
                <w:color w:val="auto"/>
              </w:rPr>
            </w:pPr>
          </w:p>
        </w:tc>
      </w:tr>
      <w:tr>
        <w:trPr>
          <w:trHeight w:val="25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(1)................................</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(542.2)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w:t>
            </w:r>
          </w:p>
        </w:tc>
        <w:tc>
          <w:tcPr>
            <w:tcW w:w="108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(627.4)</w:t>
            </w:r>
          </w:p>
        </w:tc>
        <w:tc>
          <w:tcPr>
            <w:tcW w:w="0" w:type="dxa"/>
            <w:vAlign w:val="bottom"/>
          </w:tcPr>
          <w:p>
            <w:pPr>
              <w:spacing w:after="0"/>
              <w:rPr>
                <w:sz w:val="1"/>
                <w:szCs w:val="1"/>
                <w:color w:val="auto"/>
              </w:rPr>
            </w:pPr>
          </w:p>
        </w:tc>
      </w:tr>
      <w:tr>
        <w:trPr>
          <w:trHeight w:val="264"/>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Company's Equity in Net Loss</w:t>
            </w:r>
          </w:p>
        </w:tc>
        <w:tc>
          <w:tcPr>
            <w:tcW w:w="10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($81.3)</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10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($7.7)</w:t>
            </w:r>
          </w:p>
        </w:tc>
        <w:tc>
          <w:tcPr>
            <w:tcW w:w="10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($106.6)</w:t>
            </w: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current period net loss...........</w:t>
            </w:r>
          </w:p>
        </w:tc>
        <w:tc>
          <w:tcPr>
            <w:tcW w:w="10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expense........................</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c>
          <w:tcPr>
            <w:tcW w:w="11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equity in net loss..................</w:t>
            </w:r>
          </w:p>
        </w:tc>
        <w:tc>
          <w:tcPr>
            <w:tcW w:w="1080" w:type="dxa"/>
            <w:vAlign w:val="bottom"/>
            <w:vMerge w:val="restart"/>
          </w:tcPr>
          <w:p>
            <w:pPr>
              <w:jc w:val="right"/>
              <w:ind w:right="27"/>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($82.1)</w:t>
            </w:r>
          </w:p>
        </w:tc>
        <w:tc>
          <w:tcPr>
            <w:tcW w:w="1120" w:type="dxa"/>
            <w:vAlign w:val="bottom"/>
            <w:vMerge w:val="continue"/>
          </w:tcPr>
          <w:p>
            <w:pPr>
              <w:spacing w:after="0"/>
              <w:rPr>
                <w:sz w:val="14"/>
                <w:szCs w:val="14"/>
                <w:color w:val="auto"/>
              </w:rPr>
            </w:pP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($108.6)</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jc w:val="both"/>
        <w:ind w:left="361" w:right="3079" w:hanging="361"/>
        <w:spacing w:after="0" w:line="281" w:lineRule="auto"/>
        <w:tabs>
          <w:tab w:leader="none" w:pos="36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also represents loss from continuing operations before extraordinary items and cumulative effect of changes in accounting principles.</w:t>
      </w:r>
    </w:p>
    <w:p>
      <w:pPr>
        <w:spacing w:after="0" w:line="200" w:lineRule="exact"/>
        <w:rPr>
          <w:sz w:val="20"/>
          <w:szCs w:val="20"/>
          <w:color w:val="auto"/>
        </w:rPr>
      </w:pPr>
    </w:p>
    <w:p>
      <w:pPr>
        <w:spacing w:after="0" w:line="207" w:lineRule="exact"/>
        <w:rPr>
          <w:sz w:val="20"/>
          <w:szCs w:val="20"/>
          <w:color w:val="auto"/>
        </w:rPr>
      </w:pPr>
    </w:p>
    <w:p>
      <w:pPr>
        <w:jc w:val="both"/>
        <w:ind w:left="1" w:right="3079"/>
        <w:spacing w:after="0" w:line="301" w:lineRule="auto"/>
        <w:rPr>
          <w:sz w:val="20"/>
          <w:szCs w:val="20"/>
          <w:color w:val="auto"/>
        </w:rPr>
      </w:pPr>
      <w:r>
        <w:rPr>
          <w:rFonts w:ascii="Courier New" w:cs="Courier New" w:eastAsia="Courier New" w:hAnsi="Courier New"/>
          <w:sz w:val="15"/>
          <w:szCs w:val="15"/>
          <w:color w:val="auto"/>
        </w:rPr>
        <w:t>Sprint PCS. Effective November 1998, in connection with the restructuring of Sprint PCS, the Company accounts for its investment in Sprint PCS under the fair value method.</w:t>
      </w:r>
    </w:p>
    <w:p>
      <w:pPr>
        <w:spacing w:after="0" w:line="49" w:lineRule="exact"/>
        <w:rPr>
          <w:sz w:val="20"/>
          <w:szCs w:val="20"/>
          <w:color w:val="auto"/>
        </w:rPr>
      </w:pPr>
    </w:p>
    <w:p>
      <w:pPr>
        <w:jc w:val="both"/>
        <w:ind w:left="1" w:right="3079"/>
        <w:spacing w:after="0" w:line="252" w:lineRule="auto"/>
        <w:rPr>
          <w:sz w:val="20"/>
          <w:szCs w:val="20"/>
          <w:color w:val="auto"/>
        </w:rPr>
      </w:pPr>
      <w:r>
        <w:rPr>
          <w:rFonts w:ascii="Courier New" w:cs="Courier New" w:eastAsia="Courier New" w:hAnsi="Courier New"/>
          <w:sz w:val="15"/>
          <w:szCs w:val="15"/>
          <w:color w:val="auto"/>
        </w:rPr>
        <w:t>Teleport. In April 1998 and November 1997, Teleport issued shares of its Class A Common Stock. As a result of the share issuances, the Company recognized a $157.8 million and $98.1 million increase in its proportionate share of Teleport's net assets as a gain from equity offering of affiliate for the nine and three months ended September 30, 1998, respectively. The Company recorded its proportionate share of Teleport's net assets one quarter in arrears. In July 1998, AT&amp;T completed its merger with Teleport. Upon closing of the merger, the Company received 24.2 million shares of AT&amp;T common stock in exchange (the "Exchange") for the 25.6 million shares of Teleport Class B Common Stock held by the Company. As a result of the Exchange, the Company recognized a pre-tax gain of $1.092 billion during the nine and three months ended September 30, 1998, representing the difference between</w:t>
      </w:r>
    </w:p>
    <w:p>
      <w:pPr>
        <w:spacing w:after="0" w:line="89"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80"/>
          </w:cols>
          <w:pgMar w:left="679" w:top="435" w:right="1440" w:bottom="1440" w:gutter="0" w:footer="0" w:header="0"/>
        </w:sectPr>
      </w:pPr>
    </w:p>
    <w:bookmarkStart w:id="11" w:name="page12"/>
    <w:bookmarkEnd w:id="11"/>
    <w:p>
      <w:pPr>
        <w:jc w:val="center"/>
        <w:ind w:right="351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jc w:val="both"/>
        <w:ind w:right="3079"/>
        <w:spacing w:after="0" w:line="272" w:lineRule="auto"/>
        <w:rPr>
          <w:sz w:val="20"/>
          <w:szCs w:val="20"/>
          <w:color w:val="auto"/>
        </w:rPr>
      </w:pPr>
      <w:r>
        <w:rPr>
          <w:rFonts w:ascii="Courier New" w:cs="Courier New" w:eastAsia="Courier New" w:hAnsi="Courier New"/>
          <w:sz w:val="15"/>
          <w:szCs w:val="15"/>
          <w:color w:val="auto"/>
        </w:rPr>
        <w:t>the fair value of the AT&amp;T stock received and the Company's basis in Teleport. Such gain is included in investment income in the Company's condensed consolidated statement of operations and accumulated deficit. As of December 31, 1998, the Company has recorded its investment in AT&amp;T at its estimated fair value.</w:t>
      </w:r>
    </w:p>
    <w:p>
      <w:pPr>
        <w:spacing w:after="0" w:line="69"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UK Investees. In October 1998, the Company exchanged its interest in Comcast UK Cable Partners Limited ("Comcast UK Cable") for shares of NTL Incorporated ("NTL") common stock. As of December 31, 1998, the Company has recorded its investment in NTL at its estimated fair value.</w:t>
      </w:r>
    </w:p>
    <w:p>
      <w:pPr>
        <w:spacing w:after="0" w:line="64"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Other. The Company's other equity investees include investments in cable communications and content providers. The Company does not consider these other equity method investments to be individually significant to its consolidated financial position, results of operations or liquidity.</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Method</w:t>
      </w:r>
    </w:p>
    <w:p>
      <w:pPr>
        <w:spacing w:after="0" w:line="30"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with an historical cost (including $1.999 billion of pre-tax gains recognized during 1998) of $2.714 billion and $2.555 billion as of September 30, 1999 and December 31, 1998, respectively. The Company has recorded these investments, which are classified as available for sale, at their estimated fair values of $7.711 billion and $4.170 billion as of September 30, 1999 and December 31, 1998, respectively. The unrealized pre-tax gains as of September 30, 1999 and December 31, 1998 of $4.997 billion and $1.615 billion, respectively, have been reported in the Company's condensed consolidated balance sheet as a component of accumulated other comprehensive income, net of related deferred income tax expense of $1.749 billion and $565.1 million, respectively.</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NTL Common Stock</w:t>
      </w:r>
    </w:p>
    <w:p>
      <w:pPr>
        <w:spacing w:after="0" w:line="30" w:lineRule="exact"/>
        <w:rPr>
          <w:sz w:val="20"/>
          <w:szCs w:val="20"/>
          <w:color w:val="auto"/>
        </w:rPr>
      </w:pPr>
    </w:p>
    <w:p>
      <w:pPr>
        <w:jc w:val="both"/>
        <w:ind w:right="3079"/>
        <w:spacing w:after="0" w:line="250" w:lineRule="auto"/>
        <w:rPr>
          <w:sz w:val="20"/>
          <w:szCs w:val="20"/>
          <w:color w:val="auto"/>
        </w:rPr>
      </w:pPr>
      <w:r>
        <w:rPr>
          <w:rFonts w:ascii="Courier New" w:cs="Courier New" w:eastAsia="Courier New" w:hAnsi="Courier New"/>
          <w:sz w:val="15"/>
          <w:szCs w:val="15"/>
          <w:color w:val="auto"/>
        </w:rPr>
        <w:t>During the three months ended September 30, 1999, the Company sold approximately 0.9 million shares of NTL common stock for total proceeds of $89.8 million and recognized a pre-tax gain of $50.1 million. Such gain is included in investment income in the Company's condensed consolidated statement of operations and accumulated deficit for the nine and three months ended September 30, 1999. In October and November 1999, the Company sold all of its remaining 4.9 million shares (as adjusted for NTL's 5-for-4 stock split in October 1999) of NTL common stock for total proceeds of $408.5 million. The Company expects to recognize a pre-tax gain of approximately $234.1 million on the October and November 1999 sales of NTL common stock.</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Acquisition of TCI</w:t>
      </w:r>
    </w:p>
    <w:p>
      <w:pPr>
        <w:spacing w:after="0" w:line="30" w:lineRule="exact"/>
        <w:rPr>
          <w:sz w:val="20"/>
          <w:szCs w:val="20"/>
          <w:color w:val="auto"/>
        </w:rPr>
      </w:pPr>
    </w:p>
    <w:p>
      <w:pPr>
        <w:jc w:val="both"/>
        <w:ind w:right="3079"/>
        <w:spacing w:after="0" w:line="247" w:lineRule="auto"/>
        <w:rPr>
          <w:sz w:val="20"/>
          <w:szCs w:val="20"/>
          <w:color w:val="auto"/>
        </w:rPr>
      </w:pPr>
      <w:r>
        <w:rPr>
          <w:rFonts w:ascii="Courier New" w:cs="Courier New" w:eastAsia="Courier New" w:hAnsi="Courier New"/>
          <w:sz w:val="15"/>
          <w:szCs w:val="15"/>
          <w:color w:val="auto"/>
        </w:rPr>
        <w:t>In March 1999, AT&amp;T merged with Tele-Communications, Inc. ("TCI") with AT&amp;T as the surviving corporation (the "AT&amp;T/TCI Merger"). Upon closing of the AT&amp;T/TCI Merger, the Company received approximately 3.6 million shares (as adjusted for AT&amp;T's 3-for-2 stock split in April 1999) of AT&amp;T common stock in exchange for the approximately 3.1 million shares of TCI Class A Common Stock held by the Company and the Company received approximately 3.6 million shares of Class A Liberty Media Group ("New Liberty") Tracking Shares for the approximately 2.3 million shares of TCI Ventures Group, Inc. ("TCI Ventures") common stock and the approximately 2.4 million shares of Liberty Media Group ("Old Liberty") Class A Common Stock held by the Company. As a result of the exchange, the Company recognized a pre-tax gain of $187.6 million during the nine months ended September 30, 1999, representing the difference between the fair value of the stock received and the Company's basis in TCI and TCI Ventures. Such gain is included in investment income in the Company's condensed consolidated statement of operations and accumulated deficit for the nine months ended September 30, 1999.</w:t>
      </w:r>
    </w:p>
    <w:p>
      <w:pPr>
        <w:spacing w:after="0" w:line="95" w:lineRule="exact"/>
        <w:rPr>
          <w:sz w:val="20"/>
          <w:szCs w:val="20"/>
          <w:color w:val="auto"/>
        </w:rPr>
      </w:pPr>
    </w:p>
    <w:p>
      <w:pPr>
        <w:jc w:val="both"/>
        <w:ind w:right="3079"/>
        <w:spacing w:after="0" w:line="259" w:lineRule="auto"/>
        <w:rPr>
          <w:sz w:val="20"/>
          <w:szCs w:val="20"/>
          <w:color w:val="auto"/>
        </w:rPr>
      </w:pPr>
      <w:r>
        <w:rPr>
          <w:rFonts w:ascii="Courier New" w:cs="Courier New" w:eastAsia="Courier New" w:hAnsi="Courier New"/>
          <w:sz w:val="15"/>
          <w:szCs w:val="15"/>
          <w:color w:val="auto"/>
        </w:rPr>
        <w:t>In March 1998, the Company sold call options relating to its unrestricted equity investments in TCI, TCI Ventures and Old Liberty common stock (together, the "TCI Stock") for $20.7 million. Such call options expire between March and November 1999. During the nine and three months ended September 30, 1999 and 1998, the Company recorded investment (expense) income of ($93.0) million, ($32.1) million, $7.8 million and $8.1 million, respectively, related to changes in the value of the call options and settlement of the TCI and TCI Ventures call options.</w:t>
      </w:r>
    </w:p>
    <w:p>
      <w:pPr>
        <w:spacing w:after="0" w:line="81"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435" w:right="1440" w:bottom="1440" w:gutter="0" w:footer="0" w:header="0"/>
        </w:sectPr>
      </w:pPr>
    </w:p>
    <w:bookmarkStart w:id="12" w:name="page13"/>
    <w:bookmarkEnd w:id="12"/>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Impairment Losses</w:t>
      </w:r>
    </w:p>
    <w:p>
      <w:pPr>
        <w:spacing w:after="0" w:line="30" w:lineRule="exact"/>
        <w:rPr>
          <w:sz w:val="20"/>
          <w:szCs w:val="20"/>
          <w:color w:val="auto"/>
        </w:rPr>
      </w:pPr>
    </w:p>
    <w:p>
      <w:pPr>
        <w:jc w:val="both"/>
        <w:ind w:left="448" w:right="3079"/>
        <w:spacing w:after="0" w:line="253" w:lineRule="auto"/>
        <w:rPr>
          <w:sz w:val="20"/>
          <w:szCs w:val="20"/>
          <w:color w:val="auto"/>
        </w:rPr>
      </w:pPr>
      <w:r>
        <w:rPr>
          <w:rFonts w:ascii="Courier New" w:cs="Courier New" w:eastAsia="Courier New" w:hAnsi="Courier New"/>
          <w:sz w:val="15"/>
          <w:szCs w:val="15"/>
          <w:color w:val="auto"/>
        </w:rPr>
        <w:t>During the nine months ended September 30, 1999, the Company recorded pre-tax losses of $35.5 million on certain of its investments based on a decline in value that was considered other than temporary. During the nine and three months ended September 30, 1998, the Company recorded pre-tax losses of $91.2 million on certain of its investments based on a decline in value that was considered other than temporary. Such losses are included in investment income in the Company's condensed consolidated statement of operations and accumulated deficit.</w:t>
      </w:r>
    </w:p>
    <w:p>
      <w:pPr>
        <w:spacing w:after="0" w:line="87"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ZONES</w:t>
      </w:r>
    </w:p>
    <w:p>
      <w:pPr>
        <w:spacing w:after="0" w:line="30" w:lineRule="exact"/>
        <w:rPr>
          <w:rFonts w:ascii="Courier New" w:cs="Courier New" w:eastAsia="Courier New" w:hAnsi="Courier New"/>
          <w:sz w:val="15"/>
          <w:szCs w:val="15"/>
          <w:color w:val="auto"/>
        </w:rPr>
      </w:pPr>
    </w:p>
    <w:p>
      <w:pPr>
        <w:jc w:val="both"/>
        <w:ind w:left="448"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the Company issued approximately 8.1 million 2.0% Exchangeable Subordinated Debentures due 2029 (the "ZONES II") for gross proceeds of $657.1 million. In October 1999, the Company issued approximately 16.1 million 2.0% Exchangeable Subordinated Debentures due 2029 for gross proceeds of $1.15 billion (the "ZONES I", and together with the ZONES II, the "ZONES") resulting in combined proceeds of $1.807 billion. The ZONES II mature on November 15, 2029.The ZONES I mature on October 15, 2029. At maturity, holders of the ZONES are entitled to receive in cash an amount equal to the higher of (a) the principal amount of the ZONES, or (b) the market value of Sprint PCS stock. Prior to maturity, each ZONES is exchangeable at the holders option for an amount of cash equal to 95% of the market value of Sprint PCS stock.</w:t>
      </w:r>
    </w:p>
    <w:p>
      <w:pPr>
        <w:spacing w:after="0" w:line="92" w:lineRule="exact"/>
        <w:rPr>
          <w:rFonts w:ascii="Courier New" w:cs="Courier New" w:eastAsia="Courier New" w:hAnsi="Courier New"/>
          <w:sz w:val="15"/>
          <w:szCs w:val="15"/>
          <w:color w:val="auto"/>
        </w:rPr>
      </w:pPr>
    </w:p>
    <w:p>
      <w:pPr>
        <w:jc w:val="both"/>
        <w:ind w:left="448" w:right="307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Prior to maturity, the Company may redeem all of the ZONES for cash at the higher of the original principal amount of ZONES or the then current market value of the Sprint PCS stock, plus, in either case, a per ZONES premium of</w:t>
      </w:r>
    </w:p>
    <w:p>
      <w:pPr>
        <w:jc w:val="both"/>
        <w:ind w:left="448" w:right="3079" w:hanging="1"/>
        <w:spacing w:after="0" w:line="262" w:lineRule="auto"/>
        <w:tabs>
          <w:tab w:leader="none" w:pos="80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if redeemed prior to the first anniversary of the ZONES issuance date, (b) 3.0% if redeemed prior to the second anniversary of the ZONES issuance date, (c) 1.5% if redeemed prior to the third anniversary of the ZONES issuance date, or (d) zero if redeemed on or after the third anniversary of the ZONES issuance date.</w:t>
      </w:r>
    </w:p>
    <w:p>
      <w:pPr>
        <w:spacing w:after="0" w:line="77" w:lineRule="exact"/>
        <w:rPr>
          <w:sz w:val="20"/>
          <w:szCs w:val="20"/>
          <w:color w:val="auto"/>
        </w:rPr>
      </w:pPr>
    </w:p>
    <w:p>
      <w:pPr>
        <w:jc w:val="both"/>
        <w:ind w:left="448" w:right="3079"/>
        <w:spacing w:after="0" w:line="266" w:lineRule="auto"/>
        <w:rPr>
          <w:sz w:val="20"/>
          <w:szCs w:val="20"/>
          <w:color w:val="auto"/>
        </w:rPr>
      </w:pPr>
      <w:r>
        <w:rPr>
          <w:rFonts w:ascii="Courier New" w:cs="Courier New" w:eastAsia="Courier New" w:hAnsi="Courier New"/>
          <w:sz w:val="15"/>
          <w:szCs w:val="15"/>
          <w:color w:val="auto"/>
        </w:rPr>
        <w:t>Interest on the ZONES is payable quarterly (subject to deferral at the Company's option) equal to 2.0% per year of the original principal amount, plus the amount of the quarterly cash dividend paid on a share of Sprint PCS stock. The principal amount of the ZONES will be adjusted if Sprint PCS changes the dividend paid on its stock or if there are special distributions on or in respect of the Sprint PCS stock.</w:t>
      </w:r>
    </w:p>
    <w:p>
      <w:pPr>
        <w:spacing w:after="0" w:line="74" w:lineRule="exact"/>
        <w:rPr>
          <w:sz w:val="20"/>
          <w:szCs w:val="20"/>
          <w:color w:val="auto"/>
        </w:rPr>
      </w:pPr>
    </w:p>
    <w:p>
      <w:pPr>
        <w:jc w:val="both"/>
        <w:ind w:left="448" w:right="3079"/>
        <w:spacing w:after="0" w:line="301" w:lineRule="auto"/>
        <w:rPr>
          <w:sz w:val="20"/>
          <w:szCs w:val="20"/>
          <w:color w:val="auto"/>
        </w:rPr>
      </w:pPr>
      <w:r>
        <w:rPr>
          <w:rFonts w:ascii="Courier New" w:cs="Courier New" w:eastAsia="Courier New" w:hAnsi="Courier New"/>
          <w:sz w:val="15"/>
          <w:szCs w:val="15"/>
          <w:color w:val="auto"/>
        </w:rPr>
        <w:t>The ZONES are unsecured, subordinated obligations ranking equally with all of the Company's existing and future subordinated debt and trade obligations.</w:t>
      </w:r>
    </w:p>
    <w:p>
      <w:pPr>
        <w:spacing w:after="0" w:line="49" w:lineRule="exact"/>
        <w:rPr>
          <w:sz w:val="20"/>
          <w:szCs w:val="20"/>
          <w:color w:val="auto"/>
        </w:rPr>
      </w:pPr>
    </w:p>
    <w:p>
      <w:pPr>
        <w:jc w:val="both"/>
        <w:ind w:left="448" w:right="3079"/>
        <w:spacing w:after="0" w:line="272" w:lineRule="auto"/>
        <w:rPr>
          <w:sz w:val="20"/>
          <w:szCs w:val="20"/>
          <w:color w:val="auto"/>
        </w:rPr>
      </w:pPr>
      <w:r>
        <w:rPr>
          <w:rFonts w:ascii="Courier New" w:cs="Courier New" w:eastAsia="Courier New" w:hAnsi="Courier New"/>
          <w:sz w:val="15"/>
          <w:szCs w:val="15"/>
          <w:color w:val="auto"/>
        </w:rPr>
        <w:t>The ZONES are being accounted for as an indexed debt instrument since the maturity value is dependent upon the fair value of Sprint PCS stock. The Company's investment in Sprint PCS is accounted for as an "available for sale" security under SFAS No. 115, with changes in fair value being reflected in accumulated other comprehensive income (see Note 4).</w:t>
      </w:r>
    </w:p>
    <w:p>
      <w:pPr>
        <w:spacing w:after="0" w:line="6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PHONES</w:t>
      </w:r>
    </w:p>
    <w:p>
      <w:pPr>
        <w:spacing w:after="0" w:line="30" w:lineRule="exact"/>
        <w:rPr>
          <w:sz w:val="20"/>
          <w:szCs w:val="20"/>
          <w:color w:val="auto"/>
        </w:rPr>
      </w:pPr>
    </w:p>
    <w:p>
      <w:pPr>
        <w:jc w:val="both"/>
        <w:ind w:left="448" w:right="3079"/>
        <w:spacing w:after="0" w:line="285" w:lineRule="auto"/>
        <w:rPr>
          <w:sz w:val="20"/>
          <w:szCs w:val="20"/>
          <w:color w:val="auto"/>
        </w:rPr>
      </w:pPr>
      <w:r>
        <w:rPr>
          <w:rFonts w:ascii="Courier New" w:cs="Courier New" w:eastAsia="Courier New" w:hAnsi="Courier New"/>
          <w:sz w:val="14"/>
          <w:szCs w:val="14"/>
          <w:color w:val="auto"/>
        </w:rPr>
        <w:t>In March 1999, the Company issued 8.7 million 3.35% Exchangeable Extendable Subordinated Debentures due 2029 (the "PHONES") for gross proceeds of $718.3 million. At maturity, holders of the PHONES were entitled to receive in cash an amount equal to the higher of (a) the principal amount of the PHONES, or (b) the market value of AT&amp;T common stock.</w:t>
      </w:r>
    </w:p>
    <w:p>
      <w:pPr>
        <w:spacing w:after="0" w:line="62" w:lineRule="exact"/>
        <w:rPr>
          <w:sz w:val="20"/>
          <w:szCs w:val="20"/>
          <w:color w:val="auto"/>
        </w:rPr>
      </w:pPr>
    </w:p>
    <w:p>
      <w:pPr>
        <w:jc w:val="both"/>
        <w:ind w:left="448" w:right="3079"/>
        <w:spacing w:after="0" w:line="257" w:lineRule="auto"/>
        <w:rPr>
          <w:sz w:val="20"/>
          <w:szCs w:val="20"/>
          <w:color w:val="auto"/>
        </w:rPr>
      </w:pPr>
      <w:r>
        <w:rPr>
          <w:rFonts w:ascii="Courier New" w:cs="Courier New" w:eastAsia="Courier New" w:hAnsi="Courier New"/>
          <w:sz w:val="15"/>
          <w:szCs w:val="15"/>
          <w:color w:val="auto"/>
        </w:rPr>
        <w:t>In July 1999, the Company redeemed all $718.3 million principal amount of the PHONES. The Company redeemed the PHONES due to its transaction with AT&amp;T in which it intends to use AT&amp;T shares as consideration for the purchase of cable systems from AT&amp;T in accordance with the AT&amp;T Agreement (see Note 3). In connection with the PHONES redemption, the Company incurred debt extinguishment costs of $32.3 million and wrote-off unamortized debt acquisition costs of $14.9 million, resulting in an extraordinary loss, net of tax, of $30.7 million during the nine and three months ended September 30, 1999.</w:t>
      </w:r>
    </w:p>
    <w:p>
      <w:pPr>
        <w:spacing w:after="0" w:line="8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435" w:right="1440" w:bottom="1440" w:gutter="0" w:footer="0" w:header="0"/>
        </w:sectPr>
      </w:pPr>
    </w:p>
    <w:bookmarkStart w:id="13" w:name="page14"/>
    <w:bookmarkEnd w:id="13"/>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Interest Rates</w:t>
      </w:r>
    </w:p>
    <w:p>
      <w:pPr>
        <w:spacing w:after="0" w:line="30" w:lineRule="exact"/>
        <w:rPr>
          <w:sz w:val="20"/>
          <w:szCs w:val="20"/>
          <w:color w:val="auto"/>
        </w:rPr>
      </w:pPr>
    </w:p>
    <w:p>
      <w:pPr>
        <w:jc w:val="both"/>
        <w:ind w:left="448" w:right="3079"/>
        <w:spacing w:after="0" w:line="281" w:lineRule="auto"/>
        <w:rPr>
          <w:sz w:val="20"/>
          <w:szCs w:val="20"/>
          <w:color w:val="auto"/>
        </w:rPr>
      </w:pPr>
      <w:r>
        <w:rPr>
          <w:rFonts w:ascii="Courier New" w:cs="Courier New" w:eastAsia="Courier New" w:hAnsi="Courier New"/>
          <w:sz w:val="15"/>
          <w:szCs w:val="15"/>
          <w:color w:val="auto"/>
        </w:rPr>
        <w:t>As of September 30, 1999 and December 31, 1998, the Company's effective weighted average interest rate on its long-term debt outstanding was 7.56% and 7.71%, respectively.</w:t>
      </w:r>
    </w:p>
    <w:p>
      <w:pPr>
        <w:spacing w:after="0" w:line="6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Lines of Credit</w:t>
      </w:r>
    </w:p>
    <w:p>
      <w:pPr>
        <w:spacing w:after="0" w:line="30" w:lineRule="exact"/>
        <w:rPr>
          <w:sz w:val="20"/>
          <w:szCs w:val="20"/>
          <w:color w:val="auto"/>
        </w:rPr>
      </w:pPr>
    </w:p>
    <w:p>
      <w:pPr>
        <w:jc w:val="both"/>
        <w:ind w:left="448" w:right="3079"/>
        <w:spacing w:after="0" w:line="268" w:lineRule="auto"/>
        <w:rPr>
          <w:sz w:val="20"/>
          <w:szCs w:val="20"/>
          <w:color w:val="auto"/>
        </w:rPr>
      </w:pPr>
      <w:r>
        <w:rPr>
          <w:rFonts w:ascii="Courier New" w:cs="Courier New" w:eastAsia="Courier New" w:hAnsi="Courier New"/>
          <w:sz w:val="15"/>
          <w:szCs w:val="15"/>
          <w:color w:val="auto"/>
        </w:rPr>
        <w:t>As of September 30, 1999, certain subsidiaries of the Company had unused lines of credit of $1.151 billion, $551.0 million of which is restricted by the covenants of the related debt agreements and to subsidiary general purposes and dividend declaration.</w:t>
      </w:r>
    </w:p>
    <w:p>
      <w:pPr>
        <w:spacing w:after="0" w:line="73" w:lineRule="exact"/>
        <w:rPr>
          <w:sz w:val="20"/>
          <w:szCs w:val="20"/>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Program</w:t>
      </w:r>
    </w:p>
    <w:p>
      <w:pPr>
        <w:spacing w:after="0" w:line="30" w:lineRule="exact"/>
        <w:rPr>
          <w:rFonts w:ascii="Courier New" w:cs="Courier New" w:eastAsia="Courier New" w:hAnsi="Courier New"/>
          <w:sz w:val="15"/>
          <w:szCs w:val="15"/>
          <w:color w:val="auto"/>
        </w:rPr>
      </w:pPr>
    </w:p>
    <w:p>
      <w:pPr>
        <w:jc w:val="both"/>
        <w:ind w:left="448" w:right="30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the Company announced that its board of directors had authorized a market repurchase program (the "Repurchase Program") pursuant to which the Company may purchase, in the open market or in private transactions up to $500.0 million of its outstanding common equity securities, subject to certain restrictions and market conditions. Based on the trade date for stock repurchases, during the nine and three months ended September 30, 1999 and 1998, the Company repurchased 1.0 million, 0.5 million, 0.6 million and 0.5 million shares, respectively, of its common stock pursuant to the Repurchase Program. As part of the Repurchase Program, in September 1998, the Company sold put options on 5.5 million shares of its Class A Special Common Stock. During the nine months ended September 30, 1999, put options covering all 5.5 million shares expired unexercised. Upon expiration, the Company reclassified $111.2 million, the amount it would have been obligated to pay to repurchase such shares had the put options been exercised, from common equity put options to additional capital in the Company's condensed consolidated balance sheet.</w:t>
      </w:r>
    </w:p>
    <w:p>
      <w:pPr>
        <w:spacing w:after="0" w:line="86"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 Exchange</w:t>
      </w:r>
    </w:p>
    <w:p>
      <w:pPr>
        <w:spacing w:after="0" w:line="30" w:lineRule="exact"/>
        <w:rPr>
          <w:rFonts w:ascii="Courier New" w:cs="Courier New" w:eastAsia="Courier New" w:hAnsi="Courier New"/>
          <w:sz w:val="15"/>
          <w:szCs w:val="15"/>
          <w:color w:val="auto"/>
        </w:rPr>
      </w:pPr>
    </w:p>
    <w:p>
      <w:pPr>
        <w:ind w:left="448" w:right="3079"/>
        <w:spacing w:after="0" w:line="2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months ended September 30, 1999, the Company issued approximately 3.5 million shares of its Class A Special Common Stock in exchange for approximately 3.7 million shares of its Class A Common Stock. The Class A Common Stock was subsequently retired.</w:t>
      </w:r>
    </w:p>
    <w:p>
      <w:pPr>
        <w:spacing w:after="0" w:line="7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 Conversion</w:t>
      </w:r>
    </w:p>
    <w:p>
      <w:pPr>
        <w:spacing w:after="0" w:line="30" w:lineRule="exact"/>
        <w:rPr>
          <w:rFonts w:ascii="Courier New" w:cs="Courier New" w:eastAsia="Courier New" w:hAnsi="Courier New"/>
          <w:sz w:val="15"/>
          <w:szCs w:val="15"/>
          <w:color w:val="auto"/>
        </w:rPr>
      </w:pPr>
    </w:p>
    <w:p>
      <w:pPr>
        <w:jc w:val="both"/>
        <w:ind w:left="448" w:right="3079"/>
        <w:spacing w:after="0" w:line="28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the Company exercised its right to convert all 6,370 shares of its Series A Preferred Stock into approximately 2.7 million shares of its Class A Special Common Stock.</w:t>
      </w:r>
    </w:p>
    <w:p>
      <w:pPr>
        <w:spacing w:after="0" w:line="6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30" w:lineRule="exact"/>
        <w:rPr>
          <w:rFonts w:ascii="Courier New" w:cs="Courier New" w:eastAsia="Courier New" w:hAnsi="Courier New"/>
          <w:sz w:val="15"/>
          <w:szCs w:val="15"/>
          <w:color w:val="auto"/>
        </w:rPr>
      </w:pPr>
    </w:p>
    <w:p>
      <w:pPr>
        <w:jc w:val="both"/>
        <w:ind w:left="44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comprehensive income for the nine and three months ended September 30, 1999 and 1998 was $3.436 billion, $749.5 million, $862.8 million and $760.0 million, respectively. Total comprehensive income includes net income, unrealized gains on marketable securities and foreign currency translation gains (losses) for the periods presented.</w:t>
      </w:r>
    </w:p>
    <w:p>
      <w:pPr>
        <w:spacing w:after="0" w:line="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jc w:val="both"/>
        <w:ind w:left="448" w:right="307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$349.5 million, $274.8 million, $94.3 million and $67.4 million during the nine and three months ended September 30, 1999 and 1998, respectively.</w:t>
      </w:r>
    </w:p>
    <w:p>
      <w:pPr>
        <w:spacing w:after="0" w:line="48" w:lineRule="exact"/>
        <w:rPr>
          <w:rFonts w:ascii="Courier New" w:cs="Courier New" w:eastAsia="Courier New" w:hAnsi="Courier New"/>
          <w:sz w:val="15"/>
          <w:szCs w:val="15"/>
          <w:color w:val="auto"/>
        </w:rPr>
      </w:pPr>
    </w:p>
    <w:p>
      <w:pPr>
        <w:jc w:val="both"/>
        <w:ind w:left="448" w:right="307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$143.7 million, $104.0 million, $31.2 million and $31.0 million during the nine and three months ended September 30, 1999 and 1998, respectively.</w:t>
      </w:r>
    </w:p>
    <w:p>
      <w:pPr>
        <w:spacing w:after="0" w:line="48"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rFonts w:ascii="Courier New" w:cs="Courier New" w:eastAsia="Courier New" w:hAnsi="Courier New"/>
          <w:sz w:val="15"/>
          <w:szCs w:val="15"/>
          <w:color w:val="auto"/>
        </w:rPr>
      </w:pPr>
    </w:p>
    <w:p>
      <w:pPr>
        <w:jc w:val="both"/>
        <w:ind w:left="448" w:right="307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6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35" w:right="1440" w:bottom="1440" w:gutter="0" w:footer="0" w:header="0"/>
        </w:sectPr>
      </w:pPr>
    </w:p>
    <w:bookmarkStart w:id="14" w:name="page15"/>
    <w:bookmarkEnd w:id="14"/>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ind w:left="448" w:right="6739" w:hanging="448"/>
        <w:spacing w:after="0" w:line="359"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 (Dollars in millions)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00" w:type="dxa"/>
            <w:vAlign w:val="bottom"/>
            <w:vMerge w:val="restart"/>
          </w:tcPr>
          <w:p>
            <w:pPr>
              <w:jc w:val="right"/>
              <w:ind w:right="345"/>
              <w:spacing w:after="0"/>
              <w:rPr>
                <w:sz w:val="20"/>
                <w:szCs w:val="20"/>
                <w:color w:val="auto"/>
              </w:rPr>
            </w:pPr>
            <w:r>
              <w:rPr>
                <w:rFonts w:ascii="Courier New" w:cs="Courier New" w:eastAsia="Courier New" w:hAnsi="Courier New"/>
                <w:sz w:val="15"/>
                <w:szCs w:val="15"/>
                <w:color w:val="auto"/>
              </w:rPr>
              <w:t>Cable</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Electronic</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Corporate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and</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6"/>
              </w:rPr>
              <w:t>Communications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Retailing</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Other (1)</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Nine Months Ended September 30, 1999</w:t>
            </w:r>
          </w:p>
        </w:tc>
        <w:tc>
          <w:tcPr>
            <w:tcW w:w="13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$2,127.1</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$1,959.2</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$291.3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$4,377.6</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5"/>
                <w:szCs w:val="5"/>
                <w:color w:val="auto"/>
                <w:w w:val="75"/>
              </w:rPr>
              <w:t>Revenues, net.....................................................</w:t>
            </w:r>
          </w:p>
        </w:tc>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depreciation and amortization (2)</w:t>
            </w: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vMerge w:val="continue"/>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980.7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1,346.3</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722.6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858.9</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(loss)...........................................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258.1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487.4</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254.7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392.8</w:t>
            </w:r>
          </w:p>
        </w:tc>
        <w:tc>
          <w:tcPr>
            <w:tcW w:w="0" w:type="dxa"/>
            <w:vAlign w:val="bottom"/>
          </w:tcPr>
          <w:p>
            <w:pPr>
              <w:spacing w:after="0"/>
              <w:rPr>
                <w:sz w:val="1"/>
                <w:szCs w:val="1"/>
                <w:color w:val="auto"/>
              </w:rPr>
            </w:pPr>
          </w:p>
        </w:tc>
      </w:tr>
      <w:tr>
        <w:trPr>
          <w:trHeight w:val="25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474.4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545.3</w:t>
            </w:r>
          </w:p>
        </w:tc>
        <w:tc>
          <w:tcPr>
            <w:tcW w:w="0" w:type="dxa"/>
            <w:vAlign w:val="bottom"/>
          </w:tcPr>
          <w:p>
            <w:pPr>
              <w:spacing w:after="0"/>
              <w:rPr>
                <w:sz w:val="1"/>
                <w:szCs w:val="1"/>
                <w:color w:val="auto"/>
              </w:rPr>
            </w:pPr>
          </w:p>
        </w:tc>
      </w:tr>
      <w:tr>
        <w:trPr>
          <w:trHeight w:val="264"/>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September 30, 1999</w:t>
            </w:r>
          </w:p>
        </w:tc>
        <w:tc>
          <w:tcPr>
            <w:tcW w:w="13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$773.5</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$677.1</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$74.5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$1,525.1</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5"/>
                <w:szCs w:val="5"/>
                <w:color w:val="auto"/>
                <w:w w:val="75"/>
              </w:rPr>
              <w:t>Revenues, net.....................................................</w:t>
            </w:r>
          </w:p>
        </w:tc>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depreciation and amortization (2)</w:t>
            </w: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vMerge w:val="continue"/>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356.8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463.9</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267.9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312.7</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(loss)...........................................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88.9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151.2</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138.1</w:t>
            </w:r>
          </w:p>
        </w:tc>
        <w:tc>
          <w:tcPr>
            <w:tcW w:w="0" w:type="dxa"/>
            <w:vAlign w:val="bottom"/>
          </w:tcPr>
          <w:p>
            <w:pPr>
              <w:spacing w:after="0"/>
              <w:rPr>
                <w:sz w:val="1"/>
                <w:szCs w:val="1"/>
                <w:color w:val="auto"/>
              </w:rPr>
            </w:pPr>
          </w:p>
        </w:tc>
      </w:tr>
      <w:tr>
        <w:trPr>
          <w:trHeight w:val="25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184.4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218.9</w:t>
            </w:r>
          </w:p>
        </w:tc>
        <w:tc>
          <w:tcPr>
            <w:tcW w:w="0" w:type="dxa"/>
            <w:vAlign w:val="bottom"/>
          </w:tcPr>
          <w:p>
            <w:pPr>
              <w:spacing w:after="0"/>
              <w:rPr>
                <w:sz w:val="1"/>
                <w:szCs w:val="1"/>
                <w:color w:val="auto"/>
              </w:rPr>
            </w:pPr>
          </w:p>
        </w:tc>
      </w:tr>
      <w:tr>
        <w:trPr>
          <w:trHeight w:val="264"/>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As of September 30, 1999</w:t>
            </w:r>
          </w:p>
        </w:tc>
        <w:tc>
          <w:tcPr>
            <w:tcW w:w="13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$9,573.1</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$2,276.7</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$10,415.1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$22,264.9</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Assets............................................................</w:t>
            </w: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Long-term debt, less current portion..............................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5,060.9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501.8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1,215.3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6,778.0</w:t>
            </w:r>
          </w:p>
        </w:tc>
        <w:tc>
          <w:tcPr>
            <w:tcW w:w="0" w:type="dxa"/>
            <w:vAlign w:val="bottom"/>
          </w:tcPr>
          <w:p>
            <w:pPr>
              <w:spacing w:after="0"/>
              <w:rPr>
                <w:sz w:val="1"/>
                <w:szCs w:val="1"/>
                <w:color w:val="auto"/>
              </w:rPr>
            </w:pPr>
          </w:p>
        </w:tc>
      </w:tr>
      <w:tr>
        <w:trPr>
          <w:trHeight w:val="264"/>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Nine Months Ended September 30, 1998</w:t>
            </w:r>
          </w:p>
        </w:tc>
        <w:tc>
          <w:tcPr>
            <w:tcW w:w="13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$1,681.2</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$1,648.5</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$368.6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$3,698.3</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5"/>
                <w:szCs w:val="5"/>
                <w:color w:val="auto"/>
                <w:w w:val="75"/>
              </w:rPr>
              <w:t>Revenues, net.....................................................</w:t>
            </w:r>
          </w:p>
        </w:tc>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depreciation and amortization (2)</w:t>
            </w: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vMerge w:val="continue"/>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802.5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1,075.2</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495.1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708.9</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(loss)...........................................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307.4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366.3</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354.9</w:t>
            </w:r>
          </w:p>
        </w:tc>
        <w:tc>
          <w:tcPr>
            <w:tcW w:w="0" w:type="dxa"/>
            <w:vAlign w:val="bottom"/>
          </w:tcPr>
          <w:p>
            <w:pPr>
              <w:spacing w:after="0"/>
              <w:rPr>
                <w:sz w:val="1"/>
                <w:szCs w:val="1"/>
                <w:color w:val="auto"/>
              </w:rPr>
            </w:pPr>
          </w:p>
        </w:tc>
      </w:tr>
      <w:tr>
        <w:trPr>
          <w:trHeight w:val="25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488.2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643.1</w:t>
            </w:r>
          </w:p>
        </w:tc>
        <w:tc>
          <w:tcPr>
            <w:tcW w:w="0" w:type="dxa"/>
            <w:vAlign w:val="bottom"/>
          </w:tcPr>
          <w:p>
            <w:pPr>
              <w:spacing w:after="0"/>
              <w:rPr>
                <w:sz w:val="1"/>
                <w:szCs w:val="1"/>
                <w:color w:val="auto"/>
              </w:rPr>
            </w:pPr>
          </w:p>
        </w:tc>
      </w:tr>
      <w:tr>
        <w:trPr>
          <w:trHeight w:val="264"/>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September 30, 1998</w:t>
            </w:r>
          </w:p>
        </w:tc>
        <w:tc>
          <w:tcPr>
            <w:tcW w:w="13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$571.7</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$573.9</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$92.6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$1,238.2</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5"/>
                <w:szCs w:val="5"/>
                <w:color w:val="auto"/>
                <w:w w:val="75"/>
              </w:rPr>
              <w:t>Revenues, net.....................................................</w:t>
            </w:r>
          </w:p>
        </w:tc>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(loss) before depreciation and amortization (2)</w:t>
            </w:r>
          </w:p>
        </w:tc>
        <w:tc>
          <w:tcPr>
            <w:tcW w:w="1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vMerge w:val="continue"/>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171.5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(loss)...........................................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133.0</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117.7</w:t>
            </w:r>
          </w:p>
        </w:tc>
        <w:tc>
          <w:tcPr>
            <w:tcW w:w="0" w:type="dxa"/>
            <w:vAlign w:val="bottom"/>
          </w:tcPr>
          <w:p>
            <w:pPr>
              <w:spacing w:after="0"/>
              <w:rPr>
                <w:sz w:val="1"/>
                <w:szCs w:val="1"/>
                <w:color w:val="auto"/>
              </w:rPr>
            </w:pPr>
          </w:p>
        </w:tc>
      </w:tr>
      <w:tr>
        <w:trPr>
          <w:trHeight w:val="252"/>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w w:val="98"/>
              </w:rPr>
              <w:t>Capital expenditures..............................................</w:t>
            </w: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jc w:val="both"/>
        <w:ind w:left="448" w:right="3079" w:hanging="448"/>
        <w:spacing w:after="0" w:line="242" w:lineRule="auto"/>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Other includes certain other operating businesses, including Comcast-Spectacor, L.P., E! Entertainment Television, Inc., Comcast UK Cable (prior to October 29, 1998), the Company's DBS operations (prior to April 1, 1998) and elimination entries related to the segments presented. Corporate and other assets consist primarily of the Company's investments (see Note 4).</w:t>
      </w:r>
    </w:p>
    <w:p>
      <w:pPr>
        <w:spacing w:after="0" w:line="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(a) on page 15.</w:t>
      </w:r>
    </w:p>
    <w:p>
      <w:pPr>
        <w:spacing w:after="0" w:line="200" w:lineRule="exact"/>
        <w:rPr>
          <w:sz w:val="20"/>
          <w:szCs w:val="20"/>
          <w:color w:val="auto"/>
        </w:rPr>
      </w:pPr>
    </w:p>
    <w:p>
      <w:pPr>
        <w:spacing w:after="0" w:line="29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435" w:right="1440" w:bottom="1440" w:gutter="0" w:footer="0" w:header="0"/>
        </w:sectPr>
      </w:pPr>
    </w:p>
    <w:bookmarkStart w:id="15" w:name="page16"/>
    <w:bookmarkEnd w:id="15"/>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 CONCLUDED</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(Unaudited)</w:t>
      </w:r>
    </w:p>
    <w:p>
      <w:pPr>
        <w:spacing w:after="0" w:line="146" w:lineRule="exact"/>
        <w:rPr>
          <w:sz w:val="20"/>
          <w:szCs w:val="20"/>
          <w:color w:val="auto"/>
        </w:rPr>
      </w:pPr>
    </w:p>
    <w:p>
      <w:pPr>
        <w:jc w:val="both"/>
        <w:ind w:left="448" w:right="3079" w:hanging="448"/>
        <w:spacing w:after="0" w:line="250" w:lineRule="auto"/>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9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435" w:right="1440" w:bottom="1440" w:gutter="0" w:footer="0" w:header="0"/>
        </w:sectPr>
      </w:pPr>
    </w:p>
    <w:bookmarkStart w:id="16" w:name="page17"/>
    <w:bookmarkEnd w:id="16"/>
    <w:p>
      <w:pPr>
        <w:spacing w:after="0" w:line="8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146" w:lineRule="exact"/>
        <w:rPr>
          <w:sz w:val="20"/>
          <w:szCs w:val="20"/>
          <w:color w:val="auto"/>
        </w:rPr>
      </w:pPr>
    </w:p>
    <w:p>
      <w:pPr>
        <w:ind w:left="880" w:right="3699" w:hanging="893"/>
        <w:spacing w:after="0" w:line="359" w:lineRule="auto"/>
        <w:tabs>
          <w:tab w:leader="none" w:pos="86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60" w:type="dxa"/>
            <w:vAlign w:val="bottom"/>
          </w:tcPr>
          <w:p>
            <w:pPr>
              <w:spacing w:after="0"/>
              <w:rPr>
                <w:sz w:val="20"/>
                <w:szCs w:val="20"/>
                <w:color w:val="auto"/>
              </w:rPr>
            </w:pPr>
            <w:r>
              <w:rPr>
                <w:rFonts w:ascii="Courier New" w:cs="Courier New" w:eastAsia="Courier New" w:hAnsi="Courier New"/>
                <w:sz w:val="15"/>
                <w:szCs w:val="15"/>
                <w:color w:val="auto"/>
              </w:rPr>
              <w:t>Overview</w:t>
            </w: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4"/>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We have</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experienced</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significant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growth</w:t>
            </w: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recent  years  both  through</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strategic</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growth</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in  our</w:t>
            </w: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existing</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businesses.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We  have</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historically</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met our cash</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needs for</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operations</w:t>
            </w:r>
          </w:p>
        </w:tc>
        <w:tc>
          <w:tcPr>
            <w:tcW w:w="16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through  our cash</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flows from</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requirements</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w w:val="96"/>
              </w:rPr>
              <w:t>for</w:t>
            </w: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acquisitions  and  capital</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expenditures</w:t>
            </w:r>
          </w:p>
        </w:tc>
        <w:tc>
          <w:tcPr>
            <w:tcW w:w="398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have been provided  through our financing</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activities and sales of</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investments,</w:t>
            </w:r>
          </w:p>
        </w:tc>
        <w:tc>
          <w:tcPr>
            <w:tcW w:w="2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 well as our existing</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cash,</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6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equivalents  and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short-term</w:t>
            </w:r>
          </w:p>
        </w:tc>
      </w:tr>
      <w:tr>
        <w:trPr>
          <w:trHeight w:val="25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investments.</w:t>
            </w: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92"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In July 1999, we sold Comcast Cellular Corporation ("Comcast Cellular") to SBC Communications, Inc. for $361.1 million in cash and the assumption of $1.315 billion of Comcast Cellular debt. We recognized a gain in the third quarter of $355.9 million, net of income tax expense. The gain has been reflected as gain on disposal of discontinued operations in our condensed consolidated statement of operations and accumulated deficit.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4"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See Note 3 to our condensed consolidated financial statements included in Item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74" w:lineRule="exact"/>
        <w:rPr>
          <w:sz w:val="20"/>
          <w:szCs w:val="20"/>
          <w:color w:val="auto"/>
        </w:rPr>
      </w:pPr>
    </w:p>
    <w:p>
      <w:pPr>
        <w:jc w:val="both"/>
        <w:ind w:right="3079" w:firstLine="447"/>
        <w:spacing w:after="0" w:line="281" w:lineRule="auto"/>
        <w:rPr>
          <w:sz w:val="20"/>
          <w:szCs w:val="20"/>
          <w:color w:val="auto"/>
        </w:rPr>
      </w:pPr>
      <w:r>
        <w:rPr>
          <w:rFonts w:ascii="Courier New" w:cs="Courier New" w:eastAsia="Courier New" w:hAnsi="Courier New"/>
          <w:sz w:val="15"/>
          <w:szCs w:val="15"/>
          <w:color w:val="auto"/>
        </w:rPr>
        <w:t>We believe that we will be able to meet our current and long-term liquidity and capital requirements, including fixed charges, principally through our cash flows from operating activities, existing cash, cash equivalents and short-term investments.</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4" w:lineRule="exact"/>
        <w:rPr>
          <w:sz w:val="20"/>
          <w:szCs w:val="20"/>
          <w:color w:val="auto"/>
        </w:rPr>
      </w:pPr>
    </w:p>
    <w:p>
      <w:pPr>
        <w:jc w:val="both"/>
        <w:ind w:right="3079" w:firstLine="447"/>
        <w:spacing w:after="0" w:line="262" w:lineRule="auto"/>
        <w:rPr>
          <w:sz w:val="20"/>
          <w:szCs w:val="20"/>
          <w:color w:val="auto"/>
        </w:rPr>
      </w:pPr>
      <w:r>
        <w:rPr>
          <w:rFonts w:ascii="Courier New" w:cs="Courier New" w:eastAsia="Courier New" w:hAnsi="Courier New"/>
          <w:sz w:val="15"/>
          <w:szCs w:val="15"/>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September 30, 1999 were $6.236 billion. As of September 30, 1999, $409.6 million of our cash, cash equivalents and short-term investments is restricted to use by subsidiaries under contractual or other arrangements.</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See Notes 3 and 4 to our condensed consolidated financial statements included in Item 1.</w:t>
      </w:r>
    </w:p>
    <w:p>
      <w:pPr>
        <w:spacing w:after="0" w:line="8"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We do not have any significant contractual funding commitments with respect to any of our investments. However, to the extent we do not fund our investees' capital calls, we expose ourselves to dilution of our ownership interests. We continually evaluate our existing investments, as well as new investment opportunities.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74"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See Notes 5 and 6 to our condensed consolidated financial statements included in Item 1.</w:t>
      </w:r>
    </w:p>
    <w:p>
      <w:pPr>
        <w:spacing w:after="0" w:line="8"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As of September 30, 1999 and December 31, 1998, our long-term debt, including current portion, was $6.956 billion and $5.578 billion, respectively, of which 26.9% and 18.0%, respectively, was at variable rates.</w:t>
      </w:r>
    </w:p>
    <w:p>
      <w:pPr>
        <w:spacing w:after="0" w:line="49" w:lineRule="exact"/>
        <w:rPr>
          <w:sz w:val="20"/>
          <w:szCs w:val="20"/>
          <w:color w:val="auto"/>
        </w:rPr>
      </w:pPr>
    </w:p>
    <w:p>
      <w:pPr>
        <w:jc w:val="both"/>
        <w:ind w:right="3079" w:firstLine="447"/>
        <w:spacing w:after="0" w:line="281" w:lineRule="auto"/>
        <w:rPr>
          <w:sz w:val="20"/>
          <w:szCs w:val="20"/>
          <w:color w:val="auto"/>
        </w:rPr>
      </w:pPr>
      <w:r>
        <w:rPr>
          <w:rFonts w:ascii="Courier New" w:cs="Courier New" w:eastAsia="Courier New" w:hAnsi="Courier New"/>
          <w:sz w:val="15"/>
          <w:szCs w:val="15"/>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w:t>
      </w:r>
    </w:p>
    <w:p>
      <w:pPr>
        <w:spacing w:after="0" w:line="174" w:lineRule="exact"/>
        <w:rPr>
          <w:sz w:val="20"/>
          <w:szCs w:val="20"/>
          <w:color w:val="auto"/>
        </w:rPr>
      </w:pPr>
    </w:p>
    <w:p>
      <w:pPr>
        <w:jc w:val="both"/>
        <w:ind w:right="3079" w:firstLine="447"/>
        <w:spacing w:after="0" w:line="255" w:lineRule="auto"/>
        <w:rPr>
          <w:sz w:val="20"/>
          <w:szCs w:val="20"/>
          <w:color w:val="auto"/>
        </w:rPr>
      </w:pPr>
      <w:r>
        <w:rPr>
          <w:rFonts w:ascii="Courier New" w:cs="Courier New" w:eastAsia="Courier New" w:hAnsi="Courier New"/>
          <w:sz w:val="15"/>
          <w:szCs w:val="15"/>
          <w:color w:val="auto"/>
        </w:rPr>
        <w:t>In November 1999, we issued approximately 8.1 million 2.0% Exchangeable Subordinated Debentures due 2029 (the "ZONES II") for gross proceeds of $657.1 million. In October 1999, we issued approximately 16.1 million 2.0% Exchangeable Subordinated Debentures due 2029 for gross proceeds of approximately $1.15 billion (the "ZONES I", and together with the ZONES II, the "ZONES") for combined proceeds of $1.807 billion. At maturity, holders of the ZONES are entitled to receive in cash an amount equal to the higher of (a) the principal amount of the ZONES, or (b) the market value of Sprint PCS stock. The ZONES are being accounted for as an indexed debt instrument since the maturity value is dependent upon the fair value of Sprint PCS stock.</w:t>
      </w:r>
    </w:p>
    <w:p>
      <w:pPr>
        <w:spacing w:after="0" w:line="87"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During the nine months ended September 30, 1999, we entered into cashless collar agreements (the "Equity Collars") covering $1.365 billion notional amount of investment securities accounted for at fair value. The</w:t>
      </w:r>
    </w:p>
    <w:p>
      <w:pPr>
        <w:sectPr>
          <w:pgSz w:w="11900" w:h="16927" w:orient="portrait"/>
          <w:cols w:equalWidth="0" w:num="1">
            <w:col w:w="10219"/>
          </w:cols>
          <w:pgMar w:left="240" w:top="435" w:right="1440" w:bottom="0" w:gutter="0" w:footer="0" w:header="0"/>
        </w:sectPr>
      </w:pPr>
    </w:p>
    <w:bookmarkStart w:id="17" w:name="page18"/>
    <w:bookmarkEnd w:id="17"/>
    <w:p>
      <w:pPr>
        <w:ind w:left="22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285" w:right="1440" w:bottom="1440" w:gutter="0" w:footer="0" w:header="0"/>
        </w:sectPr>
      </w:pPr>
    </w:p>
    <w:bookmarkStart w:id="18" w:name="page19"/>
    <w:bookmarkEnd w:id="18"/>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jc w:val="both"/>
        <w:ind w:right="3079"/>
        <w:spacing w:after="0" w:line="262" w:lineRule="auto"/>
        <w:rPr>
          <w:sz w:val="20"/>
          <w:szCs w:val="20"/>
          <w:color w:val="auto"/>
        </w:rPr>
      </w:pPr>
      <w:r>
        <w:rPr>
          <w:rFonts w:ascii="Courier New" w:cs="Courier New" w:eastAsia="Courier New" w:hAnsi="Courier New"/>
          <w:sz w:val="15"/>
          <w:szCs w:val="15"/>
          <w:color w:val="auto"/>
        </w:rPr>
        <w:t>Equity Collars limit our exposure to and benefits from price fluctuations in the underlying equity securities. The Equity Collars mature between 2001 and 2003. As we account for the Equity Collars as a hedge, changes in the value of the Equity Collars are substantially offset by changes in the value of the underlying investment securities which are also marked-to-market through accumulated other comprehensive income in our condensed consolidated balance sheet.</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74" w:lineRule="exact"/>
        <w:rPr>
          <w:sz w:val="20"/>
          <w:szCs w:val="20"/>
          <w:color w:val="auto"/>
        </w:rPr>
      </w:pPr>
    </w:p>
    <w:p>
      <w:pPr>
        <w:jc w:val="both"/>
        <w:ind w:right="3079" w:firstLine="447"/>
        <w:spacing w:after="0" w:line="255" w:lineRule="auto"/>
        <w:rPr>
          <w:sz w:val="20"/>
          <w:szCs w:val="20"/>
          <w:color w:val="auto"/>
        </w:rPr>
      </w:pPr>
      <w:r>
        <w:rPr>
          <w:rFonts w:ascii="Courier New" w:cs="Courier New" w:eastAsia="Courier New" w:hAnsi="Courier New"/>
          <w:sz w:val="15"/>
          <w:szCs w:val="15"/>
          <w:color w:val="auto"/>
        </w:rPr>
        <w:t>During the nine months ended September 30, 1999, we have entered into interest rate exchange agreements ("Swaps") with an aggregate notional amount of $300.0 million and as part of our acquisition of a controlling interest in Jones Intercable, Inc. ("Jones Intercable") (see Note 3 to our condensed consolidated financial statements included in Item 1), we acquired Swaps with an aggregate notional amount of $400.0 million. Swaps with an aggregate notional amount of $350.0 million either were terminated or expired during the nine months ended September 30, 1999. As of September 30, 1999, we have Swaps with an aggregate notional amount of $1.412 billion having an average pay rate of 6.30% and an average receive rate of 5.71%.</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Readiness Disclosure</w:t>
      </w:r>
    </w:p>
    <w:p>
      <w:pPr>
        <w:spacing w:after="0" w:line="174" w:lineRule="exact"/>
        <w:rPr>
          <w:sz w:val="20"/>
          <w:szCs w:val="20"/>
          <w:color w:val="auto"/>
        </w:rPr>
      </w:pPr>
    </w:p>
    <w:p>
      <w:pPr>
        <w:jc w:val="both"/>
        <w:ind w:right="3079" w:firstLine="447"/>
        <w:spacing w:after="0" w:line="254" w:lineRule="auto"/>
        <w:rPr>
          <w:sz w:val="20"/>
          <w:szCs w:val="20"/>
          <w:color w:val="auto"/>
        </w:rPr>
      </w:pPr>
      <w:r>
        <w:rPr>
          <w:rFonts w:ascii="Courier New" w:cs="Courier New" w:eastAsia="Courier New" w:hAnsi="Courier New"/>
          <w:sz w:val="15"/>
          <w:szCs w:val="15"/>
          <w:color w:val="auto"/>
        </w:rPr>
        <w:t>The Year 2000 Issue is the result of computer programs being written using two digits rather than four to define the applicable year. Certain of our computer programs that have date-sensitive software may recognize a date using "00" as the year 1900 rather than the year 2000 (the "Year 2000 Issue"). If this situation occurs, the potential exists for computer system failure or miscalculations by computer programs, which could cause disruption of operations. We are in the process of evaluating and addressing the impact of the Year 2000 Issue on our operations to ensure that our information technology and business systems recognize calendar Year 2000. We are utilizing both internal and external resources in implementing our Year 2000 program, which consists of the following phases:</w:t>
      </w:r>
    </w:p>
    <w:p>
      <w:pPr>
        <w:spacing w:after="0" w:line="86"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Assessment Phase. Structured evaluation, including a detailed inventory outlining the impact that the Year 2000 Issue may have on current operations.</w:t>
      </w:r>
    </w:p>
    <w:p>
      <w:pPr>
        <w:spacing w:after="0" w:line="8"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Detailed Planning Phase. Establishment of priorities, development of specific action steps and allocation of resources to address the issues identified in the Assessment Phase.</w:t>
      </w:r>
    </w:p>
    <w:p>
      <w:pPr>
        <w:spacing w:after="0" w:line="49"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Conversion Phase. Implementation of the necessary system modifications as outlined in the Detailed Planning Phase.</w:t>
      </w:r>
    </w:p>
    <w:p>
      <w:pPr>
        <w:spacing w:after="0" w:line="8" w:lineRule="exact"/>
        <w:rPr>
          <w:sz w:val="20"/>
          <w:szCs w:val="20"/>
          <w:color w:val="auto"/>
        </w:rPr>
      </w:pPr>
    </w:p>
    <w:p>
      <w:pPr>
        <w:jc w:val="both"/>
        <w:ind w:right="3079" w:firstLine="447"/>
        <w:spacing w:after="0" w:line="281" w:lineRule="auto"/>
        <w:rPr>
          <w:sz w:val="20"/>
          <w:szCs w:val="20"/>
          <w:color w:val="auto"/>
        </w:rPr>
      </w:pPr>
      <w:r>
        <w:rPr>
          <w:rFonts w:ascii="Courier New" w:cs="Courier New" w:eastAsia="Courier New" w:hAnsi="Courier New"/>
          <w:sz w:val="15"/>
          <w:szCs w:val="15"/>
          <w:color w:val="auto"/>
        </w:rPr>
        <w:t>Testing Phase. Verification that the modifications implemented in the Conversion Phase will be successful in resolving the Year 2000 Issue so that all inventory items will function properly, both individually and on an integrated basis.</w:t>
      </w:r>
    </w:p>
    <w:p>
      <w:pPr>
        <w:spacing w:after="0" w:line="64"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Implementation Phase. Final roll-out of fully tested components into an operational unit.</w:t>
      </w:r>
    </w:p>
    <w:p>
      <w:pPr>
        <w:spacing w:after="0" w:line="8" w:lineRule="exact"/>
        <w:rPr>
          <w:sz w:val="20"/>
          <w:szCs w:val="20"/>
          <w:color w:val="auto"/>
        </w:rPr>
      </w:pPr>
    </w:p>
    <w:p>
      <w:pPr>
        <w:jc w:val="both"/>
        <w:ind w:right="3079" w:firstLine="447"/>
        <w:spacing w:after="0" w:line="262" w:lineRule="auto"/>
        <w:rPr>
          <w:sz w:val="20"/>
          <w:szCs w:val="20"/>
          <w:color w:val="auto"/>
        </w:rPr>
      </w:pPr>
      <w:r>
        <w:rPr>
          <w:rFonts w:ascii="Courier New" w:cs="Courier New" w:eastAsia="Courier New" w:hAnsi="Courier New"/>
          <w:sz w:val="15"/>
          <w:szCs w:val="15"/>
          <w:color w:val="auto"/>
        </w:rPr>
        <w:t>Based on an inventory conducted in 1997, we identified computer systems that required modification or replacement so that they will properly utilize dates beyond December 31, 1999. Many of our critical systems were new and were already Year 2000 compliant as a result of the recent rebuild of many of our cable communications systems. In addition, we have communicated with our significant software suppliers and service bureaus to determine their plans for remediating the Year 2000 Issue in their software which we use or rely upon.</w:t>
      </w:r>
    </w:p>
    <w:p>
      <w:pPr>
        <w:spacing w:after="0" w:line="78" w:lineRule="exact"/>
        <w:rPr>
          <w:sz w:val="20"/>
          <w:szCs w:val="20"/>
          <w:color w:val="auto"/>
        </w:rPr>
      </w:pPr>
    </w:p>
    <w:p>
      <w:pPr>
        <w:jc w:val="both"/>
        <w:ind w:right="3079" w:firstLine="447"/>
        <w:spacing w:after="0" w:line="262" w:lineRule="auto"/>
        <w:rPr>
          <w:sz w:val="20"/>
          <w:szCs w:val="20"/>
          <w:color w:val="auto"/>
        </w:rPr>
      </w:pPr>
      <w:r>
        <w:rPr>
          <w:rFonts w:ascii="Courier New" w:cs="Courier New" w:eastAsia="Courier New" w:hAnsi="Courier New"/>
          <w:sz w:val="15"/>
          <w:szCs w:val="15"/>
          <w:color w:val="auto"/>
        </w:rPr>
        <w:t>As of October 31, 1999, we are in the final stages of our Year 2000 program. We believe that all key systems are Year 2000 compliant. Other systems that required remediation are substantially complete. Further, contingency plans have been created for our key systems and operations. Additionally, in the majority of our operations, business continuity preparations are being implemented to create post-Year 2000 response teams to further mitigate Year 2000 risk.</w:t>
      </w:r>
    </w:p>
    <w:p>
      <w:pPr>
        <w:spacing w:after="0" w:line="78" w:lineRule="exact"/>
        <w:rPr>
          <w:sz w:val="20"/>
          <w:szCs w:val="20"/>
          <w:color w:val="auto"/>
        </w:rPr>
      </w:pPr>
    </w:p>
    <w:p>
      <w:pPr>
        <w:jc w:val="both"/>
        <w:ind w:right="3079" w:firstLine="447"/>
        <w:spacing w:after="0" w:line="257" w:lineRule="auto"/>
        <w:rPr>
          <w:sz w:val="20"/>
          <w:szCs w:val="20"/>
          <w:color w:val="auto"/>
        </w:rPr>
      </w:pPr>
      <w:r>
        <w:rPr>
          <w:rFonts w:ascii="Courier New" w:cs="Courier New" w:eastAsia="Courier New" w:hAnsi="Courier New"/>
          <w:sz w:val="15"/>
          <w:szCs w:val="15"/>
          <w:color w:val="auto"/>
        </w:rPr>
        <w:t>Through September 30, 1999, we have incurred approximately $13.5 million in connection with our Year 2000 remediation program. We estimate that we will incur between approximately $2.5 million to $8.5 million of additional expense through December 1999 in connection with our Year 2000 remediation program. Our estimate to complete the remediation plan includes the estimated time associated with mitigating the Year 2000 Issue for third party software. However, there can be no guarantee that the systems of other companies on which we rely will be converted on a timely basis, or that a failure to convert by another company would not have a material adverse effect on us.</w:t>
      </w:r>
    </w:p>
    <w:p>
      <w:pPr>
        <w:spacing w:after="0" w:line="83"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Our management will continue to periodically report the progress of our Year 2000 remediation program to the Audit Committee of our Board of Directors.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35" w:right="1440" w:bottom="704" w:gutter="0" w:footer="0" w:header="0"/>
        </w:sectPr>
      </w:pPr>
    </w:p>
    <w:bookmarkStart w:id="19" w:name="page20"/>
    <w:bookmarkEnd w:id="19"/>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jc w:val="both"/>
        <w:ind w:right="3079" w:firstLine="447"/>
        <w:spacing w:after="0" w:line="255" w:lineRule="auto"/>
        <w:rPr>
          <w:sz w:val="20"/>
          <w:szCs w:val="20"/>
          <w:color w:val="auto"/>
        </w:rPr>
      </w:pPr>
      <w:r>
        <w:rPr>
          <w:rFonts w:ascii="Courier New" w:cs="Courier New" w:eastAsia="Courier New" w:hAnsi="Courier New"/>
          <w:sz w:val="15"/>
          <w:szCs w:val="15"/>
          <w:color w:val="auto"/>
        </w:rPr>
        <w:t>The costs of the project and the date on which we plan to complete the Year 2000 modifications and replacements are based on our best estimates, which were derived using assumptions of future events including the continued availability of resources and the reliability of third party modification plans. However, there can be no guarantee that these estimates will be achieved and actual results could differ materially from those plans. Specific factors that may cause such material differences include, but are not limited to, the availability and cost of personnel with appropriate necessary skills and the ability to locate and correct all relevant computer code and similar uncertainties.</w:t>
      </w:r>
    </w:p>
    <w:p>
      <w:pPr>
        <w:spacing w:after="0" w:line="87"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We believe that with modifications to existing software and conversions to new software, the Year 2000 Issue can be mitigated. However, if such modifications and conversions are not made, or are not completed within an adequate time frame, the Year 2000 Issue could have a material adverse impact on our operations.</w:t>
      </w:r>
    </w:p>
    <w:p>
      <w:pPr>
        <w:spacing w:after="0" w:line="6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4" w:lineRule="exact"/>
        <w:rPr>
          <w:sz w:val="20"/>
          <w:szCs w:val="20"/>
          <w:color w:val="auto"/>
        </w:rPr>
      </w:pPr>
    </w:p>
    <w:p>
      <w:pPr>
        <w:jc w:val="both"/>
        <w:ind w:right="3079" w:firstLine="447"/>
        <w:spacing w:after="0" w:line="281" w:lineRule="auto"/>
        <w:rPr>
          <w:sz w:val="20"/>
          <w:szCs w:val="20"/>
          <w:color w:val="auto"/>
        </w:rPr>
      </w:pPr>
      <w:r>
        <w:rPr>
          <w:rFonts w:ascii="Courier New" w:cs="Courier New" w:eastAsia="Courier New" w:hAnsi="Courier New"/>
          <w:sz w:val="15"/>
          <w:szCs w:val="15"/>
          <w:color w:val="auto"/>
        </w:rPr>
        <w:t>Cash and cash equivalents increased $11.2 million as of September 30, 1999 from December 31, 1998. The increase in cash and cash equivalents resulted from cash flows from operating, financing and investing activities which are explained below.</w:t>
      </w:r>
    </w:p>
    <w:p>
      <w:pPr>
        <w:spacing w:after="0" w:line="64" w:lineRule="exact"/>
        <w:rPr>
          <w:sz w:val="20"/>
          <w:szCs w:val="20"/>
          <w:color w:val="auto"/>
        </w:rPr>
      </w:pPr>
    </w:p>
    <w:p>
      <w:pPr>
        <w:jc w:val="both"/>
        <w:ind w:right="3079" w:firstLine="447"/>
        <w:spacing w:after="0" w:line="280" w:lineRule="auto"/>
        <w:rPr>
          <w:sz w:val="20"/>
          <w:szCs w:val="20"/>
          <w:color w:val="auto"/>
        </w:rPr>
      </w:pPr>
      <w:r>
        <w:rPr>
          <w:rFonts w:ascii="Courier New" w:cs="Courier New" w:eastAsia="Courier New" w:hAnsi="Courier New"/>
          <w:sz w:val="14"/>
          <w:szCs w:val="14"/>
          <w:color w:val="auto"/>
        </w:rPr>
        <w:t>Net cash provided by operating activities from continuing operations amounted to $2.388 billion for the nine months ended September 30, 1999, due principally to the effects of the receipt of the $1.5 billion termination fee in May 1999 from MediaOne Group, Inc., our acquisition of a controlling interest in Jones Intercable in April 1999 (see Note 3 to our condensed consolidated financial statements included in Item 1), increases in our operating income before depreciation and amortization (see "Results of Operations") and changes in working capital as a result of the timing of receipts and disbursements.</w:t>
      </w:r>
    </w:p>
    <w:p>
      <w:pPr>
        <w:spacing w:after="0" w:line="68" w:lineRule="exact"/>
        <w:rPr>
          <w:sz w:val="20"/>
          <w:szCs w:val="20"/>
          <w:color w:val="auto"/>
        </w:rPr>
      </w:pPr>
    </w:p>
    <w:p>
      <w:pPr>
        <w:jc w:val="both"/>
        <w:ind w:right="3079" w:firstLine="447"/>
        <w:spacing w:after="0" w:line="252" w:lineRule="auto"/>
        <w:rPr>
          <w:sz w:val="20"/>
          <w:szCs w:val="20"/>
          <w:color w:val="auto"/>
        </w:rPr>
      </w:pPr>
      <w:r>
        <w:rPr>
          <w:rFonts w:ascii="Courier New" w:cs="Courier New" w:eastAsia="Courier New" w:hAnsi="Courier New"/>
          <w:sz w:val="15"/>
          <w:szCs w:val="15"/>
          <w:color w:val="auto"/>
        </w:rPr>
        <w:t>Net cash used in financing activities from continuing operations, which includes borrowings and repayments of debt, as well as the issuances and repurchases of our equity securities, was $216.2 million for the nine months ended September 30, 1999. During the nine months ended September 30, 1999, we borrowed $935.0 million, consisting primarily of $718.3 million of PHONES and $215.1 million under revolving lines of credit held by our subsidiaries. During the nine months ended September 30, 1999, we repaid $1.109 billion of our long-term debt, including $718.3 million of PHONES. In addition, during the nine months ended September 30, 1999, we had net repurchases of $15.4 million of our common stock and we paid cash dividends of $9.4 million on our common stock and Series A Preferred Stock. Deferred financing costs of $14.6 million were incurred during the nine months ended September 30, 1999 primarily in connection with the issuance of the PHONES.</w:t>
      </w:r>
    </w:p>
    <w:p>
      <w:pPr>
        <w:spacing w:after="0" w:line="89" w:lineRule="exact"/>
        <w:rPr>
          <w:sz w:val="20"/>
          <w:szCs w:val="20"/>
          <w:color w:val="auto"/>
        </w:rPr>
      </w:pPr>
    </w:p>
    <w:p>
      <w:pPr>
        <w:jc w:val="both"/>
        <w:ind w:right="3079" w:firstLine="447"/>
        <w:spacing w:after="0" w:line="255" w:lineRule="auto"/>
        <w:rPr>
          <w:sz w:val="20"/>
          <w:szCs w:val="20"/>
          <w:color w:val="auto"/>
        </w:rPr>
      </w:pPr>
      <w:r>
        <w:rPr>
          <w:rFonts w:ascii="Courier New" w:cs="Courier New" w:eastAsia="Courier New" w:hAnsi="Courier New"/>
          <w:sz w:val="15"/>
          <w:szCs w:val="15"/>
          <w:color w:val="auto"/>
        </w:rPr>
        <w:t>Net cash used in investing activities from continuing operations was $2.160 billion for the nine months ended September 30, 1999. Net cash used in investing activities includes acquisitions, net of cash acquired, of $755.2 million, consisting primarily of our acquisition of a controlling interest in Jones Intercable, investments of $272.2 million, a $733.5 million loan in the form of a 6% ten year convertible note we issued to Prime Communications LLC, capital expenditures of $545.3 million, additions to deferred charges of $155.8 million and net purchases of short-term investments of $206.2 million, offset by proceeds from sales of and distributions from investments of $146.7 million and the $361.1 million of proceeds from the sale of Comcast Cellular.</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35" w:right="1440" w:bottom="1440" w:gutter="0" w:footer="0" w:header="0"/>
        </w:sectPr>
      </w:pPr>
    </w:p>
    <w:bookmarkStart w:id="20" w:name="page21"/>
    <w:bookmarkEnd w:id="20"/>
    <w:p>
      <w:pPr>
        <w:jc w:val="center"/>
        <w:ind w:right="3071"/>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jc w:val="both"/>
        <w:ind w:left="8" w:right="3079" w:firstLine="447"/>
        <w:spacing w:after="0" w:line="301" w:lineRule="auto"/>
        <w:rPr>
          <w:sz w:val="20"/>
          <w:szCs w:val="20"/>
          <w:color w:val="auto"/>
        </w:rPr>
      </w:pPr>
      <w:r>
        <w:rPr>
          <w:rFonts w:ascii="Courier New" w:cs="Courier New" w:eastAsia="Courier New" w:hAnsi="Courier New"/>
          <w:sz w:val="15"/>
          <w:szCs w:val="15"/>
          <w:color w:val="auto"/>
        </w:rPr>
        <w:t>Our summarized consolidated financial information for the nine and three months ended September 30, 1999 and 1998 is as follows (dollars in millions, "NM" denotes percentage is not meaningful):</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2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Nine Months Ended</w:t>
            </w:r>
          </w:p>
        </w:tc>
        <w:tc>
          <w:tcPr>
            <w:tcW w:w="21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Increase / (Decrease)</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14"/>
                <w:szCs w:val="14"/>
                <w:color w:val="auto"/>
              </w:rPr>
            </w:pPr>
          </w:p>
        </w:tc>
        <w:tc>
          <w:tcPr>
            <w:tcW w:w="22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September 30,</w:t>
            </w: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1"/>
                <w:szCs w:val="21"/>
                <w:color w:val="auto"/>
              </w:rPr>
            </w:pP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$4,377.6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$3,698.3</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$679.3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1,625.5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before depreciation and amortization (1)</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1,346.3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271.1</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2"/>
        </w:trPr>
        <w:tc>
          <w:tcPr>
            <w:tcW w:w="5580" w:type="dxa"/>
            <w:vAlign w:val="bottom"/>
            <w:vMerge w:val="continue"/>
          </w:tcPr>
          <w:p>
            <w:pPr>
              <w:jc w:val="right"/>
              <w:ind w:right="65"/>
              <w:spacing w:after="0" w:line="152"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1,075.2</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344.8</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487.4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121.1</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33.1</w:t>
            </w:r>
          </w:p>
        </w:tc>
        <w:tc>
          <w:tcPr>
            <w:tcW w:w="0" w:type="dxa"/>
            <w:vAlign w:val="bottom"/>
          </w:tcPr>
          <w:p>
            <w:pPr>
              <w:spacing w:after="0"/>
              <w:rPr>
                <w:sz w:val="1"/>
                <w:szCs w:val="1"/>
                <w:color w:val="auto"/>
              </w:rPr>
            </w:pPr>
          </w:p>
        </w:tc>
      </w:tr>
      <w:tr>
        <w:trPr>
          <w:trHeight w:val="172"/>
        </w:trPr>
        <w:tc>
          <w:tcPr>
            <w:tcW w:w="5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366.3</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392.8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37.9</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2"/>
        </w:trPr>
        <w:tc>
          <w:tcPr>
            <w:tcW w:w="5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354.9</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(1,021.0)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(791.9)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(77.6)</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(346.3)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w:t>
            </w: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(1,433.6)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20" w:type="dxa"/>
            <w:vAlign w:val="bottom"/>
            <w:vMerge w:val="continue"/>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1,425.5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827.9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Minority interest income.....................................</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(59.0)</w:t>
            </w:r>
          </w:p>
        </w:tc>
        <w:tc>
          <w:tcPr>
            <w:tcW w:w="0" w:type="dxa"/>
            <w:vAlign w:val="bottom"/>
          </w:tcPr>
          <w:p>
            <w:pPr>
              <w:spacing w:after="0"/>
              <w:rPr>
                <w:sz w:val="1"/>
                <w:szCs w:val="1"/>
                <w:color w:val="auto"/>
              </w:rPr>
            </w:pPr>
          </w:p>
        </w:tc>
      </w:tr>
      <w:tr>
        <w:trPr>
          <w:trHeight w:val="25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580" w:type="dxa"/>
            <w:vAlign w:val="bottom"/>
            <w:vMerge w:val="continue"/>
          </w:tcPr>
          <w:p>
            <w:pPr>
              <w:spacing w:after="0"/>
              <w:rPr>
                <w:sz w:val="7"/>
                <w:szCs w:val="7"/>
                <w:color w:val="auto"/>
              </w:rPr>
            </w:pP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$948.5</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$574.7</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$373.8</w:t>
            </w:r>
          </w:p>
        </w:tc>
        <w:tc>
          <w:tcPr>
            <w:tcW w:w="10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65.0%</w:t>
            </w:r>
          </w:p>
        </w:tc>
        <w:tc>
          <w:tcPr>
            <w:tcW w:w="0" w:type="dxa"/>
            <w:vAlign w:val="bottom"/>
          </w:tcPr>
          <w:p>
            <w:pPr>
              <w:spacing w:after="0"/>
              <w:rPr>
                <w:sz w:val="1"/>
                <w:szCs w:val="1"/>
                <w:color w:val="auto"/>
              </w:rPr>
            </w:pP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extraordinary items.......................................</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1"/>
                <w:szCs w:val="21"/>
                <w:color w:val="auto"/>
              </w:rPr>
            </w:pP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5580" w:type="dxa"/>
            <w:vAlign w:val="bottom"/>
          </w:tcPr>
          <w:p>
            <w:pPr>
              <w:spacing w:after="0"/>
              <w:rPr>
                <w:sz w:val="24"/>
                <w:szCs w:val="24"/>
                <w:color w:val="auto"/>
              </w:rPr>
            </w:pP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c>
          <w:tcPr>
            <w:tcW w:w="21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Increase / (Decrease)</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14"/>
                <w:szCs w:val="14"/>
                <w:color w:val="auto"/>
              </w:rPr>
            </w:pPr>
          </w:p>
        </w:tc>
        <w:tc>
          <w:tcPr>
            <w:tcW w:w="22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September 30,</w:t>
            </w: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$1,525.1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$1,238.2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411.8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519.7</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before depreciation and amortization (1)</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463.9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24.3</w:t>
            </w:r>
          </w:p>
        </w:tc>
        <w:tc>
          <w:tcPr>
            <w:tcW w:w="0" w:type="dxa"/>
            <w:vAlign w:val="bottom"/>
          </w:tcPr>
          <w:p>
            <w:pPr>
              <w:spacing w:after="0"/>
              <w:rPr>
                <w:sz w:val="1"/>
                <w:szCs w:val="1"/>
                <w:color w:val="auto"/>
              </w:rPr>
            </w:pPr>
          </w:p>
        </w:tc>
      </w:tr>
      <w:tr>
        <w:trPr>
          <w:trHeight w:val="172"/>
        </w:trPr>
        <w:tc>
          <w:tcPr>
            <w:tcW w:w="5580" w:type="dxa"/>
            <w:vAlign w:val="bottom"/>
            <w:vMerge w:val="continue"/>
          </w:tcPr>
          <w:p>
            <w:pPr>
              <w:jc w:val="right"/>
              <w:ind w:right="65"/>
              <w:spacing w:after="0" w:line="152" w:lineRule="exact"/>
              <w:rPr>
                <w:sz w:val="20"/>
                <w:szCs w:val="20"/>
                <w:color w:val="auto"/>
              </w:rPr>
            </w:pPr>
            <w:r>
              <w:rPr>
                <w:rFonts w:ascii="Courier New" w:cs="Courier New" w:eastAsia="Courier New" w:hAnsi="Courier New"/>
                <w:sz w:val="15"/>
                <w:szCs w:val="15"/>
                <w:color w:val="auto"/>
              </w:rPr>
              <w:t>...</w:t>
            </w: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373.3</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w:t>
            </w: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151.2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18.2</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2"/>
        </w:trPr>
        <w:tc>
          <w:tcPr>
            <w:tcW w:w="5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133.0</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138.1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20.4</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2"/>
        </w:trPr>
        <w:tc>
          <w:tcPr>
            <w:tcW w:w="5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117.7</w:t>
            </w: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(1,022.9)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(90.1)</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Gain from equity offering of affiliate.......................</w:t>
            </w: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20" w:type="dxa"/>
            <w:vAlign w:val="bottom"/>
            <w:vMerge w:val="continue"/>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w:t>
            </w:r>
          </w:p>
        </w:tc>
        <w:tc>
          <w:tcPr>
            <w:tcW w:w="0" w:type="dxa"/>
            <w:vAlign w:val="bottom"/>
          </w:tcPr>
          <w:p>
            <w:pPr>
              <w:spacing w:after="0"/>
              <w:rPr>
                <w:sz w:val="1"/>
                <w:szCs w:val="1"/>
                <w:color w:val="auto"/>
              </w:rPr>
            </w:pP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Minority interest income.....................................</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252"/>
        </w:trPr>
        <w:tc>
          <w:tcPr>
            <w:tcW w:w="558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580" w:type="dxa"/>
            <w:vAlign w:val="bottom"/>
            <w:vMerge w:val="continue"/>
          </w:tcPr>
          <w:p>
            <w:pPr>
              <w:spacing w:after="0"/>
              <w:rPr>
                <w:sz w:val="7"/>
                <w:szCs w:val="7"/>
                <w:color w:val="auto"/>
              </w:rPr>
            </w:pPr>
          </w:p>
        </w:tc>
        <w:tc>
          <w:tcPr>
            <w:tcW w:w="11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$20.6</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$723.6</w:t>
            </w: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($703.0)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(97.2%)</w:t>
            </w:r>
          </w:p>
        </w:tc>
        <w:tc>
          <w:tcPr>
            <w:tcW w:w="0" w:type="dxa"/>
            <w:vAlign w:val="bottom"/>
          </w:tcPr>
          <w:p>
            <w:pPr>
              <w:spacing w:after="0"/>
              <w:rPr>
                <w:sz w:val="1"/>
                <w:szCs w:val="1"/>
                <w:color w:val="auto"/>
              </w:rPr>
            </w:pPr>
          </w:p>
        </w:tc>
      </w:tr>
      <w:tr>
        <w:trPr>
          <w:trHeight w:val="172"/>
        </w:trPr>
        <w:tc>
          <w:tcPr>
            <w:tcW w:w="5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extraordinary items.......................................</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1"/>
                <w:szCs w:val="21"/>
                <w:color w:val="auto"/>
              </w:rPr>
            </w:pP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jc w:val="both"/>
        <w:ind w:left="448" w:right="3079" w:hanging="448"/>
        <w:spacing w:after="0" w:line="250"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w:t>
      </w:r>
    </w:p>
    <w:p>
      <w:pPr>
        <w:spacing w:after="0" w:line="8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435" w:right="1440" w:bottom="1440" w:gutter="0" w:footer="0" w:header="0"/>
        </w:sectPr>
      </w:pPr>
    </w:p>
    <w:bookmarkStart w:id="21" w:name="page22"/>
    <w:bookmarkEnd w:id="21"/>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jc w:val="both"/>
        <w:ind w:left="440" w:right="3079"/>
        <w:spacing w:after="0" w:line="266" w:lineRule="auto"/>
        <w:rPr>
          <w:sz w:val="20"/>
          <w:szCs w:val="20"/>
          <w:color w:val="auto"/>
        </w:rPr>
      </w:pPr>
      <w:r>
        <w:rPr>
          <w:rFonts w:ascii="Courier New" w:cs="Courier New" w:eastAsia="Courier New" w:hAnsi="Courier New"/>
          <w:sz w:val="15"/>
          <w:szCs w:val="15"/>
          <w:color w:val="auto"/>
        </w:rPr>
        <w:t>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4"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The following represent the operating results of our significant business segments, "Cable Communications" and "Electronic Retailing." The remaining components of our operations are not independently significant to our consolidated financial position or results of operations (see Note 9 to our condensed consolidated financial statements included in Item 1).</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Communications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ind w:left="440"/>
              <w:spacing w:after="0"/>
              <w:rPr>
                <w:sz w:val="20"/>
                <w:szCs w:val="20"/>
                <w:color w:val="auto"/>
              </w:rPr>
            </w:pPr>
            <w:r>
              <w:rPr>
                <w:rFonts w:ascii="Courier New" w:cs="Courier New" w:eastAsia="Courier New" w:hAnsi="Courier New"/>
                <w:sz w:val="15"/>
                <w:szCs w:val="15"/>
                <w:color w:val="auto"/>
              </w:rPr>
              <w:t>The  following</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table   presents  the  operating</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results  of  our</w:t>
            </w:r>
          </w:p>
        </w:tc>
        <w:tc>
          <w:tcPr>
            <w:tcW w:w="12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cable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communications segment (dollars in millions):</w:t>
            </w:r>
          </w:p>
        </w:tc>
        <w:tc>
          <w:tcPr>
            <w:tcW w:w="1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6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Nine Months Ended</w:t>
            </w:r>
          </w:p>
        </w:tc>
        <w:tc>
          <w:tcPr>
            <w:tcW w:w="2140" w:type="dxa"/>
            <w:vAlign w:val="bottom"/>
            <w:gridSpan w:val="2"/>
            <w:vMerge w:val="restart"/>
          </w:tcPr>
          <w:p>
            <w:pPr>
              <w:jc w:val="right"/>
              <w:ind w:right="625"/>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September 30,</w:t>
            </w: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tcPr>
          <w:p>
            <w:pPr>
              <w:ind w:left="880"/>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w w:val="92"/>
              </w:rPr>
              <w:t>Service income...............................................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$2,127.1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$1,681.2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$445.9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72"/>
        </w:trPr>
        <w:tc>
          <w:tcPr>
            <w:tcW w:w="5100" w:type="dxa"/>
            <w:vAlign w:val="bottom"/>
            <w:gridSpan w:val="2"/>
          </w:tcPr>
          <w:p>
            <w:pPr>
              <w:spacing w:after="0" w:line="172" w:lineRule="exact"/>
              <w:rPr>
                <w:sz w:val="20"/>
                <w:szCs w:val="20"/>
                <w:color w:val="auto"/>
              </w:rPr>
            </w:pPr>
            <w:r>
              <w:rPr>
                <w:rFonts w:ascii="Courier New" w:cs="Courier New" w:eastAsia="Courier New" w:hAnsi="Courier New"/>
                <w:sz w:val="20"/>
                <w:szCs w:val="20"/>
                <w:color w:val="auto"/>
                <w:vertAlign w:val="superscript"/>
              </w:rPr>
              <w:t>Operating, selling, general and</w:t>
            </w:r>
            <w:r>
              <w:rPr>
                <w:rFonts w:ascii="Courier New" w:cs="Courier New" w:eastAsia="Courier New" w:hAnsi="Courier New"/>
                <w:sz w:val="12"/>
                <w:szCs w:val="12"/>
                <w:color w:val="auto"/>
              </w:rPr>
              <w:t>.................................</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1,146.4</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878.7</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267.7</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30.5</w:t>
            </w:r>
          </w:p>
        </w:tc>
        <w:tc>
          <w:tcPr>
            <w:tcW w:w="0" w:type="dxa"/>
            <w:vAlign w:val="bottom"/>
          </w:tcPr>
          <w:p>
            <w:pPr>
              <w:spacing w:after="0"/>
              <w:rPr>
                <w:sz w:val="1"/>
                <w:szCs w:val="1"/>
                <w:color w:val="auto"/>
              </w:rPr>
            </w:pPr>
          </w:p>
        </w:tc>
      </w:tr>
      <w:tr>
        <w:trPr>
          <w:trHeight w:val="172"/>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1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gridSpan w:val="2"/>
            <w:vMerge w:val="continue"/>
          </w:tcPr>
          <w:p>
            <w:pPr>
              <w:ind w:left="2220"/>
              <w:spacing w:after="0" w:line="92" w:lineRule="exact"/>
              <w:rPr>
                <w:sz w:val="20"/>
                <w:szCs w:val="20"/>
                <w:color w:val="auto"/>
              </w:rPr>
            </w:pPr>
            <w:r>
              <w:rPr>
                <w:rFonts w:ascii="Courier New" w:cs="Courier New" w:eastAsia="Courier New" w:hAnsi="Courier New"/>
                <w:sz w:val="10"/>
                <w:szCs w:val="10"/>
                <w:color w:val="auto"/>
              </w:rPr>
              <w:t>....................................</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$980.7</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$802.5</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$178.2</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22.2%</w:t>
            </w:r>
          </w:p>
        </w:tc>
        <w:tc>
          <w:tcPr>
            <w:tcW w:w="0" w:type="dxa"/>
            <w:vAlign w:val="bottom"/>
          </w:tcPr>
          <w:p>
            <w:pPr>
              <w:spacing w:after="0"/>
              <w:rPr>
                <w:sz w:val="1"/>
                <w:szCs w:val="1"/>
                <w:color w:val="auto"/>
              </w:rPr>
            </w:pPr>
          </w:p>
        </w:tc>
      </w:tr>
      <w:tr>
        <w:trPr>
          <w:trHeight w:val="172"/>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6"/>
        </w:trPr>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c>
          <w:tcPr>
            <w:tcW w:w="2140" w:type="dxa"/>
            <w:vAlign w:val="bottom"/>
            <w:gridSpan w:val="2"/>
            <w:vMerge w:val="restart"/>
          </w:tcPr>
          <w:p>
            <w:pPr>
              <w:jc w:val="right"/>
              <w:ind w:right="625"/>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September 30,</w:t>
            </w: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tcPr>
          <w:p>
            <w:pPr>
              <w:ind w:left="880"/>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2"/>
              </w:rPr>
              <w:t>Service income...............................................</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w:t>
            </w:r>
            <w:r>
              <w:rPr>
                <w:rFonts w:ascii="Courier New" w:cs="Courier New" w:eastAsia="Courier New" w:hAnsi="Courier New"/>
                <w:sz w:val="29"/>
                <w:szCs w:val="29"/>
                <w:color w:val="auto"/>
                <w:w w:val="99"/>
                <w:vertAlign w:val="subscript"/>
              </w:rPr>
              <w:t>$773.5</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96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172"/>
        </w:trPr>
        <w:tc>
          <w:tcPr>
            <w:tcW w:w="5100" w:type="dxa"/>
            <w:vAlign w:val="bottom"/>
            <w:gridSpan w:val="2"/>
          </w:tcPr>
          <w:p>
            <w:pPr>
              <w:spacing w:after="0" w:line="172" w:lineRule="exact"/>
              <w:rPr>
                <w:sz w:val="20"/>
                <w:szCs w:val="20"/>
                <w:color w:val="auto"/>
              </w:rPr>
            </w:pPr>
            <w:r>
              <w:rPr>
                <w:rFonts w:ascii="Courier New" w:cs="Courier New" w:eastAsia="Courier New" w:hAnsi="Courier New"/>
                <w:sz w:val="20"/>
                <w:szCs w:val="20"/>
                <w:color w:val="auto"/>
                <w:vertAlign w:val="superscript"/>
              </w:rPr>
              <w:t>Operating, selling, general and</w:t>
            </w:r>
            <w:r>
              <w:rPr>
                <w:rFonts w:ascii="Courier New" w:cs="Courier New" w:eastAsia="Courier New" w:hAnsi="Courier New"/>
                <w:sz w:val="12"/>
                <w:szCs w:val="12"/>
                <w:color w:val="auto"/>
              </w:rPr>
              <w:t>.................................</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416.7</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294.5</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122.2</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41.5</w:t>
            </w:r>
          </w:p>
        </w:tc>
        <w:tc>
          <w:tcPr>
            <w:tcW w:w="0" w:type="dxa"/>
            <w:vAlign w:val="bottom"/>
          </w:tcPr>
          <w:p>
            <w:pPr>
              <w:spacing w:after="0"/>
              <w:rPr>
                <w:sz w:val="1"/>
                <w:szCs w:val="1"/>
                <w:color w:val="auto"/>
              </w:rPr>
            </w:pPr>
          </w:p>
        </w:tc>
      </w:tr>
      <w:tr>
        <w:trPr>
          <w:trHeight w:val="172"/>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1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gridSpan w:val="2"/>
            <w:vMerge w:val="continue"/>
          </w:tcPr>
          <w:p>
            <w:pPr>
              <w:ind w:left="2220"/>
              <w:spacing w:after="0" w:line="92" w:lineRule="exact"/>
              <w:rPr>
                <w:sz w:val="20"/>
                <w:szCs w:val="20"/>
                <w:color w:val="auto"/>
              </w:rPr>
            </w:pPr>
            <w:r>
              <w:rPr>
                <w:rFonts w:ascii="Courier New" w:cs="Courier New" w:eastAsia="Courier New" w:hAnsi="Courier New"/>
                <w:sz w:val="10"/>
                <w:szCs w:val="10"/>
                <w:color w:val="auto"/>
              </w:rPr>
              <w:t>....................................</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$356.8</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$277.2</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$79.6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r>
        <w:trPr>
          <w:trHeight w:val="172"/>
        </w:trPr>
        <w:tc>
          <w:tcPr>
            <w:tcW w:w="5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19.</w:t>
      </w:r>
    </w:p>
    <w:p>
      <w:pPr>
        <w:spacing w:after="0" w:line="200" w:lineRule="exact"/>
        <w:rPr>
          <w:sz w:val="20"/>
          <w:szCs w:val="20"/>
          <w:color w:val="auto"/>
        </w:rPr>
      </w:pPr>
    </w:p>
    <w:p>
      <w:pPr>
        <w:spacing w:after="0" w:line="290" w:lineRule="exact"/>
        <w:rPr>
          <w:sz w:val="20"/>
          <w:szCs w:val="20"/>
          <w:color w:val="auto"/>
        </w:rPr>
      </w:pPr>
    </w:p>
    <w:p>
      <w:pPr>
        <w:jc w:val="both"/>
        <w:ind w:right="3079" w:firstLine="447"/>
        <w:spacing w:after="0" w:line="259" w:lineRule="auto"/>
        <w:rPr>
          <w:sz w:val="20"/>
          <w:szCs w:val="20"/>
          <w:color w:val="auto"/>
        </w:rPr>
      </w:pPr>
      <w:r>
        <w:rPr>
          <w:rFonts w:ascii="Courier New" w:cs="Courier New" w:eastAsia="Courier New" w:hAnsi="Courier New"/>
          <w:sz w:val="15"/>
          <w:szCs w:val="15"/>
          <w:color w:val="auto"/>
        </w:rPr>
        <w:t>Of the respective $445.9 million and $201.8 million increases in service income for the nine and three month periods from 1998 to 1999, $295.3 million and $149.0 million are attributable to the effects of the acquisitions of cable communications systems, $18.1 million and $5.6 million are attributable to subscriber growth, $68.6 million and $21.5 million relate to changes in rates, $16.2 million and $5.6 million are attributable to growth in cable advertising sales and $47.7 million and $20.1 million relate to other product offerings (e.g., digital cable, high speed data services, etc.).</w:t>
      </w:r>
    </w:p>
    <w:p>
      <w:pPr>
        <w:spacing w:after="0" w:line="81" w:lineRule="exact"/>
        <w:rPr>
          <w:sz w:val="20"/>
          <w:szCs w:val="20"/>
          <w:color w:val="auto"/>
        </w:rPr>
      </w:pPr>
    </w:p>
    <w:p>
      <w:pPr>
        <w:jc w:val="both"/>
        <w:ind w:right="3079" w:firstLine="447"/>
        <w:spacing w:after="0" w:line="253" w:lineRule="auto"/>
        <w:rPr>
          <w:sz w:val="20"/>
          <w:szCs w:val="20"/>
          <w:color w:val="auto"/>
        </w:rPr>
      </w:pPr>
      <w:r>
        <w:rPr>
          <w:rFonts w:ascii="Courier New" w:cs="Courier New" w:eastAsia="Courier New" w:hAnsi="Courier New"/>
          <w:sz w:val="15"/>
          <w:szCs w:val="15"/>
          <w:color w:val="auto"/>
        </w:rPr>
        <w:t>Of the respective $267.7 million and $122.2 million increases in operating, selling, general and administrative expenses for the nine and three month periods from 1998 to 1999, $192.6 million and $90.0 million are attributable to the effects of the acquisitions of cable communications systems, $31.3 million and $11.0 million are attributable to increases in the costs of cable programming as a result of changes in rates, subscriber growth and additional channel offerings, $3.6 million and $1.4 million are attributable to growth in advertising sales and $40.2 million and $19.8 million result from increases in the cost of labor, other volume related expenses and costs associated with new product offerings. We anticipate that the cost of cable programming will increase in the future as cable programming rates increase and additional sources of cable programming become available.</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35" w:right="1440" w:bottom="1440" w:gutter="0" w:footer="0" w:header="0"/>
        </w:sectPr>
      </w:pPr>
    </w:p>
    <w:bookmarkStart w:id="22" w:name="page23"/>
    <w:bookmarkEnd w:id="22"/>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The following presents the operating results of our electronic retailing segment, consisting of the operations of QVC, Inc. and its subsidiaries ("QVC"), a majority owned and controlled subsidiary (dollars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2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Nine Months Ended</w:t>
            </w:r>
          </w:p>
        </w:tc>
        <w:tc>
          <w:tcPr>
            <w:tcW w:w="2100" w:type="dxa"/>
            <w:vAlign w:val="bottom"/>
            <w:gridSpan w:val="2"/>
            <w:vMerge w:val="restart"/>
          </w:tcPr>
          <w:p>
            <w:pPr>
              <w:jc w:val="right"/>
              <w:ind w:right="625"/>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22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September 30,</w:t>
            </w: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1"/>
                <w:szCs w:val="21"/>
                <w:color w:val="auto"/>
              </w:rPr>
            </w:pP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$1,959.2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1,181.1</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997.6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1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401.0</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359.3</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41.7</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620" w:type="dxa"/>
            <w:vAlign w:val="bottom"/>
            <w:vMerge w:val="continue"/>
          </w:tcPr>
          <w:p>
            <w:pPr>
              <w:spacing w:after="0"/>
              <w:rPr>
                <w:sz w:val="7"/>
                <w:szCs w:val="7"/>
                <w:color w:val="auto"/>
              </w:rPr>
            </w:pPr>
          </w:p>
        </w:tc>
        <w:tc>
          <w:tcPr>
            <w:tcW w:w="11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$377.1</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$291.6</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$85.5</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20" w:type="dxa"/>
            <w:vAlign w:val="bottom"/>
            <w:vMerge w:val="continue"/>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1"/>
                <w:szCs w:val="21"/>
                <w:color w:val="auto"/>
              </w:rPr>
            </w:pP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5620" w:type="dxa"/>
            <w:vAlign w:val="bottom"/>
          </w:tcPr>
          <w:p>
            <w:pPr>
              <w:spacing w:after="0"/>
              <w:rPr>
                <w:sz w:val="24"/>
                <w:szCs w:val="24"/>
                <w:color w:val="auto"/>
              </w:rPr>
            </w:pPr>
          </w:p>
        </w:tc>
        <w:tc>
          <w:tcPr>
            <w:tcW w:w="22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Three Months Ended</w:t>
            </w:r>
          </w:p>
        </w:tc>
        <w:tc>
          <w:tcPr>
            <w:tcW w:w="2100" w:type="dxa"/>
            <w:vAlign w:val="bottom"/>
            <w:gridSpan w:val="2"/>
            <w:vMerge w:val="restart"/>
          </w:tcPr>
          <w:p>
            <w:pPr>
              <w:jc w:val="right"/>
              <w:ind w:right="625"/>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22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September 30,</w:t>
            </w: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160" w:type="dxa"/>
            <w:vAlign w:val="bottom"/>
            <w:vMerge w:val="restart"/>
          </w:tcPr>
          <w:p>
            <w:pPr>
              <w:jc w:val="right"/>
              <w:ind w:right="8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$677.1</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$573.9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411.8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1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140.5</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124.9</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620" w:type="dxa"/>
            <w:vAlign w:val="bottom"/>
            <w:vMerge w:val="continue"/>
          </w:tcPr>
          <w:p>
            <w:pPr>
              <w:spacing w:after="0"/>
              <w:rPr>
                <w:sz w:val="7"/>
                <w:szCs w:val="7"/>
                <w:color w:val="auto"/>
              </w:rPr>
            </w:pPr>
          </w:p>
        </w:tc>
        <w:tc>
          <w:tcPr>
            <w:tcW w:w="11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$124.8</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$103.8</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$21.0</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2"/>
        </w:trPr>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2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620" w:type="dxa"/>
            <w:vAlign w:val="bottom"/>
            <w:vMerge w:val="continue"/>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39.9%</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620" w:type="dxa"/>
            <w:vAlign w:val="bottom"/>
          </w:tcPr>
          <w:p>
            <w:pPr>
              <w:spacing w:after="0"/>
              <w:rPr>
                <w:sz w:val="21"/>
                <w:szCs w:val="21"/>
                <w:color w:val="auto"/>
              </w:rPr>
            </w:pPr>
          </w:p>
        </w:tc>
        <w:tc>
          <w:tcPr>
            <w:tcW w:w="11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19.</w:t>
      </w:r>
    </w:p>
    <w:p>
      <w:pPr>
        <w:spacing w:after="0" w:line="200" w:lineRule="exact"/>
        <w:rPr>
          <w:sz w:val="20"/>
          <w:szCs w:val="20"/>
          <w:color w:val="auto"/>
        </w:rPr>
      </w:pPr>
    </w:p>
    <w:p>
      <w:pPr>
        <w:spacing w:after="0" w:line="290" w:lineRule="exact"/>
        <w:rPr>
          <w:sz w:val="20"/>
          <w:szCs w:val="20"/>
          <w:color w:val="auto"/>
        </w:rPr>
      </w:pPr>
    </w:p>
    <w:p>
      <w:pPr>
        <w:jc w:val="both"/>
        <w:ind w:right="3079" w:firstLine="447"/>
        <w:spacing w:after="0" w:line="255" w:lineRule="auto"/>
        <w:rPr>
          <w:sz w:val="20"/>
          <w:szCs w:val="20"/>
          <w:color w:val="auto"/>
        </w:rPr>
      </w:pPr>
      <w:r>
        <w:rPr>
          <w:rFonts w:ascii="Courier New" w:cs="Courier New" w:eastAsia="Courier New" w:hAnsi="Courier New"/>
          <w:sz w:val="15"/>
          <w:szCs w:val="15"/>
          <w:color w:val="auto"/>
        </w:rPr>
        <w:t>The increase in net sales from electronic retailing of $310.7 million for the nine month period from 1998 to 1999 is due to the effects of 4.2%, 11.4% and 37.0% increases in the average number of homes receiving QVC services in the United States ("US"), United Kingdom ("UK") and Germany, respectively, and 9.0%, 9.9% and 92.2% increases in net sales per home in the US, UK and Germany, respectively. The increase in net sales from electronic retailing of $103.2 million for the three month period from 1998 to 1999 is due to the effects of 4.8%, 11.6% and 31.4% increases in the average number of homes receiving QVC services in the US, UK and Germany, respectively, and 7.9%, 6.0% and 81.5% increases in net sales per home in the US, UK and Germany, respectively.</w:t>
      </w:r>
    </w:p>
    <w:p>
      <w:pPr>
        <w:spacing w:after="0" w:line="87" w:lineRule="exact"/>
        <w:rPr>
          <w:sz w:val="20"/>
          <w:szCs w:val="20"/>
          <w:color w:val="auto"/>
        </w:rPr>
      </w:pPr>
    </w:p>
    <w:p>
      <w:pPr>
        <w:jc w:val="both"/>
        <w:ind w:right="3079" w:firstLine="447"/>
        <w:spacing w:after="0" w:line="359" w:lineRule="auto"/>
        <w:rPr>
          <w:sz w:val="20"/>
          <w:szCs w:val="20"/>
          <w:color w:val="auto"/>
        </w:rPr>
      </w:pPr>
      <w:r>
        <w:rPr>
          <w:rFonts w:ascii="Courier New" w:cs="Courier New" w:eastAsia="Courier New" w:hAnsi="Courier New"/>
          <w:sz w:val="15"/>
          <w:szCs w:val="15"/>
          <w:color w:val="auto"/>
        </w:rPr>
        <w:t>The increase in cost of goods sold is primarily related to the growth in net sales. The changes in gross margin are a result of a shift in sales mix.</w:t>
      </w:r>
    </w:p>
    <w:p>
      <w:pPr>
        <w:spacing w:after="0" w:line="8"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Of the respective $41.7 million and $15.6 million increases in operating, selling, general and administrative expenses for the nine and three month periods from 1998 to 1999, $27.0 million and $9.2 million are attributable to higher variable costs associated with the increase in sales volume. The remaining increases are attributable to higher personnel costs to support the increased sales volume in the US, UK and Germany.</w:t>
      </w:r>
    </w:p>
    <w:p>
      <w:pPr>
        <w:spacing w:after="0" w:line="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74"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The effects of our recent acquisitions, as well as increased levels of capital expenditures, were to increase our revenues and expenses resulting in increases in our operating income before depreciation and amortization. The increases in depreciation expense, amortization expense and interest expense for the nine and three month</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35" w:right="1440" w:bottom="1440" w:gutter="0" w:footer="0" w:header="0"/>
        </w:sectPr>
      </w:pPr>
    </w:p>
    <w:bookmarkStart w:id="23" w:name="page24"/>
    <w:bookmarkEnd w:id="23"/>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jc w:val="both"/>
        <w:ind w:right="3079"/>
        <w:spacing w:after="0" w:line="266" w:lineRule="auto"/>
        <w:rPr>
          <w:sz w:val="20"/>
          <w:szCs w:val="20"/>
          <w:color w:val="auto"/>
        </w:rPr>
      </w:pPr>
      <w:r>
        <w:rPr>
          <w:rFonts w:ascii="Courier New" w:cs="Courier New" w:eastAsia="Courier New" w:hAnsi="Courier New"/>
          <w:sz w:val="15"/>
          <w:szCs w:val="15"/>
          <w:color w:val="auto"/>
        </w:rPr>
        <w:t>periods from 1998 to 1999 are primarily due to the effects of our acquisition of a controlling interest in Jones Intercable on April 7, 1999, offset in part by the effects of the sale of Comcast UK Cable Partners Limited ("Comcast UK Cable"), a consolidated subsidiary of ours, in October 1998. In addition, our equity in net losses of affiliates has decreased principally as a result of the restructuring of Sprint PCS in November 1998.</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4"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The $37.9 million and $20.4 million increases in interest expense for the nine and three month periods from 1998 to 1999 are primarily due to the effects of our acquisition of a controlling interest in Jones Intercable and the issuance of the 6.20% nonrecourse notes issued by Comcast Cable Communications, Inc. ("Comcast Cable"), a wholly owned subsidiary of ours, in November 1998, offset in part by the effects of the sale of Comcast UK Cable in October 1998.</w:t>
      </w:r>
    </w:p>
    <w:p>
      <w:pPr>
        <w:spacing w:after="0" w:line="74"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174" w:lineRule="exact"/>
        <w:rPr>
          <w:sz w:val="20"/>
          <w:szCs w:val="20"/>
          <w:color w:val="auto"/>
        </w:rPr>
      </w:pPr>
    </w:p>
    <w:p>
      <w:pPr>
        <w:jc w:val="both"/>
        <w:ind w:right="3079" w:firstLine="447"/>
        <w:spacing w:after="0" w:line="262" w:lineRule="auto"/>
        <w:rPr>
          <w:sz w:val="20"/>
          <w:szCs w:val="20"/>
          <w:color w:val="auto"/>
        </w:rPr>
      </w:pPr>
      <w:r>
        <w:rPr>
          <w:rFonts w:ascii="Courier New" w:cs="Courier New" w:eastAsia="Courier New" w:hAnsi="Courier New"/>
          <w:sz w:val="15"/>
          <w:szCs w:val="15"/>
          <w:color w:val="auto"/>
        </w:rPr>
        <w:t>During the three months ended September 30, 1999, we sold approximately 0.9 million shares of NTL common stock for total proceeds of $89.8 million and recognized a pre-tax gain of $50.1 million. In October and November 1999, we sold all of our remaining 4.9 million shares (as adjusted for NTL's 5-for-4 stock split in October 1999) of NTL common stock for total proceeds of $408.5 million. As a result of these transactions, we expect to recognize a pre-tax gain of approximately $234.1 million in the fourth quarter.</w:t>
      </w:r>
    </w:p>
    <w:p>
      <w:pPr>
        <w:spacing w:after="0" w:line="78" w:lineRule="exact"/>
        <w:rPr>
          <w:sz w:val="20"/>
          <w:szCs w:val="20"/>
          <w:color w:val="auto"/>
        </w:rPr>
      </w:pPr>
    </w:p>
    <w:p>
      <w:pPr>
        <w:jc w:val="both"/>
        <w:ind w:right="3079" w:firstLine="447"/>
        <w:spacing w:after="0" w:line="252" w:lineRule="auto"/>
        <w:rPr>
          <w:sz w:val="20"/>
          <w:szCs w:val="20"/>
          <w:color w:val="auto"/>
        </w:rPr>
      </w:pPr>
      <w:r>
        <w:rPr>
          <w:rFonts w:ascii="Courier New" w:cs="Courier New" w:eastAsia="Courier New" w:hAnsi="Courier New"/>
          <w:sz w:val="15"/>
          <w:szCs w:val="15"/>
          <w:color w:val="auto"/>
        </w:rPr>
        <w:t>In March 1999, AT&amp;T Corp ("AT&amp;T") merged with Tele-Communications, Inc. ("TCI") with AT&amp;T as the surviving corporation (the "AT&amp;T/TCI Merger"). Upon closing of the AT&amp;T/TCI Merger, we received approximately 3.6 million shares (as adjusted for AT&amp;T's 3-for-2 stock split in April 1999) of AT&amp;T common stock in exchange for the approximately 3.1 million shares of TCI Class A Common Stock held by us and we received approximately 3.6 million shares of Liberty Media Group ("New Liberty") Class A Tracking Shares for the approximately 2.3 million shares of TCI Ventures Group, Inc. ("TCI Ventures") common stock and the approximately 2.4 million shares of Liberty Media Group ("Old Liberty") Class A Common Stock held by us. As a result of the exchange, we recognized a pre-tax gain of $187.6 million during the nine months ended September 30, 1999, representing the difference between the fair value of the AT&amp;T stock received and our basis in TCI and TCI Ventures.</w:t>
      </w:r>
    </w:p>
    <w:p>
      <w:pPr>
        <w:spacing w:after="0" w:line="89" w:lineRule="exact"/>
        <w:rPr>
          <w:sz w:val="20"/>
          <w:szCs w:val="20"/>
          <w:color w:val="auto"/>
        </w:rPr>
      </w:pPr>
    </w:p>
    <w:p>
      <w:pPr>
        <w:jc w:val="both"/>
        <w:ind w:right="3079" w:firstLine="447"/>
        <w:spacing w:after="0" w:line="262" w:lineRule="auto"/>
        <w:rPr>
          <w:sz w:val="20"/>
          <w:szCs w:val="20"/>
          <w:color w:val="auto"/>
        </w:rPr>
      </w:pPr>
      <w:r>
        <w:rPr>
          <w:rFonts w:ascii="Courier New" w:cs="Courier New" w:eastAsia="Courier New" w:hAnsi="Courier New"/>
          <w:sz w:val="15"/>
          <w:szCs w:val="15"/>
          <w:color w:val="auto"/>
        </w:rPr>
        <w:t>In March 1998, we sold call options relating to our unrestricted equity investments in TCI, TCI Ventures and Old Liberty common stock for $20.7 million. Such call options expire between March and November 1999. During the nine and three months ended September 30, 1999 and 1998, we recorded investment (expense) income of ($93.0) million, ($32.1) million, $7.8 million and $8.1 million, respectively, related to changes in the value of the call options and settlement of the TCI and TCI Ventures call options.</w:t>
      </w:r>
    </w:p>
    <w:p>
      <w:pPr>
        <w:spacing w:after="0" w:line="78" w:lineRule="exact"/>
        <w:rPr>
          <w:sz w:val="20"/>
          <w:szCs w:val="20"/>
          <w:color w:val="auto"/>
        </w:rPr>
      </w:pPr>
    </w:p>
    <w:p>
      <w:pPr>
        <w:jc w:val="both"/>
        <w:ind w:right="3079" w:firstLine="447"/>
        <w:spacing w:after="0" w:line="257" w:lineRule="auto"/>
        <w:rPr>
          <w:sz w:val="20"/>
          <w:szCs w:val="20"/>
          <w:color w:val="auto"/>
        </w:rPr>
      </w:pPr>
      <w:r>
        <w:rPr>
          <w:rFonts w:ascii="Courier New" w:cs="Courier New" w:eastAsia="Courier New" w:hAnsi="Courier New"/>
          <w:sz w:val="15"/>
          <w:szCs w:val="15"/>
          <w:color w:val="auto"/>
        </w:rPr>
        <w:t>In July 1998, AT&amp;T completed its merger with Teleport Communications Group, Inc. ("Teleport"). Upon closing of the merger, we received 24.2 million shares of AT&amp;T common stock in exchange (the "Exchange") for the 25.6 million shares of Teleport Class B Common Stock held by us. As a result of the Exchange, we recognized a pre-tax gain of $1.092 billion during the nine and three months ended September 30, 1998, representing the difference between the fair value of the AT&amp;T stock received and our basis in Teleport. Such gain is included in investment income in our condensed consolidated statement of operations and accumulated deficit.</w:t>
      </w:r>
    </w:p>
    <w:p>
      <w:pPr>
        <w:spacing w:after="0" w:line="83"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During the nine months ended September 30, 1999, we recorded pre-tax losses of $35.5 million on certain of our investments based on a decline in value that was considered other than temporary. During the nine and three months ended September 30, 1998, we recorded pre-tax losses of $91.2 million on certain of our investments based on a decline in value that was considered other than temporary.</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Gain From Equity Offering of Affiliate</w:t>
      </w:r>
    </w:p>
    <w:p>
      <w:pPr>
        <w:spacing w:after="0" w:line="174"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In April 1998 and November 1997, Teleport issued shares of its Class A Common Stock. As a result of the stock issuances, we recognized a $157.8 million and $98.1 million increase in our proportionate share of Teleport's net assets as a gain from equity offering of affiliate for the nine and three months ended September 30, 1998, respectively. We recorded our</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35" w:right="1440" w:bottom="1440" w:gutter="0" w:footer="0" w:header="0"/>
        </w:sectPr>
      </w:pPr>
    </w:p>
    <w:bookmarkStart w:id="24" w:name="page25"/>
    <w:bookmarkEnd w:id="24"/>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proportionate share of Teleport's net losses one quarter in arrears.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The $1.426 billion increase in other income for the nine month period from 1998 to 1999 is primarily attributable to the receipt of the $1.5 billion MediaOne termination fee, net of transaction costs, in May 1999.</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w:t>
      </w:r>
    </w:p>
    <w:p>
      <w:pPr>
        <w:spacing w:after="0" w:line="174"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The $505.3 million increase and $209.0 million decrease in income tax expense for the nine and three month periods from 1998 to 1999, respectively, are primarily the result of the effects of changes in our income before taxes and minority interest, and non-deductible foreign losses and non-deductible equity in net losses of affiliates.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 Income</w:t>
      </w:r>
    </w:p>
    <w:p>
      <w:pPr>
        <w:spacing w:after="0" w:line="174" w:lineRule="exact"/>
        <w:rPr>
          <w:sz w:val="20"/>
          <w:szCs w:val="20"/>
          <w:color w:val="auto"/>
        </w:rPr>
      </w:pPr>
    </w:p>
    <w:p>
      <w:pPr>
        <w:jc w:val="both"/>
        <w:ind w:right="3079" w:firstLine="447"/>
        <w:spacing w:after="0" w:line="266" w:lineRule="auto"/>
        <w:rPr>
          <w:sz w:val="20"/>
          <w:szCs w:val="20"/>
          <w:color w:val="auto"/>
        </w:rPr>
      </w:pPr>
      <w:r>
        <w:rPr>
          <w:rFonts w:ascii="Courier New" w:cs="Courier New" w:eastAsia="Courier New" w:hAnsi="Courier New"/>
          <w:sz w:val="15"/>
          <w:szCs w:val="15"/>
          <w:color w:val="auto"/>
        </w:rPr>
        <w:t>The $26.2 million decrease and $0.2 million increase in minority interest income for the nine and three month periods from 1998 to 1999 are attributable to the effects of our acquisition of a controlling interest in Jones Intercable in April 1999, the sale of Comcast UK Cable in October 1998 and to changes in the net income or loss of our other less than 100% owned consolidated subsidiaries.</w:t>
      </w:r>
    </w:p>
    <w:p>
      <w:pPr>
        <w:spacing w:after="0" w:line="74" w:lineRule="exact"/>
        <w:rPr>
          <w:sz w:val="20"/>
          <w:szCs w:val="20"/>
          <w:color w:val="auto"/>
        </w:rPr>
      </w:pPr>
    </w:p>
    <w:p>
      <w:pPr>
        <w:jc w:val="both"/>
        <w:ind w:right="3079" w:firstLine="447"/>
        <w:spacing w:after="0" w:line="255" w:lineRule="auto"/>
        <w:rPr>
          <w:sz w:val="20"/>
          <w:szCs w:val="20"/>
          <w:color w:val="auto"/>
        </w:rPr>
      </w:pPr>
      <w:r>
        <w:rPr>
          <w:rFonts w:ascii="Courier New" w:cs="Courier New" w:eastAsia="Courier New" w:hAnsi="Courier New"/>
          <w:sz w:val="15"/>
          <w:szCs w:val="15"/>
          <w:color w:val="auto"/>
        </w:rPr>
        <w:t>For the nine and three months ended September 30, 1999 and 1998, our earnings from continuing operations (income from continuing operations plus income tax expense, equity in net losses of affiliates, fixed charges (interest expense) and extraordinary items) were $2.168 billion, $1.598 billion, $260.4 million and $1.263 billion, respectively. Such earnings were adequate to cover our fixed charges of $392.8 million, $354.9 million, $138.1 million and $117.7 million for the nine and three months ended September 30, 1999 and 1998, respectively. Fixed charges include non-cash interest expense of $2.3 million, $37.3 million, $0.5 million and $11.3 million for the nine and three months ended September 30, 1999 and 1998, respectively.</w:t>
      </w:r>
    </w:p>
    <w:p>
      <w:pPr>
        <w:spacing w:after="0" w:line="87" w:lineRule="exact"/>
        <w:rPr>
          <w:sz w:val="20"/>
          <w:szCs w:val="20"/>
          <w:color w:val="auto"/>
        </w:rPr>
      </w:pPr>
    </w:p>
    <w:p>
      <w:pPr>
        <w:jc w:val="both"/>
        <w:ind w:right="3079" w:firstLine="447"/>
        <w:spacing w:after="0" w:line="272" w:lineRule="auto"/>
        <w:rPr>
          <w:sz w:val="20"/>
          <w:szCs w:val="20"/>
          <w:color w:val="auto"/>
        </w:rPr>
      </w:pPr>
      <w:r>
        <w:rPr>
          <w:rFonts w:ascii="Courier New" w:cs="Courier New" w:eastAsia="Courier New" w:hAnsi="Courier New"/>
          <w:sz w:val="15"/>
          <w:szCs w:val="15"/>
          <w:color w:val="auto"/>
        </w:rPr>
        <w:t>We believe that any losses incurred in the future by us will not significantly affect the performance of our normal business activities because of our existing cash, cash equivalents and short-term investments, our ability to generate operating income before depreciation and amortization and our ability to obtain external financing.</w:t>
      </w:r>
    </w:p>
    <w:p>
      <w:pPr>
        <w:spacing w:after="0" w:line="6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35" w:right="1440" w:bottom="1440" w:gutter="0" w:footer="0" w:header="0"/>
        </w:sectPr>
      </w:pPr>
    </w:p>
    <w:bookmarkStart w:id="25" w:name="page26"/>
    <w:bookmarkEnd w:id="25"/>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31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jc w:val="both"/>
        <w:ind w:left="440" w:right="3079"/>
        <w:spacing w:after="0" w:line="281" w:lineRule="auto"/>
        <w:rPr>
          <w:sz w:val="20"/>
          <w:szCs w:val="20"/>
          <w:color w:val="auto"/>
        </w:rPr>
      </w:pPr>
      <w:r>
        <w:rPr>
          <w:rFonts w:ascii="Courier New" w:cs="Courier New" w:eastAsia="Courier New" w:hAnsi="Courier New"/>
          <w:sz w:val="15"/>
          <w:szCs w:val="15"/>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23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880" w:hanging="441"/>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27.1 Financial Data Schedule.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1340" w:right="3079" w:hanging="454"/>
        <w:spacing w:after="0" w:line="281" w:lineRule="auto"/>
        <w:tabs>
          <w:tab w:leader="none" w:pos="13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 5 on July 22, 1999 relating to our announcement that we had completed the sale of our indirect wholly owned subsidiary, Comcast Cellular Corporation to SBC Communications, Inc.</w:t>
      </w:r>
    </w:p>
    <w:p>
      <w:pPr>
        <w:spacing w:after="0" w:line="64" w:lineRule="exact"/>
        <w:rPr>
          <w:rFonts w:ascii="Courier New" w:cs="Courier New" w:eastAsia="Courier New" w:hAnsi="Courier New"/>
          <w:sz w:val="15"/>
          <w:szCs w:val="15"/>
          <w:color w:val="auto"/>
        </w:rPr>
      </w:pPr>
    </w:p>
    <w:p>
      <w:pPr>
        <w:jc w:val="both"/>
        <w:ind w:left="1340" w:right="3079" w:hanging="454"/>
        <w:spacing w:after="0" w:line="262" w:lineRule="auto"/>
        <w:tabs>
          <w:tab w:leader="none" w:pos="13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 5 on August 11, 1999 relating to our announcement that we plan to commence an offer to exchange 1.4 shares of our Class A Special Common Stock for each share of Class A Common Stock or Common Stock of Jones Intercable, Inc. for up to 79% of the combined number of shares of Jones Intercable, Inc. Class A Common Stock and Common Stock outstanding.</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35" w:right="1440" w:bottom="1440" w:gutter="0" w:footer="0" w:header="0"/>
        </w:sectPr>
      </w:pPr>
    </w:p>
    <w:bookmarkStart w:id="26" w:name="page27"/>
    <w:bookmarkEnd w:id="26"/>
    <w:p>
      <w:pPr>
        <w:jc w:val="center"/>
        <w:ind w:right="30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QUARTER ENDED SEPTEMBER 30, 1999</w:t>
      </w:r>
    </w:p>
    <w:p>
      <w:pPr>
        <w:spacing w:after="0" w:line="1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COMCAST CORPORATION</w:t>
      </w:r>
    </w:p>
    <w:p>
      <w:pPr>
        <w:spacing w:after="0" w:line="3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LAWRENCE S. SMITH</w:t>
      </w:r>
    </w:p>
    <w:p>
      <w:pPr>
        <w:spacing w:after="0" w:line="3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Lawrence S. Smith</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Executive Vice President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15, 1999</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35" w:right="1440" w:bottom="1440" w:gutter="0" w:footer="0" w:header="0"/>
        </w:sectPr>
      </w:pPr>
    </w:p>
    <w:bookmarkStart w:id="27" w:name="page28"/>
    <w:bookmarkEnd w:id="27"/>
    <w:p>
      <w:pPr>
        <w:ind w:left="8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both"/>
        <w:ind w:left="20" w:right="3039"/>
        <w:spacing w:after="0" w:line="28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 of operations and condensed consolidated balance sheet and is qualified in its entirety by reference to such financial statements.</w:t>
      </w:r>
    </w:p>
    <w:p>
      <w:pPr>
        <w:spacing w:after="0" w:line="6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0000022301</w:t>
      </w:r>
    </w:p>
    <w:p>
      <w:pPr>
        <w:spacing w:after="0" w:line="3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1,000,000</w:t>
      </w:r>
    </w:p>
    <w:p>
      <w:pPr>
        <w:spacing w:after="0" w:line="318"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30"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DEC-31-1999</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SEP-30-1999</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882</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5,354</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542</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(133)</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468</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7,341</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4,832</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(1,623)</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22,265</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4,092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6,778</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562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752</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6,322</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22,265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4,378</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4,378</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(1,181)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(3,890)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1,664</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(393)</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1,758</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(828)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930</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336</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(44)</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1,240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1.63</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1.52</w:t>
      </w:r>
    </w:p>
    <w:p>
      <w:pPr>
        <w:spacing w:after="0" w:line="318" w:lineRule="exact"/>
        <w:rPr>
          <w:sz w:val="20"/>
          <w:szCs w:val="20"/>
          <w:color w:val="auto"/>
        </w:rPr>
      </w:pPr>
    </w:p>
    <w:p>
      <w:pPr>
        <w:ind w:right="4059"/>
        <w:spacing w:after="0" w:line="359"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$18.2.</w:t>
      </w:r>
    </w:p>
    <w:sectPr>
      <w:pgSz w:w="11900" w:h="16838" w:orient="portrait"/>
      <w:cols w:equalWidth="0" w:num="1">
        <w:col w:w="10219"/>
      </w:cols>
      <w:pgMar w:left="240" w:top="4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5"/>
    </w:lvl>
    <w:lvl w:ilvl="1">
      <w:lvlJc w:val="left"/>
      <w:lvlText w:val="(%2)"/>
      <w:numFmt w:val="lowerLetter"/>
      <w:start w:val="1"/>
    </w:lvl>
  </w:abstractNum>
  <w:abstractNum w:abstractNumId="9">
    <w:nsid w:val="140E0F76"/>
    <w:multiLevelType w:val="hybridMultilevel"/>
    <w:lvl w:ilvl="0">
      <w:lvlJc w:val="left"/>
      <w:lvlText w:val="%1."/>
      <w:numFmt w:val="decimal"/>
      <w:start w:val="6"/>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2020-02-22T17:43:26Z</dcterms:created>
  <dcterms:modified xsi:type="dcterms:W3CDTF">2020-02-22T17:43:26Z</dcterms:modified>
</cp:coreProperties>
</file>