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1" w:lineRule="exact"/>
        <w:rPr>
          <w:sz w:val="24"/>
          <w:szCs w:val="24"/>
          <w:color w:val="auto"/>
        </w:rPr>
      </w:pPr>
    </w:p>
    <w:p>
      <w:pPr>
        <w:jc w:val="center"/>
        <w:ind w:right="-5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55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248285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559"/>
        <w:spacing w:after="0"/>
        <w:rPr>
          <w:sz w:val="20"/>
          <w:szCs w:val="20"/>
          <w:color w:val="auto"/>
        </w:rPr>
      </w:pPr>
      <w:r>
        <w:rPr>
          <w:rFonts w:ascii="Arial" w:cs="Arial" w:eastAsia="Arial" w:hAnsi="Arial"/>
          <w:sz w:val="29"/>
          <w:szCs w:val="29"/>
          <w:b w:val="1"/>
          <w:bCs w:val="1"/>
          <w:color w:val="auto"/>
        </w:rPr>
        <w:t>CURRENT REPORT</w:t>
      </w:r>
    </w:p>
    <w:p>
      <w:pPr>
        <w:spacing w:after="0" w:line="41" w:lineRule="exact"/>
        <w:rPr>
          <w:sz w:val="24"/>
          <w:szCs w:val="24"/>
          <w:color w:val="auto"/>
        </w:rPr>
      </w:pPr>
    </w:p>
    <w:p>
      <w:pPr>
        <w:jc w:val="center"/>
        <w:ind w:right="-559"/>
        <w:spacing w:after="0"/>
        <w:rPr>
          <w:sz w:val="20"/>
          <w:szCs w:val="20"/>
          <w:color w:val="auto"/>
        </w:rPr>
      </w:pPr>
      <w:r>
        <w:rPr>
          <w:rFonts w:ascii="Arial" w:cs="Arial" w:eastAsia="Arial" w:hAnsi="Arial"/>
          <w:sz w:val="29"/>
          <w:szCs w:val="29"/>
          <w:b w:val="1"/>
          <w:bCs w:val="1"/>
          <w:color w:val="auto"/>
        </w:rPr>
        <w:t>Pursuant to Section 13 or 15(d) of the</w:t>
      </w:r>
    </w:p>
    <w:p>
      <w:pPr>
        <w:spacing w:after="0" w:line="18" w:lineRule="exact"/>
        <w:rPr>
          <w:sz w:val="24"/>
          <w:szCs w:val="24"/>
          <w:color w:val="auto"/>
        </w:rPr>
      </w:pPr>
    </w:p>
    <w:p>
      <w:pPr>
        <w:jc w:val="center"/>
        <w:ind w:right="-559"/>
        <w:spacing w:after="0"/>
        <w:rPr>
          <w:sz w:val="20"/>
          <w:szCs w:val="20"/>
          <w:color w:val="auto"/>
        </w:rPr>
      </w:pPr>
      <w:r>
        <w:rPr>
          <w:rFonts w:ascii="Arial" w:cs="Arial" w:eastAsia="Arial" w:hAnsi="Arial"/>
          <w:sz w:val="29"/>
          <w:szCs w:val="29"/>
          <w:b w:val="1"/>
          <w:bCs w:val="1"/>
          <w:color w:val="auto"/>
        </w:rPr>
        <w:t>Securities Exchange Act of 1934</w:t>
      </w:r>
    </w:p>
    <w:p>
      <w:pPr>
        <w:spacing w:after="0" w:line="268"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Date of report (Date of earliest event reported): March 30, 2015</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NBCUniversal Media, LLC</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6"/>
          <w:szCs w:val="16"/>
          <w:color w:val="auto"/>
        </w:rPr>
        <w:t>(Exact Name of Registrant</w:t>
      </w:r>
    </w:p>
    <w:p>
      <w:pPr>
        <w:spacing w:after="0" w:line="8" w:lineRule="exact"/>
        <w:rPr>
          <w:sz w:val="24"/>
          <w:szCs w:val="24"/>
          <w:color w:val="auto"/>
        </w:rPr>
      </w:pPr>
    </w:p>
    <w:p>
      <w:pPr>
        <w:ind w:left="4580"/>
        <w:spacing w:after="0"/>
        <w:rPr>
          <w:sz w:val="20"/>
          <w:szCs w:val="20"/>
          <w:color w:val="auto"/>
        </w:rPr>
      </w:pPr>
      <w:r>
        <w:rPr>
          <w:rFonts w:ascii="Arial" w:cs="Arial" w:eastAsia="Arial" w:hAnsi="Arial"/>
          <w:sz w:val="16"/>
          <w:szCs w:val="16"/>
          <w:color w:val="auto"/>
        </w:rPr>
        <w:t>as Specified in its Charter)</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Delaware</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(State or Other Jurisdiction of Incorporation)</w:t>
      </w:r>
    </w:p>
    <w:p>
      <w:pPr>
        <w:sectPr>
          <w:pgSz w:w="11900" w:h="16838" w:orient="portrait"/>
          <w:cols w:equalWidth="0" w:num="1">
            <w:col w:w="10880"/>
          </w:cols>
          <w:pgMar w:left="240" w:top="310" w:right="779" w:bottom="1440" w:gutter="0" w:footer="0" w:header="0"/>
        </w:sectPr>
      </w:pPr>
    </w:p>
    <w:p>
      <w:pPr>
        <w:spacing w:after="0" w:line="226" w:lineRule="exact"/>
        <w:rPr>
          <w:sz w:val="24"/>
          <w:szCs w:val="24"/>
          <w:color w:val="auto"/>
        </w:rPr>
      </w:pPr>
    </w:p>
    <w:p>
      <w:pPr>
        <w:ind w:left="1260"/>
        <w:spacing w:after="0"/>
        <w:rPr>
          <w:sz w:val="20"/>
          <w:szCs w:val="20"/>
          <w:color w:val="auto"/>
        </w:rPr>
      </w:pPr>
      <w:r>
        <w:rPr>
          <w:rFonts w:ascii="Arial" w:cs="Arial" w:eastAsia="Arial" w:hAnsi="Arial"/>
          <w:sz w:val="16"/>
          <w:szCs w:val="16"/>
          <w:b w:val="1"/>
          <w:bCs w:val="1"/>
          <w:color w:val="auto"/>
        </w:rPr>
        <w:t>001-36438</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14-1682529</w:t>
      </w:r>
    </w:p>
    <w:p>
      <w:pPr>
        <w:spacing w:after="0" w:line="54" w:lineRule="exact"/>
        <w:rPr>
          <w:sz w:val="24"/>
          <w:szCs w:val="24"/>
          <w:color w:val="auto"/>
        </w:rPr>
      </w:pPr>
    </w:p>
    <w:p>
      <w:pPr>
        <w:sectPr>
          <w:pgSz w:w="11900" w:h="16838" w:orient="portrait"/>
          <w:cols w:equalWidth="0" w:num="2">
            <w:col w:w="8360" w:space="720"/>
            <w:col w:w="1800"/>
          </w:cols>
          <w:pgMar w:left="240" w:top="310" w:right="779" w:bottom="1440" w:gutter="0" w:footer="0" w:header="0"/>
          <w:type w:val="continuous"/>
        </w:sectPr>
      </w:pPr>
    </w:p>
    <w:p>
      <w:pPr>
        <w:ind w:left="76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7680" w:space="720"/>
            <w:col w:w="2480"/>
          </w:cols>
          <w:pgMar w:left="240" w:top="310" w:right="779" w:bottom="1440" w:gutter="0" w:footer="0" w:header="0"/>
          <w:type w:val="continuous"/>
        </w:sectPr>
      </w:pPr>
    </w:p>
    <w:p>
      <w:pPr>
        <w:spacing w:after="0" w:line="38" w:lineRule="exact"/>
        <w:rPr>
          <w:sz w:val="24"/>
          <w:szCs w:val="24"/>
          <w:color w:val="auto"/>
        </w:rPr>
      </w:pPr>
    </w:p>
    <w:p>
      <w:pPr>
        <w:ind w:left="860"/>
        <w:spacing w:after="0"/>
        <w:rPr>
          <w:sz w:val="20"/>
          <w:szCs w:val="20"/>
          <w:color w:val="auto"/>
        </w:rPr>
      </w:pPr>
      <w:r>
        <w:rPr>
          <w:rFonts w:ascii="Arial" w:cs="Arial" w:eastAsia="Arial" w:hAnsi="Arial"/>
          <w:sz w:val="16"/>
          <w:szCs w:val="16"/>
          <w:b w:val="1"/>
          <w:bCs w:val="1"/>
          <w:color w:val="auto"/>
        </w:rPr>
        <w:t>30 Rockefeller Plaza</w:t>
      </w:r>
    </w:p>
    <w:p>
      <w:pPr>
        <w:spacing w:after="0" w:line="50" w:lineRule="exact"/>
        <w:rPr>
          <w:sz w:val="24"/>
          <w:szCs w:val="24"/>
          <w:color w:val="auto"/>
        </w:rPr>
      </w:pPr>
    </w:p>
    <w:p>
      <w:pPr>
        <w:ind w:left="840"/>
        <w:spacing w:after="0"/>
        <w:rPr>
          <w:sz w:val="20"/>
          <w:szCs w:val="20"/>
          <w:color w:val="auto"/>
        </w:rPr>
      </w:pPr>
      <w:r>
        <w:rPr>
          <w:rFonts w:ascii="Arial" w:cs="Arial" w:eastAsia="Arial" w:hAnsi="Arial"/>
          <w:sz w:val="16"/>
          <w:szCs w:val="16"/>
          <w:b w:val="1"/>
          <w:bCs w:val="1"/>
          <w:color w:val="auto"/>
        </w:rPr>
        <w:t>New York, New York</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10112-0015</w:t>
      </w:r>
    </w:p>
    <w:p>
      <w:pPr>
        <w:spacing w:after="0" w:line="54" w:lineRule="exact"/>
        <w:rPr>
          <w:sz w:val="24"/>
          <w:szCs w:val="24"/>
          <w:color w:val="auto"/>
        </w:rPr>
      </w:pPr>
    </w:p>
    <w:p>
      <w:pPr>
        <w:sectPr>
          <w:pgSz w:w="11900" w:h="16838" w:orient="portrait"/>
          <w:cols w:equalWidth="0" w:num="2">
            <w:col w:w="8360" w:space="720"/>
            <w:col w:w="1800"/>
          </w:cols>
          <w:pgMar w:left="240" w:top="310" w:right="779" w:bottom="1440" w:gutter="0" w:footer="0" w:header="0"/>
          <w:type w:val="continuous"/>
        </w:sectPr>
      </w:pPr>
    </w:p>
    <w:p>
      <w:pPr>
        <w:ind w:left="32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211" w:lineRule="exact"/>
        <w:rPr>
          <w:sz w:val="24"/>
          <w:szCs w:val="24"/>
          <w:color w:val="auto"/>
        </w:rPr>
      </w:pPr>
    </w:p>
    <w:p>
      <w:pPr>
        <w:sectPr>
          <w:pgSz w:w="11900" w:h="16838" w:orient="portrait"/>
          <w:cols w:equalWidth="0" w:num="2">
            <w:col w:w="8440" w:space="720"/>
            <w:col w:w="1720"/>
          </w:cols>
          <w:pgMar w:left="240" w:top="310" w:right="779" w:bottom="1440" w:gutter="0" w:footer="0" w:header="0"/>
          <w:type w:val="continuous"/>
        </w:sectPr>
      </w:pP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6"/>
          <w:szCs w:val="16"/>
          <w:b w:val="1"/>
          <w:bCs w:val="1"/>
          <w:color w:val="auto"/>
        </w:rPr>
        <w:t>(212) 664-4444</w:t>
      </w:r>
    </w:p>
    <w:p>
      <w:pPr>
        <w:spacing w:after="0" w:line="257" w:lineRule="exact"/>
        <w:rPr>
          <w:sz w:val="24"/>
          <w:szCs w:val="24"/>
          <w:color w:val="auto"/>
        </w:rPr>
      </w:pPr>
    </w:p>
    <w:p>
      <w:pPr>
        <w:ind w:left="3580"/>
        <w:spacing w:after="0"/>
        <w:rPr>
          <w:sz w:val="20"/>
          <w:szCs w:val="20"/>
          <w:color w:val="auto"/>
        </w:rPr>
      </w:pPr>
      <w:r>
        <w:rPr>
          <w:rFonts w:ascii="Arial" w:cs="Arial" w:eastAsia="Arial" w:hAnsi="Arial"/>
          <w:sz w:val="15"/>
          <w:szCs w:val="15"/>
          <w:color w:val="auto"/>
        </w:rPr>
        <w:t>(Former Name or Former Address, if Changed Since Last Report)</w:t>
      </w:r>
    </w:p>
    <w:p>
      <w:pPr>
        <w:sectPr>
          <w:pgSz w:w="11900" w:h="16838" w:orient="portrait"/>
          <w:cols w:equalWidth="0" w:num="1">
            <w:col w:w="10880"/>
          </w:cols>
          <w:pgMar w:left="240" w:top="310" w:right="779" w:bottom="1440" w:gutter="0" w:footer="0" w:header="0"/>
          <w:type w:val="continuous"/>
        </w:sectPr>
      </w:pPr>
    </w:p>
    <w:p>
      <w:pPr>
        <w:spacing w:after="0" w:line="296"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24" w:lineRule="exact"/>
        <w:rPr>
          <w:sz w:val="24"/>
          <w:szCs w:val="24"/>
          <w:color w:val="auto"/>
        </w:rPr>
      </w:pPr>
    </w:p>
    <w:p>
      <w:pPr>
        <w:ind w:left="660" w:hanging="37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660" w:hanging="37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660" w:hanging="37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660" w:hanging="37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880"/>
          </w:cols>
          <w:pgMar w:left="240" w:top="310" w:right="779" w:bottom="1440" w:gutter="0" w:footer="0" w:header="0"/>
          <w:type w:val="continuous"/>
        </w:sectPr>
      </w:pPr>
    </w:p>
    <w:bookmarkStart w:id="1" w:name="page2"/>
    <w:bookmarkEnd w:id="1"/>
    <w:p>
      <w:pPr>
        <w:ind w:right="1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order to assume the role of Chief Executive Officer of a new, strategic company to be formed by Comcast Corporation (“Comcast”) and Michael J. Angelakis pursuant to an agreement entered into as of March 30, 2015, Mr. Angelakis will resign from his role as Vice Chairman and Chief Financial Officer of Comcast and his position as principal financial officer of NBCUniversal Media, LLC effective upon the earlier of the date on which Comcast’s new Chief Financial Officer commences employment with Comcast or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86" w:right="3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5860" w:type="dxa"/>
            <w:vAlign w:val="bottom"/>
            <w:gridSpan w:val="2"/>
          </w:tcPr>
          <w:p>
            <w:pPr>
              <w:ind w:left="2000"/>
              <w:spacing w:after="0"/>
              <w:rPr>
                <w:sz w:val="20"/>
                <w:szCs w:val="20"/>
                <w:color w:val="auto"/>
              </w:rPr>
            </w:pPr>
            <w:r>
              <w:rPr>
                <w:rFonts w:ascii="Arial" w:cs="Arial" w:eastAsia="Arial" w:hAnsi="Arial"/>
                <w:sz w:val="18"/>
                <w:szCs w:val="18"/>
                <w:b w:val="1"/>
                <w:bCs w:val="1"/>
                <w:color w:val="auto"/>
              </w:rPr>
              <w:t>NBCUNIVERSAL MEDIA, LLC</w:t>
            </w:r>
          </w:p>
        </w:tc>
        <w:tc>
          <w:tcPr>
            <w:tcW w:w="1960" w:type="dxa"/>
            <w:vAlign w:val="bottom"/>
          </w:tcPr>
          <w:p>
            <w:pPr>
              <w:spacing w:after="0"/>
              <w:rPr>
                <w:sz w:val="20"/>
                <w:szCs w:val="20"/>
                <w:color w:val="auto"/>
              </w:rPr>
            </w:pPr>
          </w:p>
        </w:tc>
      </w:tr>
      <w:tr>
        <w:trPr>
          <w:trHeight w:val="648"/>
        </w:trPr>
        <w:tc>
          <w:tcPr>
            <w:tcW w:w="3620" w:type="dxa"/>
            <w:vAlign w:val="bottom"/>
          </w:tcPr>
          <w:p>
            <w:pPr>
              <w:spacing w:after="0"/>
              <w:rPr>
                <w:sz w:val="20"/>
                <w:szCs w:val="20"/>
                <w:color w:val="auto"/>
              </w:rPr>
            </w:pPr>
            <w:r>
              <w:rPr>
                <w:rFonts w:ascii="Arial" w:cs="Arial" w:eastAsia="Arial" w:hAnsi="Arial"/>
                <w:sz w:val="18"/>
                <w:szCs w:val="18"/>
                <w:color w:val="auto"/>
              </w:rPr>
              <w:t>Date: March 31, 2015</w:t>
            </w:r>
          </w:p>
        </w:tc>
        <w:tc>
          <w:tcPr>
            <w:tcW w:w="5860" w:type="dxa"/>
            <w:vAlign w:val="bottom"/>
            <w:gridSpan w:val="2"/>
          </w:tcPr>
          <w:p>
            <w:pPr>
              <w:ind w:left="2000"/>
              <w:spacing w:after="0"/>
              <w:rPr>
                <w:sz w:val="20"/>
                <w:szCs w:val="20"/>
                <w:color w:val="auto"/>
              </w:rPr>
            </w:pPr>
            <w:r>
              <w:rPr>
                <w:rFonts w:ascii="Arial" w:cs="Arial" w:eastAsia="Arial" w:hAnsi="Arial"/>
                <w:sz w:val="18"/>
                <w:szCs w:val="18"/>
                <w:color w:val="auto"/>
              </w:rPr>
              <w:t>By:  /s/ Arthur R. Block</w:t>
            </w:r>
          </w:p>
        </w:tc>
        <w:tc>
          <w:tcPr>
            <w:tcW w:w="196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Arthur R. Block</w:t>
            </w:r>
          </w:p>
        </w:tc>
        <w:tc>
          <w:tcPr>
            <w:tcW w:w="196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Executive Senior Vice President</w:t>
            </w:r>
          </w:p>
        </w:tc>
        <w:tc>
          <w:tcPr>
            <w:tcW w:w="1960" w:type="dxa"/>
            <w:vAlign w:val="bottom"/>
          </w:tcPr>
          <w:p>
            <w:pPr>
              <w:spacing w:after="0"/>
              <w:rPr>
                <w:sz w:val="20"/>
                <w:szCs w:val="20"/>
                <w:color w:val="auto"/>
              </w:rPr>
            </w:pPr>
          </w:p>
        </w:tc>
      </w:tr>
      <w:tr>
        <w:trPr>
          <w:trHeight w:val="605"/>
        </w:trPr>
        <w:tc>
          <w:tcPr>
            <w:tcW w:w="362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5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2019-12-06T09:13:05Z</dcterms:created>
  <dcterms:modified xsi:type="dcterms:W3CDTF">2019-12-06T09:13:05Z</dcterms:modified>
</cp:coreProperties>
</file>