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444500</wp:posOffset>
            </wp:positionV>
            <wp:extent cx="136334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8"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hanging="532"/>
        <w:spacing w:after="0"/>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w:t>
      </w:r>
    </w:p>
    <w:p>
      <w:pPr>
        <w:spacing w:after="0" w:line="242" w:lineRule="exact"/>
        <w:rPr>
          <w:sz w:val="24"/>
          <w:szCs w:val="24"/>
          <w:color w:val="auto"/>
        </w:rPr>
      </w:pPr>
    </w:p>
    <w:p>
      <w:pPr>
        <w:ind w:left="540"/>
        <w:spacing w:after="0"/>
        <w:tabs>
          <w:tab w:leader="none" w:pos="3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21"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 RETIREMENT-INVESTMENT PLAN</w:t>
      </w:r>
    </w:p>
    <w:p>
      <w:pPr>
        <w:spacing w:after="0" w:line="22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TABLE OF CONTENTS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540" w:type="dxa"/>
            <w:vAlign w:val="bottom"/>
            <w:gridSpan w:val="8"/>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40" w:type="dxa"/>
            <w:vAlign w:val="bottom"/>
            <w:gridSpan w:val="8"/>
            <w:vMerge w:val="continue"/>
          </w:tcPr>
          <w:p>
            <w:pPr>
              <w:spacing w:after="0"/>
              <w:rPr>
                <w:sz w:val="13"/>
                <w:szCs w:val="13"/>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74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60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Net Assets Available for Benefits as of December 31, 2012 and 2011</w:t>
              </w:r>
            </w:hyperlink>
          </w:p>
        </w:tc>
        <w:tc>
          <w:tcPr>
            <w:tcW w:w="4180" w:type="dxa"/>
            <w:vAlign w:val="bottom"/>
            <w:gridSpan w:val="3"/>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101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2012</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7080" w:type="dxa"/>
            <w:vAlign w:val="bottom"/>
            <w:tcBorders>
              <w:top w:val="single" w:sz="8" w:color="0000EE"/>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100" w:type="dxa"/>
            <w:vAlign w:val="bottom"/>
            <w:gridSpan w:val="2"/>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40" w:type="dxa"/>
            <w:vAlign w:val="bottom"/>
            <w:gridSpan w:val="8"/>
          </w:tcPr>
          <w:p>
            <w:pPr>
              <w:spacing w:after="0"/>
              <w:rPr>
                <w:sz w:val="20"/>
                <w:szCs w:val="20"/>
                <w:color w:val="auto"/>
              </w:rPr>
            </w:pPr>
            <w:r>
              <w:rPr>
                <w:rFonts w:ascii="Arial" w:cs="Arial" w:eastAsia="Arial" w:hAnsi="Arial"/>
                <w:sz w:val="18"/>
                <w:szCs w:val="18"/>
                <w:color w:val="auto"/>
              </w:rPr>
              <w:t>SUPPLEMENTAL SCHEDULE:</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60" w:type="dxa"/>
            <w:vAlign w:val="bottom"/>
          </w:tcPr>
          <w:p>
            <w:pPr>
              <w:spacing w:after="0"/>
              <w:rPr>
                <w:sz w:val="24"/>
                <w:szCs w:val="24"/>
                <w:color w:val="auto"/>
              </w:rPr>
            </w:pPr>
          </w:p>
        </w:tc>
        <w:tc>
          <w:tcPr>
            <w:tcW w:w="10180" w:type="dxa"/>
            <w:vAlign w:val="bottom"/>
            <w:gridSpan w:val="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Form 5500, Schedule H—Part IV, Line 4i—Schedule of Assets (Held at End of Year) as of December 31, 2012</w:t>
              </w:r>
            </w:hyperlink>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0" w:type="dxa"/>
            <w:vAlign w:val="bottom"/>
            <w:gridSpan w:val="3"/>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CONSENT OF INDEPENDENT REGISTERED PUBLIC ACCOUNTING FIRM</w:t>
              </w:r>
            </w:hyperlink>
          </w:p>
        </w:tc>
        <w:tc>
          <w:tcPr>
            <w:tcW w:w="4580" w:type="dxa"/>
            <w:vAlign w:val="bottom"/>
            <w:gridSpan w:val="4"/>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70"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Borders>
              <w:bottom w:val="single" w:sz="8" w:color="0000EE"/>
            </w:tcBorders>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SIGNATURE</w:t>
              </w:r>
            </w:hyperlink>
          </w:p>
        </w:tc>
        <w:tc>
          <w:tcPr>
            <w:tcW w:w="104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ind w:left="880" w:right="240"/>
        <w:spacing w:after="0" w:line="277" w:lineRule="auto"/>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 Corporation Retirement-Investment Plan (the “Plan”) as of December 31, 2012 and 2011, and the related statement of changes in net assets available for benefits for the year ended December 31, 2012.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2012 and 2011, and the changes in net assets available for benefits for the year ended December 31, 2012 in conformity with accounting principles generally accepted in the United States of America.</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as of December 31, 2012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Such schedule has been subjected to the auditing procedures applied in our audit of the basic 2012 financial statements and, in our opinion, is fairly stated in all material respects when considered in relation to the basic financial statements taken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2012 AND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Cash</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976</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Participant-directed investments, at fair value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3,865,554</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3,311,035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Notes receivable from participants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129,820</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receivable from participants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Contributions receivable from employer</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11,276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 receivables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141,260</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138,904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ASSETS REFLECTING ALL INVESTMENTS AT FAIR VALUE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4,007,790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3,450,710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9"/>
              </w:rPr>
              <w:t>Adjustment from fair value to contract value for fully benefit-responsive investment contracts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(20,119)</w:t>
            </w: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3,987,671</w:t>
            </w:r>
          </w:p>
        </w:tc>
        <w:tc>
          <w:tcPr>
            <w:tcW w:w="300" w:type="dxa"/>
            <w:vAlign w:val="bottom"/>
          </w:tcPr>
          <w:p>
            <w:pPr>
              <w:spacing w:after="0"/>
              <w:rPr>
                <w:sz w:val="18"/>
                <w:szCs w:val="18"/>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3,430,045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jc w:val="right"/>
              <w:ind w:right="165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4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2" w:name="page3"/>
    <w:bookmarkEnd w:id="2"/>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Borders>
              <w:bottom w:val="single" w:sz="8" w:color="CCEEFF"/>
            </w:tcBorders>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5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appreciation in fair value of investments</w:t>
            </w:r>
          </w:p>
        </w:tc>
        <w:tc>
          <w:tcPr>
            <w:tcW w:w="5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investment income</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Participant</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249,653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Employer</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Rollover</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520"/>
              <w:spacing w:after="0"/>
              <w:rPr>
                <w:sz w:val="20"/>
                <w:szCs w:val="20"/>
                <w:color w:val="auto"/>
              </w:rPr>
            </w:pPr>
            <w:r>
              <w:rPr>
                <w:rFonts w:ascii="Arial" w:cs="Arial" w:eastAsia="Arial" w:hAnsi="Arial"/>
                <w:sz w:val="18"/>
                <w:szCs w:val="18"/>
                <w:color w:val="auto"/>
              </w:rPr>
              <w:t>Total contributions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427,871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Interest income on notes receivable from participants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Total additions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969,465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DEDUCTIONS: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 to participants</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Administrative expenses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4,914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Total deductions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411,839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Increase in net assets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557,626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5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3,430,045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 of year</w:t>
            </w:r>
          </w:p>
        </w:tc>
        <w:tc>
          <w:tcPr>
            <w:tcW w:w="5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3,987,671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gridSpan w:val="2"/>
            <w:vMerge w:val="continue"/>
          </w:tcPr>
          <w:p>
            <w:pPr>
              <w:spacing w:after="0"/>
              <w:rPr>
                <w:sz w:val="24"/>
                <w:szCs w:val="24"/>
                <w:color w:val="auto"/>
              </w:rPr>
            </w:pP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0" w:type="dxa"/>
            <w:vAlign w:val="bottom"/>
          </w:tcPr>
          <w:p>
            <w:pPr>
              <w:jc w:val="right"/>
              <w:ind w:right="399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20" w:type="dxa"/>
            <w:vAlign w:val="bottom"/>
            <w:tcBorders>
              <w:bottom w:val="single" w:sz="8" w:color="010101"/>
            </w:tcBorders>
          </w:tcPr>
          <w:p>
            <w:pPr>
              <w:spacing w:after="0"/>
              <w:rPr>
                <w:sz w:val="11"/>
                <w:szCs w:val="11"/>
                <w:color w:val="auto"/>
              </w:rPr>
            </w:pPr>
          </w:p>
        </w:tc>
        <w:tc>
          <w:tcPr>
            <w:tcW w:w="50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2012 AND 2011, YEAR ENDED DECEMBER 31, 2012</w:t>
      </w:r>
    </w:p>
    <w:p>
      <w:pPr>
        <w:spacing w:after="0" w:line="207" w:lineRule="exact"/>
        <w:rPr>
          <w:sz w:val="20"/>
          <w:szCs w:val="20"/>
          <w:color w:val="auto"/>
        </w:rPr>
      </w:pPr>
    </w:p>
    <w:p>
      <w:pPr>
        <w:ind w:left="440" w:right="9220" w:hanging="432"/>
        <w:spacing w:after="0" w:line="503" w:lineRule="auto"/>
        <w:tabs>
          <w:tab w:leader="none" w:pos="44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DESCRIPTION </w:t>
      </w:r>
      <w:r>
        <w:rPr>
          <w:rFonts w:ascii="Arial" w:cs="Arial" w:eastAsia="Arial" w:hAnsi="Arial"/>
          <w:sz w:val="18"/>
          <w:szCs w:val="18"/>
          <w:u w:val="single" w:color="auto"/>
          <w:color w:val="auto"/>
        </w:rPr>
        <w:t>General</w:t>
      </w:r>
    </w:p>
    <w:p>
      <w:pPr>
        <w:ind w:left="44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w:t>
      </w:r>
    </w:p>
    <w:p>
      <w:pPr>
        <w:spacing w:after="0" w:line="165" w:lineRule="exact"/>
        <w:rPr>
          <w:rFonts w:ascii="Arial" w:cs="Arial" w:eastAsia="Arial" w:hAnsi="Arial"/>
          <w:sz w:val="18"/>
          <w:szCs w:val="18"/>
          <w:b w:val="1"/>
          <w:bCs w:val="1"/>
          <w:color w:val="auto"/>
        </w:rPr>
      </w:pPr>
    </w:p>
    <w:p>
      <w:pPr>
        <w:jc w:val="both"/>
        <w:ind w:left="4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65" w:lineRule="exact"/>
        <w:rPr>
          <w:rFonts w:ascii="Arial" w:cs="Arial" w:eastAsia="Arial" w:hAnsi="Arial"/>
          <w:sz w:val="18"/>
          <w:szCs w:val="18"/>
          <w:b w:val="1"/>
          <w:bCs w:val="1"/>
          <w:color w:val="auto"/>
        </w:rPr>
      </w:pPr>
    </w:p>
    <w:p>
      <w:pPr>
        <w:ind w:left="44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Employees become eligible to participate in the Plan in the first month after completion of three months of service and are automatically enrolled in the Plan at a contribution rate equal to two percent of eligible compensation on a pre-tax basis unless they opt out of participation. Automatically-enrolled participants may thereafter increase or decrease their contribution. The maximum amount of eligible compensation that may be deferred is 50%, subject to certain limits imposed by the Code. The Company matches 100% of the participant’s contribution up to 4.5% of the participant’s eligible compensation for such payroll period. The maximum Company matching contribution for a Plan year is $10,000 for any participant who is a Highly Compensated Employee and whose Annual Rate of Pay (as both terms are defined in the Plan) is more than $200,000. Rollover contributions represent participant assets transferred to the Plan from other qualified retirement plans.</w:t>
      </w:r>
    </w:p>
    <w:p>
      <w:pPr>
        <w:spacing w:after="0" w:line="177" w:lineRule="exact"/>
        <w:rPr>
          <w:rFonts w:ascii="Arial" w:cs="Arial" w:eastAsia="Arial" w:hAnsi="Arial"/>
          <w:sz w:val="18"/>
          <w:szCs w:val="18"/>
          <w:b w:val="1"/>
          <w:bCs w:val="1"/>
          <w:color w:val="auto"/>
        </w:rPr>
      </w:pPr>
    </w:p>
    <w:p>
      <w:pPr>
        <w:ind w:left="440"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w:t>
      </w:r>
    </w:p>
    <w:p>
      <w:pPr>
        <w:sectPr>
          <w:pgSz w:w="11900" w:h="16854" w:orient="portrait"/>
          <w:cols w:equalWidth="0" w:num="1">
            <w:col w:w="11460"/>
          </w:cols>
          <w:pgMar w:left="240" w:top="368" w:right="199" w:bottom="0" w:gutter="0" w:footer="0" w:header="0"/>
        </w:sectPr>
      </w:pPr>
    </w:p>
    <w:bookmarkStart w:id="3" w:name="page4"/>
    <w:bookmarkEnd w:id="3"/>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ended on or prior to December 31, 2000 vested according to years of service.</w:t>
      </w:r>
    </w:p>
    <w:p>
      <w:pPr>
        <w:spacing w:after="0" w:line="225" w:lineRule="exact"/>
        <w:rPr>
          <w:sz w:val="20"/>
          <w:szCs w:val="20"/>
          <w:color w:val="auto"/>
        </w:rPr>
      </w:pPr>
    </w:p>
    <w:p>
      <w:pPr>
        <w:ind w:left="440" w:right="80"/>
        <w:spacing w:after="0" w:line="259" w:lineRule="auto"/>
        <w:rPr>
          <w:sz w:val="20"/>
          <w:szCs w:val="20"/>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 The Trustee also assesses participants in the Plan a $19 per year administrative fee per account.</w:t>
      </w:r>
    </w:p>
    <w:p>
      <w:pPr>
        <w:spacing w:after="0" w:line="187" w:lineRule="exact"/>
        <w:rPr>
          <w:sz w:val="20"/>
          <w:szCs w:val="20"/>
          <w:color w:val="auto"/>
        </w:rPr>
      </w:pPr>
    </w:p>
    <w:p>
      <w:pPr>
        <w:ind w:left="440" w:right="120"/>
        <w:spacing w:after="0" w:line="272" w:lineRule="auto"/>
        <w:rPr>
          <w:sz w:val="20"/>
          <w:szCs w:val="20"/>
          <w:color w:val="auto"/>
        </w:rPr>
      </w:pPr>
      <w:r>
        <w:rPr>
          <w:rFonts w:ascii="Arial" w:cs="Arial" w:eastAsia="Arial" w:hAnsi="Arial"/>
          <w:sz w:val="17"/>
          <w:szCs w:val="17"/>
          <w:color w:val="auto"/>
        </w:rPr>
        <w:t>Forfeitures, consisting of amounts contributed by the Company that are not 100% vested upon a participants’ separation from service and amounts related to unclaimed Required Minimum Distributions as defined by the Code,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 ended December 31, 2012 amounted to $395,000. Outstanding forfeitures not yet applied against Company contributions at December 31, 2012 and 2011 were $33,619 and $1,417, respectively.</w:t>
      </w:r>
    </w:p>
    <w:p>
      <w:pPr>
        <w:spacing w:after="0" w:line="178"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or quarterly installments, a rollover into another qualified plan, or any combination of the foregoing.</w:t>
      </w:r>
    </w:p>
    <w:p>
      <w:pPr>
        <w:spacing w:after="0" w:line="188" w:lineRule="exact"/>
        <w:rPr>
          <w:sz w:val="20"/>
          <w:szCs w:val="20"/>
          <w:color w:val="auto"/>
        </w:rPr>
      </w:pPr>
    </w:p>
    <w:p>
      <w:pPr>
        <w:jc w:val="both"/>
        <w:ind w:left="440" w:right="640"/>
        <w:spacing w:after="0" w:line="264" w:lineRule="auto"/>
        <w:rPr>
          <w:sz w:val="20"/>
          <w:szCs w:val="20"/>
          <w:color w:val="auto"/>
        </w:rPr>
      </w:pPr>
      <w:r>
        <w:rPr>
          <w:rFonts w:ascii="Arial" w:cs="Arial" w:eastAsia="Arial" w:hAnsi="Arial"/>
          <w:sz w:val="18"/>
          <w:szCs w:val="18"/>
          <w:color w:val="auto"/>
        </w:rPr>
        <w:t>Effective January 2012, certain participants were able to voluntarily elect to transfer participant account balances to the NBCUniversal Capital Accumulation Plan. Included in benefits paid to participants in the Statement of Changes in Net Assets Available for Benefits is $97 million of transfers made to the NBCUniversal Capital Accumulation Plan on the participants behalf.</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Trustee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Fidelity Management Trust Company is the appointed Trustee of the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40" w:right="6280" w:hanging="432"/>
        <w:spacing w:after="0" w:line="503" w:lineRule="auto"/>
        <w:tabs>
          <w:tab w:leader="none" w:pos="4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of America (“U.S. GAAP”).</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Investment Valuation and Income Recognition</w:t>
      </w:r>
    </w:p>
    <w:p>
      <w:pPr>
        <w:spacing w:after="0" w:line="225" w:lineRule="exact"/>
        <w:rPr>
          <w:rFonts w:ascii="Arial" w:cs="Arial" w:eastAsia="Arial" w:hAnsi="Arial"/>
          <w:sz w:val="18"/>
          <w:szCs w:val="18"/>
          <w:b w:val="1"/>
          <w:bCs w:val="1"/>
          <w:color w:val="auto"/>
        </w:rPr>
      </w:pPr>
    </w:p>
    <w:p>
      <w:pPr>
        <w:ind w:left="4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Plan’s investments are stated at fair value. Fair value of a financial instrument is the price that would be received to sell an asset or paid to transfer a liability in an orderly transaction between market participants at the measurement date. The Company’s Class A and Class A Special common stock are valued at their respective closing price reported on the NASDAQ Global Select Market on the last trading day of the Plan year. Money market funds are stated at amortized cost, which approximates fair value. Shares of mutual funds, separate accounts and common collective trusts are valued at the net asset value of shares held by the Plan at year-end. The stable value fund is stated at fair value and then adjusted to contract value as described below. Fair value of the stable value fund is the net asset value of its underlying investments and contract value is principal plus accrued interest. Notes receivable from participants are measured at their unpaid principal balance plus any accrued but unpaid interest.</w:t>
      </w:r>
    </w:p>
    <w:p>
      <w:pPr>
        <w:spacing w:after="0" w:line="167" w:lineRule="exact"/>
        <w:rPr>
          <w:rFonts w:ascii="Arial" w:cs="Arial" w:eastAsia="Arial" w:hAnsi="Arial"/>
          <w:sz w:val="18"/>
          <w:szCs w:val="18"/>
          <w:b w:val="1"/>
          <w:bCs w:val="1"/>
          <w:color w:val="auto"/>
        </w:rPr>
      </w:pPr>
    </w:p>
    <w:p>
      <w:pPr>
        <w:ind w:left="44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Investment contracts, such as those included in the Comcast Stable Value Fund, are required to be reported at fair value. However, contract value is the relevant measure of fully benefit-responsive investment contracts since that is the amount participants would receive if they were to initiate permitted transactions under the terms of the Plan. As required by U.S. GAAP,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w:t>
      </w:r>
    </w:p>
    <w:p>
      <w:pPr>
        <w:spacing w:after="0" w:line="172" w:lineRule="exact"/>
        <w:rPr>
          <w:rFonts w:ascii="Arial" w:cs="Arial" w:eastAsia="Arial" w:hAnsi="Arial"/>
          <w:sz w:val="18"/>
          <w:szCs w:val="18"/>
          <w:b w:val="1"/>
          <w:bCs w:val="1"/>
          <w:color w:val="auto"/>
        </w:rPr>
      </w:pPr>
    </w:p>
    <w:p>
      <w:pPr>
        <w:ind w:left="44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6"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Risks and Uncertainties</w:t>
      </w:r>
    </w:p>
    <w:p>
      <w:pPr>
        <w:spacing w:after="0" w:line="225" w:lineRule="exact"/>
        <w:rPr>
          <w:rFonts w:ascii="Arial" w:cs="Arial" w:eastAsia="Arial" w:hAnsi="Arial"/>
          <w:sz w:val="18"/>
          <w:szCs w:val="18"/>
          <w:b w:val="1"/>
          <w:bCs w:val="1"/>
          <w:color w:val="auto"/>
        </w:rPr>
      </w:pPr>
    </w:p>
    <w:p>
      <w:pPr>
        <w:ind w:left="44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8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Use of Estimates</w:t>
      </w:r>
    </w:p>
    <w:p>
      <w:pPr>
        <w:spacing w:after="0" w:line="225" w:lineRule="exact"/>
        <w:rPr>
          <w:rFonts w:ascii="Arial" w:cs="Arial" w:eastAsia="Arial" w:hAnsi="Arial"/>
          <w:sz w:val="18"/>
          <w:szCs w:val="18"/>
          <w:b w:val="1"/>
          <w:bCs w:val="1"/>
          <w:color w:val="auto"/>
        </w:rPr>
      </w:pPr>
    </w:p>
    <w:p>
      <w:pPr>
        <w:ind w:left="44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liabilities, and changes therein, and disclosure of contingent assets and liabilities. Actual results could differ from those estimates.</w:t>
      </w:r>
    </w:p>
    <w:p>
      <w:pPr>
        <w:spacing w:after="0" w:line="123"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New Accounting Standard</w:t>
      </w:r>
    </w:p>
    <w:p>
      <w:pPr>
        <w:spacing w:after="0" w:line="225" w:lineRule="exact"/>
        <w:rPr>
          <w:rFonts w:ascii="Arial" w:cs="Arial" w:eastAsia="Arial" w:hAnsi="Arial"/>
          <w:sz w:val="18"/>
          <w:szCs w:val="18"/>
          <w:b w:val="1"/>
          <w:bCs w:val="1"/>
          <w:color w:val="auto"/>
        </w:rPr>
      </w:pPr>
    </w:p>
    <w:p>
      <w:pPr>
        <w:jc w:val="both"/>
        <w:ind w:left="440"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In May 2011, the Financial Accounting Standards Board (FASB) issued Accounting Standards Update (ASU) No. 2011-04, </w:t>
      </w:r>
      <w:r>
        <w:rPr>
          <w:rFonts w:ascii="Arial" w:cs="Arial" w:eastAsia="Arial" w:hAnsi="Arial"/>
          <w:sz w:val="16"/>
          <w:szCs w:val="16"/>
          <w:i w:val="1"/>
          <w:iCs w:val="1"/>
          <w:color w:val="auto"/>
        </w:rPr>
        <w:t>Amendments to Achieve</w:t>
      </w:r>
      <w:r>
        <w:rPr>
          <w:rFonts w:ascii="Arial" w:cs="Arial" w:eastAsia="Arial" w:hAnsi="Arial"/>
          <w:sz w:val="16"/>
          <w:szCs w:val="16"/>
          <w:color w:val="auto"/>
        </w:rPr>
        <w:t xml:space="preserve"> </w:t>
      </w:r>
      <w:r>
        <w:rPr>
          <w:rFonts w:ascii="Arial" w:cs="Arial" w:eastAsia="Arial" w:hAnsi="Arial"/>
          <w:sz w:val="16"/>
          <w:szCs w:val="16"/>
          <w:i w:val="1"/>
          <w:iCs w:val="1"/>
          <w:color w:val="auto"/>
        </w:rPr>
        <w:t>Common Fair Value Measurement and Disclosure Requirements in U.S. GAAP and IFRSs</w:t>
      </w:r>
      <w:r>
        <w:rPr>
          <w:rFonts w:ascii="Arial" w:cs="Arial" w:eastAsia="Arial" w:hAnsi="Arial"/>
          <w:sz w:val="16"/>
          <w:szCs w:val="16"/>
          <w:color w:val="auto"/>
        </w:rPr>
        <w:t>, which amends Accounting Standards Codification (ASC)</w:t>
      </w:r>
    </w:p>
    <w:p>
      <w:pPr>
        <w:sectPr>
          <w:pgSz w:w="11900" w:h="16908" w:orient="portrait"/>
          <w:cols w:equalWidth="0" w:num="1">
            <w:col w:w="11420"/>
          </w:cols>
          <w:pgMar w:left="240" w:top="125" w:right="239" w:bottom="0" w:gutter="0" w:footer="0" w:header="0"/>
        </w:sectPr>
      </w:pPr>
    </w:p>
    <w:bookmarkStart w:id="4" w:name="page5"/>
    <w:bookmarkEnd w:id="4"/>
    <w:p>
      <w:pPr>
        <w:ind w:left="800" w:hanging="351"/>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ASU No. 2011-04 clarifies the FASB’s intent about the application of existing fair value measurement and disclosure requirements under ASC</w:t>
      </w:r>
    </w:p>
    <w:p>
      <w:pPr>
        <w:spacing w:after="0" w:line="46" w:lineRule="exact"/>
        <w:rPr>
          <w:rFonts w:ascii="Arial" w:cs="Arial" w:eastAsia="Arial" w:hAnsi="Arial"/>
          <w:sz w:val="16"/>
          <w:szCs w:val="16"/>
          <w:color w:val="auto"/>
        </w:rPr>
      </w:pPr>
    </w:p>
    <w:p>
      <w:pPr>
        <w:ind w:left="440" w:right="40" w:firstLine="9"/>
        <w:spacing w:after="0" w:line="290"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This ASU requires the categorization by level for items that are required to be disclosed, but not measured, at fair value. This ASU also requires additional disclosure of information about transfers between Level 1 and Level 2 of the fair value hierarchy and additional disclosure regarding the sensitivity of Level 3 measurements of fair value to changes in unobservable inputs and any interrelationships between those inputs. In addition, the ASU provides guidance on measuring the fair value of financial instruments managed within a portfolio and the application of premiums and discounts on fair value measurements. The new guidance is effective for reporting periods beginning after December 15, 2011. The adoption in 2012 did not have a material effect on the Statement of Net Assets Available for Benefits and Statement of Changes in Net Assets Available for Benefits.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fair market value of investments, held by the Plan, representing 5% or more of the Plan’s assets are identified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Dodge and Cox Balanced Fund</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Spartan International Index Fund—Fidelity Advantage Inst Class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200,840</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Spartan 500 Index Fund—Institutional Class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293,202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Pimco Total Return Institutional Fund</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Separate account</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Large Cap Stock Fund</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454,473</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 Rowe Price Blue Chip Growth Fund</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Stock</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Class A Common Stock</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298,958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Comcast Stable Value Fund</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JP Morgan Chase</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199,684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During 2012, the Plan’s investments, including investments purchased and sold, as well as held during the year, appreciated in fair value as follows (in thousands):</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20" w:type="dxa"/>
            <w:vAlign w:val="bottom"/>
          </w:tcPr>
          <w:p>
            <w:pPr>
              <w:ind w:left="180"/>
              <w:spacing w:after="0"/>
              <w:rPr>
                <w:sz w:val="20"/>
                <w:szCs w:val="20"/>
                <w:color w:val="auto"/>
              </w:rPr>
            </w:pPr>
            <w:r>
              <w:rPr>
                <w:rFonts w:ascii="Arial" w:cs="Arial" w:eastAsia="Arial" w:hAnsi="Arial"/>
                <w:sz w:val="18"/>
                <w:szCs w:val="18"/>
                <w:color w:val="auto"/>
              </w:rPr>
              <w:t>Comcast Class A</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117,093</w:t>
            </w:r>
          </w:p>
        </w:tc>
        <w:tc>
          <w:tcPr>
            <w:tcW w:w="80" w:type="dxa"/>
            <w:vAlign w:val="bottom"/>
          </w:tcPr>
          <w:p>
            <w:pPr>
              <w:spacing w:after="0"/>
              <w:rPr>
                <w:sz w:val="18"/>
                <w:szCs w:val="18"/>
                <w:color w:val="auto"/>
              </w:rPr>
            </w:pPr>
          </w:p>
        </w:tc>
      </w:tr>
      <w:tr>
        <w:trPr>
          <w:trHeight w:val="216"/>
        </w:trPr>
        <w:tc>
          <w:tcPr>
            <w:tcW w:w="9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Comcast Class A Special</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15,260</w:t>
            </w:r>
          </w:p>
        </w:tc>
        <w:tc>
          <w:tcPr>
            <w:tcW w:w="80" w:type="dxa"/>
            <w:vAlign w:val="bottom"/>
            <w:shd w:val="clear" w:color="auto" w:fill="CCEEFF"/>
          </w:tcPr>
          <w:p>
            <w:pPr>
              <w:spacing w:after="0"/>
              <w:rPr>
                <w:sz w:val="18"/>
                <w:szCs w:val="18"/>
                <w:color w:val="auto"/>
              </w:rPr>
            </w:pPr>
          </w:p>
        </w:tc>
      </w:tr>
      <w:tr>
        <w:trPr>
          <w:trHeight w:val="210"/>
        </w:trPr>
        <w:tc>
          <w:tcPr>
            <w:tcW w:w="9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common stock</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132,353</w:t>
            </w:r>
          </w:p>
        </w:tc>
        <w:tc>
          <w:tcPr>
            <w:tcW w:w="8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20" w:type="dxa"/>
            <w:vAlign w:val="bottom"/>
          </w:tcPr>
          <w:p>
            <w:pPr>
              <w:ind w:left="180"/>
              <w:spacing w:after="0"/>
              <w:rPr>
                <w:sz w:val="20"/>
                <w:szCs w:val="20"/>
                <w:color w:val="auto"/>
              </w:rPr>
            </w:pPr>
            <w:r>
              <w:rPr>
                <w:rFonts w:ascii="Arial" w:cs="Arial" w:eastAsia="Arial" w:hAnsi="Arial"/>
                <w:sz w:val="18"/>
                <w:szCs w:val="18"/>
                <w:color w:val="auto"/>
              </w:rPr>
              <w:t>Domestic stock funds</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107,814</w:t>
            </w:r>
          </w:p>
        </w:tc>
        <w:tc>
          <w:tcPr>
            <w:tcW w:w="80" w:type="dxa"/>
            <w:vAlign w:val="bottom"/>
          </w:tcPr>
          <w:p>
            <w:pPr>
              <w:spacing w:after="0"/>
              <w:rPr>
                <w:sz w:val="18"/>
                <w:szCs w:val="18"/>
                <w:color w:val="auto"/>
              </w:rPr>
            </w:pPr>
          </w:p>
        </w:tc>
      </w:tr>
      <w:tr>
        <w:trPr>
          <w:trHeight w:val="216"/>
        </w:trPr>
        <w:tc>
          <w:tcPr>
            <w:tcW w:w="9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stock funds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52,633</w:t>
            </w:r>
          </w:p>
        </w:tc>
        <w:tc>
          <w:tcPr>
            <w:tcW w:w="80" w:type="dxa"/>
            <w:vAlign w:val="bottom"/>
            <w:shd w:val="clear" w:color="auto" w:fill="CCEEFF"/>
          </w:tcPr>
          <w:p>
            <w:pPr>
              <w:spacing w:after="0"/>
              <w:rPr>
                <w:sz w:val="18"/>
                <w:szCs w:val="18"/>
                <w:color w:val="auto"/>
              </w:rPr>
            </w:pPr>
          </w:p>
        </w:tc>
      </w:tr>
      <w:tr>
        <w:trPr>
          <w:trHeight w:val="216"/>
        </w:trPr>
        <w:tc>
          <w:tcPr>
            <w:tcW w:w="9520" w:type="dxa"/>
            <w:vAlign w:val="bottom"/>
          </w:tcPr>
          <w:p>
            <w:pPr>
              <w:ind w:left="180"/>
              <w:spacing w:after="0"/>
              <w:rPr>
                <w:sz w:val="20"/>
                <w:szCs w:val="20"/>
                <w:color w:val="auto"/>
              </w:rPr>
            </w:pPr>
            <w:r>
              <w:rPr>
                <w:rFonts w:ascii="Arial" w:cs="Arial" w:eastAsia="Arial" w:hAnsi="Arial"/>
                <w:sz w:val="18"/>
                <w:szCs w:val="18"/>
                <w:color w:val="auto"/>
              </w:rPr>
              <w:t>Balanced funds</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23,116</w:t>
            </w:r>
          </w:p>
        </w:tc>
        <w:tc>
          <w:tcPr>
            <w:tcW w:w="80" w:type="dxa"/>
            <w:vAlign w:val="bottom"/>
          </w:tcPr>
          <w:p>
            <w:pPr>
              <w:spacing w:after="0"/>
              <w:rPr>
                <w:sz w:val="18"/>
                <w:szCs w:val="18"/>
                <w:color w:val="auto"/>
              </w:rPr>
            </w:pPr>
          </w:p>
        </w:tc>
      </w:tr>
      <w:tr>
        <w:trPr>
          <w:trHeight w:val="216"/>
        </w:trPr>
        <w:tc>
          <w:tcPr>
            <w:tcW w:w="9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11,881</w:t>
            </w:r>
          </w:p>
        </w:tc>
        <w:tc>
          <w:tcPr>
            <w:tcW w:w="80" w:type="dxa"/>
            <w:vAlign w:val="bottom"/>
            <w:shd w:val="clear" w:color="auto" w:fill="CCEEFF"/>
          </w:tcPr>
          <w:p>
            <w:pPr>
              <w:spacing w:after="0"/>
              <w:rPr>
                <w:sz w:val="18"/>
                <w:szCs w:val="18"/>
                <w:color w:val="auto"/>
              </w:rPr>
            </w:pPr>
          </w:p>
        </w:tc>
      </w:tr>
      <w:tr>
        <w:trPr>
          <w:trHeight w:val="210"/>
        </w:trPr>
        <w:tc>
          <w:tcPr>
            <w:tcW w:w="9520" w:type="dxa"/>
            <w:vAlign w:val="bottom"/>
          </w:tcPr>
          <w:p>
            <w:pPr>
              <w:ind w:left="380"/>
              <w:spacing w:after="0"/>
              <w:rPr>
                <w:sz w:val="20"/>
                <w:szCs w:val="20"/>
                <w:color w:val="auto"/>
              </w:rPr>
            </w:pPr>
            <w:r>
              <w:rPr>
                <w:rFonts w:ascii="Arial" w:cs="Arial" w:eastAsia="Arial" w:hAnsi="Arial"/>
                <w:sz w:val="18"/>
                <w:szCs w:val="18"/>
                <w:color w:val="auto"/>
              </w:rPr>
              <w:t>Total mutual funds</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Separate account</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48,885</w:t>
            </w:r>
          </w:p>
        </w:tc>
        <w:tc>
          <w:tcPr>
            <w:tcW w:w="80" w:type="dxa"/>
            <w:vAlign w:val="bottom"/>
          </w:tcPr>
          <w:p>
            <w:pPr>
              <w:spacing w:after="0"/>
              <w:rPr>
                <w:sz w:val="18"/>
                <w:szCs w:val="18"/>
                <w:color w:val="auto"/>
              </w:rPr>
            </w:pPr>
          </w:p>
        </w:tc>
      </w:tr>
      <w:tr>
        <w:trPr>
          <w:trHeight w:val="216"/>
        </w:trPr>
        <w:tc>
          <w:tcPr>
            <w:tcW w:w="9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115,366</w:t>
            </w:r>
          </w:p>
        </w:tc>
        <w:tc>
          <w:tcPr>
            <w:tcW w:w="80" w:type="dxa"/>
            <w:vAlign w:val="bottom"/>
          </w:tcPr>
          <w:p>
            <w:pPr>
              <w:spacing w:after="0"/>
              <w:rPr>
                <w:sz w:val="18"/>
                <w:szCs w:val="18"/>
                <w:color w:val="auto"/>
              </w:rPr>
            </w:pPr>
          </w:p>
        </w:tc>
      </w:tr>
      <w:tr>
        <w:trPr>
          <w:trHeight w:val="210"/>
        </w:trPr>
        <w:tc>
          <w:tcPr>
            <w:tcW w:w="9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520" w:type="dxa"/>
            <w:vAlign w:val="bottom"/>
          </w:tcPr>
          <w:p>
            <w:pPr>
              <w:ind w:left="380"/>
              <w:spacing w:after="0"/>
              <w:rPr>
                <w:sz w:val="20"/>
                <w:szCs w:val="20"/>
                <w:color w:val="auto"/>
              </w:rPr>
            </w:pPr>
            <w:r>
              <w:rPr>
                <w:rFonts w:ascii="Arial" w:cs="Arial" w:eastAsia="Arial" w:hAnsi="Arial"/>
                <w:sz w:val="18"/>
                <w:szCs w:val="18"/>
                <w:color w:val="auto"/>
              </w:rPr>
              <w:t>Net appreciation in fair value of investments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492,048</w:t>
            </w:r>
          </w:p>
        </w:tc>
        <w:tc>
          <w:tcPr>
            <w:tcW w:w="80" w:type="dxa"/>
            <w:vAlign w:val="bottom"/>
          </w:tcPr>
          <w:p>
            <w:pPr>
              <w:spacing w:after="0"/>
              <w:rPr>
                <w:sz w:val="18"/>
                <w:szCs w:val="18"/>
                <w:color w:val="auto"/>
              </w:rPr>
            </w:pPr>
          </w:p>
        </w:tc>
      </w:tr>
      <w:tr>
        <w:trPr>
          <w:trHeight w:val="20"/>
        </w:trPr>
        <w:tc>
          <w:tcPr>
            <w:tcW w:w="9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200"/>
        <w:spacing w:after="0" w:line="312" w:lineRule="auto"/>
        <w:rPr>
          <w:sz w:val="20"/>
          <w:szCs w:val="20"/>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147" w:lineRule="exact"/>
        <w:rPr>
          <w:sz w:val="20"/>
          <w:szCs w:val="20"/>
          <w:color w:val="auto"/>
        </w:rPr>
      </w:pPr>
    </w:p>
    <w:p>
      <w:pPr>
        <w:ind w:left="440" w:right="340"/>
        <w:spacing w:after="0" w:line="264" w:lineRule="auto"/>
        <w:rPr>
          <w:sz w:val="20"/>
          <w:szCs w:val="20"/>
          <w:color w:val="auto"/>
        </w:rPr>
      </w:pPr>
      <w:r>
        <w:rPr>
          <w:rFonts w:ascii="Arial" w:cs="Arial" w:eastAsia="Arial" w:hAnsi="Arial"/>
          <w:sz w:val="18"/>
          <w:szCs w:val="18"/>
          <w:color w:val="auto"/>
        </w:rPr>
        <w:t>The average yield of investment contracts held as of December 31, 2012 and 2011 was 2.36% and 1.99%, respectively. When adjusted to reflect the actual interest credited to the Plan, the average yield of investment contracts held as of December 31, 2012 and 2011 was 1.70% and 2.11%, respectively.</w:t>
      </w:r>
    </w:p>
    <w:p>
      <w:pPr>
        <w:spacing w:after="0" w:line="181"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The following table summarizes the adjustments from fair value to contract value related to the fully benefit-responsive investment contracts included in the Comcast Stable Value Fund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6840" w:type="dxa"/>
        <w:tblCellMar>
          <w:top w:w="0" w:type="dxa"/>
          <w:left w:w="0" w:type="dxa"/>
          <w:bottom w:w="0" w:type="dxa"/>
          <w:right w:w="0" w:type="dxa"/>
        </w:tblCellMar>
      </w:tblPr>
      <w:tr>
        <w:trPr>
          <w:trHeight w:val="161"/>
        </w:trPr>
        <w:tc>
          <w:tcPr>
            <w:tcW w:w="1380" w:type="dxa"/>
            <w:vAlign w:val="bottom"/>
          </w:tcPr>
          <w:p>
            <w:pPr>
              <w:jc w:val="right"/>
              <w:ind w:right="748"/>
              <w:spacing w:after="0"/>
              <w:rPr>
                <w:sz w:val="20"/>
                <w:szCs w:val="20"/>
                <w:color w:val="auto"/>
              </w:rPr>
            </w:pPr>
            <w:r>
              <w:rPr>
                <w:rFonts w:ascii="Arial" w:cs="Arial" w:eastAsia="Arial" w:hAnsi="Arial"/>
                <w:sz w:val="14"/>
                <w:szCs w:val="14"/>
                <w:b w:val="1"/>
                <w:bCs w:val="1"/>
                <w:color w:val="auto"/>
              </w:rPr>
              <w:t>2012</w:t>
            </w:r>
          </w:p>
        </w:tc>
        <w:tc>
          <w:tcPr>
            <w:tcW w:w="152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2012</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73"/>
        </w:trPr>
        <w:tc>
          <w:tcPr>
            <w:tcW w:w="1380" w:type="dxa"/>
            <w:vAlign w:val="bottom"/>
          </w:tcPr>
          <w:p>
            <w:pPr>
              <w:jc w:val="center"/>
              <w:ind w:right="468"/>
              <w:spacing w:after="0"/>
              <w:rPr>
                <w:sz w:val="20"/>
                <w:szCs w:val="20"/>
                <w:color w:val="auto"/>
              </w:rPr>
            </w:pPr>
            <w:r>
              <w:rPr>
                <w:rFonts w:ascii="Arial" w:cs="Arial" w:eastAsia="Arial" w:hAnsi="Arial"/>
                <w:sz w:val="14"/>
                <w:szCs w:val="14"/>
                <w:b w:val="1"/>
                <w:bCs w:val="1"/>
                <w:color w:val="auto"/>
                <w:w w:val="95"/>
              </w:rPr>
              <w:t>Credit Rating</w:t>
            </w:r>
          </w:p>
        </w:tc>
        <w:tc>
          <w:tcPr>
            <w:tcW w:w="15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-635</wp:posOffset>
            </wp:positionV>
            <wp:extent cx="69119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11975" cy="1460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ind w:left="440"/>
        <w:spacing w:after="0"/>
        <w:tabs>
          <w:tab w:leader="none" w:pos="7080" w:val="left"/>
          <w:tab w:leader="none" w:pos="8220" w:val="left"/>
          <w:tab w:leader="none" w:pos="9100" w:val="left"/>
          <w:tab w:leader="none" w:pos="9860" w:val="left"/>
          <w:tab w:leader="none" w:pos="10740" w:val="left"/>
        </w:tabs>
        <w:rPr>
          <w:sz w:val="20"/>
          <w:szCs w:val="20"/>
          <w:color w:val="auto"/>
        </w:rPr>
      </w:pPr>
      <w:r>
        <w:rPr>
          <w:rFonts w:ascii="Arial" w:cs="Arial" w:eastAsia="Arial" w:hAnsi="Arial"/>
          <w:sz w:val="18"/>
          <w:szCs w:val="18"/>
          <w:color w:val="auto"/>
        </w:rPr>
        <w:t>State Street Bank and Trust Company Boston</w:t>
      </w:r>
      <w:r>
        <w:rPr>
          <w:sz w:val="20"/>
          <w:szCs w:val="20"/>
          <w:color w:val="auto"/>
        </w:rPr>
        <w:tab/>
      </w:r>
      <w:r>
        <w:rPr>
          <w:rFonts w:ascii="Arial" w:cs="Arial" w:eastAsia="Arial" w:hAnsi="Arial"/>
          <w:sz w:val="18"/>
          <w:szCs w:val="18"/>
          <w:color w:val="auto"/>
        </w:rPr>
        <w:t>AA-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(5,133)</w:t>
        <w:tab/>
        <w:t>$</w:t>
      </w:r>
      <w:r>
        <w:rPr>
          <w:sz w:val="20"/>
          <w:szCs w:val="20"/>
          <w:color w:val="auto"/>
        </w:rPr>
        <w:tab/>
      </w:r>
      <w:r>
        <w:rPr>
          <w:rFonts w:ascii="Arial" w:cs="Arial" w:eastAsia="Arial" w:hAnsi="Arial"/>
          <w:sz w:val="16"/>
          <w:szCs w:val="16"/>
          <w:color w:val="auto"/>
        </w:rPr>
        <w:t>(5,167)</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line="62"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JP Morgan Chase</w:t>
            </w:r>
          </w:p>
        </w:tc>
        <w:tc>
          <w:tcPr>
            <w:tcW w:w="3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(7,008)</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AIG Financial Products Corp</w:t>
            </w:r>
          </w:p>
        </w:tc>
        <w:tc>
          <w:tcPr>
            <w:tcW w:w="3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(3,324)</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Natixis</w:t>
            </w:r>
          </w:p>
        </w:tc>
        <w:tc>
          <w:tcPr>
            <w:tcW w:w="3840" w:type="dxa"/>
            <w:vAlign w:val="bottom"/>
            <w:gridSpan w:val="2"/>
          </w:tcPr>
          <w:p>
            <w:pPr>
              <w:jc w:val="center"/>
              <w:ind w:left="910"/>
              <w:spacing w:after="0"/>
              <w:rPr>
                <w:sz w:val="20"/>
                <w:szCs w:val="20"/>
                <w:color w:val="auto"/>
              </w:rPr>
            </w:pPr>
            <w:r>
              <w:rPr>
                <w:rFonts w:ascii="Arial" w:cs="Arial" w:eastAsia="Arial" w:hAnsi="Arial"/>
                <w:sz w:val="18"/>
                <w:szCs w:val="18"/>
                <w:color w:val="auto"/>
                <w:w w:val="99"/>
              </w:rPr>
              <w:t>A</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(5,132)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(5,166)</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Prudential Ins Co America</w:t>
            </w:r>
          </w:p>
        </w:tc>
        <w:tc>
          <w:tcPr>
            <w:tcW w:w="384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rPr>
              <w:t>AA-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Bank of Tokyo — Mitsubishi</w:t>
            </w:r>
          </w:p>
        </w:tc>
        <w:tc>
          <w:tcPr>
            <w:tcW w:w="3840" w:type="dxa"/>
            <w:vAlign w:val="bottom"/>
            <w:gridSpan w:val="2"/>
          </w:tcPr>
          <w:p>
            <w:pPr>
              <w:jc w:val="center"/>
              <w:ind w:left="910"/>
              <w:spacing w:after="0"/>
              <w:rPr>
                <w:sz w:val="20"/>
                <w:szCs w:val="20"/>
                <w:color w:val="auto"/>
              </w:rPr>
            </w:pPr>
            <w:r>
              <w:rPr>
                <w:rFonts w:ascii="Arial" w:cs="Arial" w:eastAsia="Arial" w:hAnsi="Arial"/>
                <w:sz w:val="18"/>
                <w:szCs w:val="18"/>
                <w:color w:val="auto"/>
              </w:rPr>
              <w:t>A+</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(4,464)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American General Life</w:t>
            </w:r>
          </w:p>
        </w:tc>
        <w:tc>
          <w:tcPr>
            <w:tcW w:w="384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rPr>
              <w:t>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(20,119</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(20,665</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170"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44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ASC 820 establishes a hierarchy that prioritizes fair value measurements based on the types of inputs used for the various valuation techniques. The levels of the hierarchy are described below:</w:t>
      </w:r>
    </w:p>
    <w:p>
      <w:pPr>
        <w:spacing w:after="0" w:line="170" w:lineRule="exact"/>
        <w:rPr>
          <w:rFonts w:ascii="Arial" w:cs="Arial" w:eastAsia="Arial" w:hAnsi="Arial"/>
          <w:sz w:val="18"/>
          <w:szCs w:val="18"/>
          <w:b w:val="1"/>
          <w:bCs w:val="1"/>
          <w:color w:val="auto"/>
        </w:rPr>
      </w:pPr>
    </w:p>
    <w:p>
      <w:pPr>
        <w:ind w:left="1540" w:right="640" w:hanging="109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1Consists of financial instruments whose values are based on quoted market prices for identical financial instruments in an active market.</w:t>
      </w:r>
    </w:p>
    <w:p>
      <w:pPr>
        <w:spacing w:after="0" w:line="170" w:lineRule="exact"/>
        <w:rPr>
          <w:rFonts w:ascii="Arial" w:cs="Arial" w:eastAsia="Arial" w:hAnsi="Arial"/>
          <w:sz w:val="18"/>
          <w:szCs w:val="18"/>
          <w:b w:val="1"/>
          <w:bCs w:val="1"/>
          <w:color w:val="auto"/>
        </w:rPr>
      </w:pPr>
    </w:p>
    <w:p>
      <w:pPr>
        <w:ind w:left="1540" w:right="540" w:hanging="109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2Consists of financial instruments that are valued using models or other valuation methodologies. These models use inputs that are observable either directly or indirectly and include:</w:t>
      </w:r>
    </w:p>
    <w:p>
      <w:pPr>
        <w:spacing w:after="0" w:line="170" w:lineRule="exact"/>
        <w:rPr>
          <w:rFonts w:ascii="Arial" w:cs="Arial" w:eastAsia="Arial" w:hAnsi="Arial"/>
          <w:sz w:val="18"/>
          <w:szCs w:val="18"/>
          <w:b w:val="1"/>
          <w:bCs w:val="1"/>
          <w:color w:val="auto"/>
        </w:rPr>
      </w:pPr>
    </w:p>
    <w:p>
      <w:pPr>
        <w:ind w:left="1940" w:hanging="397"/>
        <w:spacing w:after="0"/>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5" w:lineRule="exact"/>
        <w:rPr>
          <w:rFonts w:ascii="Arial" w:cs="Arial" w:eastAsia="Arial" w:hAnsi="Arial"/>
          <w:sz w:val="18"/>
          <w:szCs w:val="18"/>
          <w:color w:val="auto"/>
        </w:rPr>
      </w:pPr>
    </w:p>
    <w:p>
      <w:pPr>
        <w:ind w:left="1940" w:hanging="397"/>
        <w:spacing w:after="0"/>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225" w:lineRule="exact"/>
        <w:rPr>
          <w:rFonts w:ascii="Arial" w:cs="Arial" w:eastAsia="Arial" w:hAnsi="Arial"/>
          <w:sz w:val="18"/>
          <w:szCs w:val="18"/>
          <w:color w:val="auto"/>
        </w:rPr>
      </w:pPr>
    </w:p>
    <w:p>
      <w:pPr>
        <w:ind w:left="1940" w:hanging="397"/>
        <w:spacing w:after="0"/>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 and</w:t>
      </w:r>
    </w:p>
    <w:p>
      <w:pPr>
        <w:spacing w:after="0" w:line="225" w:lineRule="exact"/>
        <w:rPr>
          <w:rFonts w:ascii="Arial" w:cs="Arial" w:eastAsia="Arial" w:hAnsi="Arial"/>
          <w:sz w:val="18"/>
          <w:szCs w:val="18"/>
          <w:color w:val="auto"/>
        </w:rPr>
      </w:pPr>
    </w:p>
    <w:p>
      <w:pPr>
        <w:ind w:left="1940" w:right="200" w:hanging="397"/>
        <w:spacing w:after="0" w:line="277" w:lineRule="auto"/>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70" w:lineRule="exact"/>
        <w:rPr>
          <w:sz w:val="20"/>
          <w:szCs w:val="20"/>
          <w:color w:val="auto"/>
        </w:rPr>
      </w:pPr>
    </w:p>
    <w:p>
      <w:pPr>
        <w:ind w:left="1540" w:right="380" w:hanging="1093"/>
        <w:spacing w:after="0" w:line="264" w:lineRule="auto"/>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Mutual funds, separate account and common collective trusts: Valued at the net asset value of shares held by the Plan at year end.</w:t>
      </w:r>
    </w:p>
    <w:p>
      <w:pPr>
        <w:spacing w:after="0" w:line="225" w:lineRule="exact"/>
        <w:rPr>
          <w:sz w:val="20"/>
          <w:szCs w:val="20"/>
          <w:color w:val="auto"/>
        </w:rPr>
      </w:pPr>
    </w:p>
    <w:p>
      <w:pPr>
        <w:ind w:left="880" w:right="640"/>
        <w:spacing w:after="0" w:line="277" w:lineRule="auto"/>
        <w:rPr>
          <w:sz w:val="20"/>
          <w:szCs w:val="20"/>
          <w:color w:val="auto"/>
        </w:rPr>
      </w:pPr>
      <w:r>
        <w:rPr>
          <w:rFonts w:ascii="Arial" w:cs="Arial" w:eastAsia="Arial" w:hAnsi="Arial"/>
          <w:sz w:val="18"/>
          <w:szCs w:val="18"/>
          <w:color w:val="auto"/>
        </w:rPr>
        <w:t>Common stocks: Valued at the closing price reported on the last trading day of the Plan year on the active market on which the individual securities are traded.</w:t>
      </w:r>
    </w:p>
    <w:p>
      <w:pPr>
        <w:spacing w:after="0" w:line="170" w:lineRule="exact"/>
        <w:rPr>
          <w:sz w:val="20"/>
          <w:szCs w:val="20"/>
          <w:color w:val="auto"/>
        </w:rPr>
      </w:pPr>
    </w:p>
    <w:p>
      <w:pPr>
        <w:ind w:left="880" w:right="260"/>
        <w:spacing w:after="0" w:line="277" w:lineRule="auto"/>
        <w:rPr>
          <w:sz w:val="20"/>
          <w:szCs w:val="20"/>
          <w:color w:val="auto"/>
        </w:rPr>
      </w:pPr>
      <w:r>
        <w:rPr>
          <w:rFonts w:ascii="Arial" w:cs="Arial" w:eastAsia="Arial" w:hAnsi="Arial"/>
          <w:sz w:val="18"/>
          <w:szCs w:val="18"/>
          <w:color w:val="auto"/>
        </w:rPr>
        <w:t>Guaranteed investment contracts: Valued at fair value by discounting the related cash flows based on current yields of similar instruments with comparable durations considering the credit-worthiness of the issuer.</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2012 and 2011, there were no transfers between levels.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by level, within the fair value hierarchy, the Plan’s assets at fair value as of December 31, 2012 and 2011 (in thousands).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at Fair Value as of December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Level 2</w:t>
            </w:r>
          </w:p>
        </w:tc>
        <w:tc>
          <w:tcPr>
            <w:tcW w:w="194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Level 3</w:t>
            </w: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15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Comcast Class A</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298,958</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298,958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Comcast Class A Special</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38,041</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Domestic stock funds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392,858</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392,858</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4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stock funds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10,459</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Separate account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987,199</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987,199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1,355,687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Comcast Stable Value Fund</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 term investments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Guaranteed investment contracts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576,489</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946,179</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2,919,375</w:t>
            </w:r>
          </w:p>
        </w:tc>
        <w:tc>
          <w:tcPr>
            <w:tcW w:w="140" w:type="dxa"/>
            <w:vAlign w:val="bottom"/>
          </w:tcPr>
          <w:p>
            <w:pPr>
              <w:spacing w:after="0"/>
              <w:rPr>
                <w:sz w:val="18"/>
                <w:szCs w:val="18"/>
                <w:color w:val="auto"/>
              </w:rPr>
            </w:pPr>
          </w:p>
        </w:tc>
        <w:tc>
          <w:tcPr>
            <w:tcW w:w="150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3,865,554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0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Assets at Fair Value as of December 31, 2011</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Common stock</w:t>
            </w:r>
          </w:p>
        </w:tc>
        <w:tc>
          <w:tcPr>
            <w:tcW w:w="1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Comcast Class A</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217,536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Comcast Class A Special</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32,126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Domestic stock funds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720,775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720,775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stock funds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338,766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Balanced funds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174,562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Fixed income funds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177,368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Separate account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198,788</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859,101</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Comcast Stable Value Fund</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 term investments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Guaranteed investment contracts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588,800</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1,664,346</w:t>
            </w:r>
          </w:p>
        </w:tc>
        <w:tc>
          <w:tcPr>
            <w:tcW w:w="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1,646,689</w:t>
            </w:r>
          </w:p>
        </w:tc>
        <w:tc>
          <w:tcPr>
            <w:tcW w:w="140" w:type="dxa"/>
            <w:vAlign w:val="bottom"/>
          </w:tcPr>
          <w:p>
            <w:pPr>
              <w:spacing w:after="0"/>
              <w:rPr>
                <w:sz w:val="18"/>
                <w:szCs w:val="18"/>
                <w:color w:val="auto"/>
              </w:rPr>
            </w:pPr>
          </w:p>
        </w:tc>
        <w:tc>
          <w:tcPr>
            <w:tcW w:w="1500" w:type="dxa"/>
            <w:vAlign w:val="bottom"/>
            <w:gridSpan w:val="2"/>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3,311,035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 AND HARDSHIP WITHDRAWALS</w:t>
      </w:r>
    </w:p>
    <w:p>
      <w:pPr>
        <w:spacing w:after="0" w:line="229" w:lineRule="exact"/>
        <w:rPr>
          <w:rFonts w:ascii="Arial" w:cs="Arial" w:eastAsia="Arial" w:hAnsi="Arial"/>
          <w:sz w:val="18"/>
          <w:szCs w:val="18"/>
          <w:b w:val="1"/>
          <w:bCs w:val="1"/>
          <w:color w:val="auto"/>
        </w:rPr>
      </w:pPr>
    </w:p>
    <w:p>
      <w:pPr>
        <w:ind w:left="44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may exist under the Plan as a result of rollovers from merged plans).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80"/>
        <w:spacing w:after="0" w:line="312" w:lineRule="auto"/>
        <w:rPr>
          <w:sz w:val="20"/>
          <w:szCs w:val="20"/>
          <w:color w:val="auto"/>
        </w:rPr>
      </w:pPr>
      <w:r>
        <w:rPr>
          <w:rFonts w:ascii="Arial" w:cs="Arial" w:eastAsia="Arial" w:hAnsi="Arial"/>
          <w:sz w:val="16"/>
          <w:szCs w:val="16"/>
          <w:color w:val="auto"/>
        </w:rPr>
        <w:t>Interest accrues at the rate of prime plus 1% as of the month the loan application is approved. Principal and interest are paid through payroll deductions or participant initiated payments. Interest rates ranged from 4.25% to 9.50% as of December 31, 2012. Maturities on outstanding loans ranged from 2013 to 2017 as of December 31, 2012. Loan transactions are treated as a transfer between the investment fund and notes receivable from participants.</w:t>
      </w:r>
    </w:p>
    <w:p>
      <w:pPr>
        <w:spacing w:after="0" w:line="147"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170"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8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2012 and 2011 and the increase in net assets available for benefits per the financial statements to the net income per the Form 5500 for the year ended December 31, 2012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1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20,665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5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w w:val="97"/>
              </w:rPr>
              <w:t>Adjustment from contract value to fair value for fully benefit-responsive investment contracts—December 31, 2012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 from contract value to fair value for fully benefit-responsive investment contracts—December 31, 2011</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Form 5500</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left="440" w:right="3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142"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119"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ind w:left="1440" w:right="100" w:hanging="441"/>
        <w:spacing w:after="0" w:line="279" w:lineRule="auto"/>
        <w:tabs>
          <w:tab w:leader="none" w:pos="1434" w:val="left"/>
        </w:tabs>
        <w:numPr>
          <w:ilvl w:val="1"/>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Income Tax Status of the Plan</w:t>
      </w:r>
      <w:r>
        <w:rPr>
          <w:rFonts w:ascii="Arial" w:cs="Arial" w:eastAsia="Arial" w:hAnsi="Arial"/>
          <w:sz w:val="17"/>
          <w:szCs w:val="17"/>
          <w:color w:val="auto"/>
        </w:rPr>
        <w:t>— The Plan’s most recent determination letter was received May 2009 stating that the Plan, as amended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restated December 12, 2007, is qualified under section 401(a) of the Code and that the trust established under the Plan is tax-exempt. On January 31, 2013, an application was filed for an updated determination letter for the Plan as amended and restated January 1, 2013. The Plan is required to operate in conformity with the Code to maintain its qualified status. The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40"/>
        <w:spacing w:after="0" w:line="277" w:lineRule="auto"/>
        <w:rPr>
          <w:sz w:val="20"/>
          <w:szCs w:val="20"/>
          <w:color w:val="auto"/>
        </w:rPr>
      </w:pPr>
      <w:r>
        <w:rPr>
          <w:rFonts w:ascii="Arial" w:cs="Arial" w:eastAsia="Arial" w:hAnsi="Arial"/>
          <w:sz w:val="18"/>
          <w:szCs w:val="18"/>
          <w:color w:val="auto"/>
        </w:rPr>
        <w:t>Administrator believes the Plan is being operated in compliance with the applicable requirements of the Code and no provision for income taxes has been included in the Plan’s financial statements.</w:t>
      </w:r>
    </w:p>
    <w:p>
      <w:pPr>
        <w:spacing w:after="0" w:line="170" w:lineRule="exact"/>
        <w:rPr>
          <w:sz w:val="20"/>
          <w:szCs w:val="20"/>
          <w:color w:val="auto"/>
        </w:rPr>
      </w:pPr>
    </w:p>
    <w:p>
      <w:pPr>
        <w:jc w:val="both"/>
        <w:ind w:left="1440" w:right="700" w:hanging="441"/>
        <w:spacing w:after="0" w:line="264" w:lineRule="auto"/>
        <w:tabs>
          <w:tab w:leader="none" w:pos="1444"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ind w:left="1440" w:right="60" w:hanging="441"/>
        <w:spacing w:after="0" w:line="257" w:lineRule="auto"/>
        <w:tabs>
          <w:tab w:leader="none" w:pos="1448"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Evaluation of Tax Positions</w:t>
      </w:r>
      <w:r>
        <w:rPr>
          <w:rFonts w:ascii="Arial" w:cs="Arial" w:eastAsia="Arial" w:hAnsi="Arial"/>
          <w:sz w:val="18"/>
          <w:szCs w:val="18"/>
          <w:color w:val="auto"/>
        </w:rPr>
        <w:t>—In accordance with ASC 740-10-50-15 c — e, the Plan Administrator has analyzed the tax positions taken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Plan and has concluded that as of December 31, 2012, there are no uncertain tax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the Plan is no longer subject to income tax examinations for years prior to 2009.</w:t>
      </w:r>
    </w:p>
    <w:p>
      <w:pPr>
        <w:spacing w:after="0" w:line="184" w:lineRule="exact"/>
        <w:rPr>
          <w:rFonts w:ascii="Arial" w:cs="Arial" w:eastAsia="Arial" w:hAnsi="Arial"/>
          <w:sz w:val="18"/>
          <w:szCs w:val="18"/>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rFonts w:ascii="Arial" w:cs="Arial" w:eastAsia="Arial" w:hAnsi="Arial"/>
          <w:sz w:val="18"/>
          <w:szCs w:val="18"/>
          <w:b w:val="1"/>
          <w:bCs w:val="1"/>
          <w:color w:val="auto"/>
        </w:rPr>
      </w:pPr>
    </w:p>
    <w:p>
      <w:pPr>
        <w:ind w:left="44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Effective January 1, 2013, the Plan was amended and NBCUniversal, LLC became a Participating Company in the Plan. In the first quarter of 2013, under the terms of the amendment, $473 million in assets related to eligible NBCUniversal, LLC employees were transferred to the Plan from the NBCUniversal Capital Accumulation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 PART IV, LINE 4i — 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FEIN #27-0000798</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#001</w:t>
            </w: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 Description of</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Investment,</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Including Maturity Date,</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 Current</w:t>
            </w:r>
          </w:p>
        </w:tc>
        <w:tc>
          <w:tcPr>
            <w:tcW w:w="0" w:type="dxa"/>
            <w:vAlign w:val="bottom"/>
          </w:tcPr>
          <w:p>
            <w:pPr>
              <w:spacing w:after="0"/>
              <w:rPr>
                <w:sz w:val="1"/>
                <w:szCs w:val="1"/>
                <w:color w:val="auto"/>
              </w:rPr>
            </w:pPr>
          </w:p>
        </w:tc>
      </w:tr>
      <w:tr>
        <w:trPr>
          <w:trHeight w:val="149"/>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54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Par, or</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gridSpan w:val="2"/>
            <w:vMerge w:val="continue"/>
          </w:tcPr>
          <w:p>
            <w:pPr>
              <w:spacing w:after="0"/>
              <w:rPr>
                <w:sz w:val="14"/>
                <w:szCs w:val="14"/>
                <w:color w:val="auto"/>
              </w:rPr>
            </w:pPr>
          </w:p>
        </w:tc>
        <w:tc>
          <w:tcPr>
            <w:tcW w:w="5480" w:type="dxa"/>
            <w:vAlign w:val="bottom"/>
            <w:gridSpan w:val="2"/>
            <w:vMerge w:val="continue"/>
          </w:tcPr>
          <w:p>
            <w:pPr>
              <w:spacing w:after="0"/>
              <w:rPr>
                <w:sz w:val="14"/>
                <w:szCs w:val="14"/>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Maturity Value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Fidelity Ret Govt MM</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10,459,103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Spartan International Index Fund—Fidelity Advantage Inst Class</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5,858,815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200,840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Spartan 500 Index Fund—Fidelity Advantage Inst Class</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5,807,123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293,202</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Small Cap Index Fund</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2,571,105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99,656</w:t>
            </w:r>
          </w:p>
        </w:tc>
        <w:tc>
          <w:tcPr>
            <w:tcW w:w="0" w:type="dxa"/>
            <w:vAlign w:val="bottom"/>
          </w:tcPr>
          <w:p>
            <w:pPr>
              <w:spacing w:after="0"/>
              <w:rPr>
                <w:sz w:val="1"/>
                <w:szCs w:val="1"/>
                <w:color w:val="auto"/>
              </w:rPr>
            </w:pPr>
          </w:p>
        </w:tc>
      </w:tr>
      <w:tr>
        <w:trPr>
          <w:trHeight w:val="219"/>
        </w:trPr>
        <w:tc>
          <w:tcPr>
            <w:tcW w:w="1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604,157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ind w:left="1380"/>
              <w:spacing w:after="0"/>
              <w:rPr>
                <w:sz w:val="20"/>
                <w:szCs w:val="20"/>
                <w:color w:val="auto"/>
              </w:rPr>
            </w:pPr>
            <w:r>
              <w:rPr>
                <w:rFonts w:ascii="Arial" w:cs="Arial" w:eastAsia="Arial" w:hAnsi="Arial"/>
                <w:sz w:val="18"/>
                <w:szCs w:val="18"/>
                <w:color w:val="auto"/>
              </w:rPr>
              <w:t>Separate Account (at fair value)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PIMCO Total Return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Interest in Regs. Invt (72201P613)</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195,941</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Interest Bearing Cash (98765455B)</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Non-Interest Bearing Cash</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Receivables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Benefit Claims Payable</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Operating Payables</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10"/>
        </w:trPr>
        <w:tc>
          <w:tcPr>
            <w:tcW w:w="962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196,373</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Large Cap Stock Fund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Non-Interest Bearing Cash</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Receivables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Interest Bearing Cash</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9,587</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Corporate Common Stock</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446,003</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Benefit Claims Payable</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Operating Payables</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Other Liabilities</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(2,135)</w:t>
            </w:r>
          </w:p>
        </w:tc>
      </w:tr>
      <w:tr>
        <w:trPr>
          <w:trHeight w:val="210"/>
        </w:trPr>
        <w:tc>
          <w:tcPr>
            <w:tcW w:w="96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Small/Mid Cap Stock Fund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Other Receivables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105,508</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Interest Bearing Cash</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2,864</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Corporate Common Stock</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69,826</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Benefit Claims Payable</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Operating Payables</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Other Liabilities</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10"/>
        </w:trPr>
        <w:tc>
          <w:tcPr>
            <w:tcW w:w="96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International Fund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Interest in Regs. Invt (315910802)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158,672</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Other Receivables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96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Benefit Claims Payable</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9620" w:type="dxa"/>
            <w:vAlign w:val="bottom"/>
          </w:tcPr>
          <w:p>
            <w:pPr>
              <w:ind w:left="1560"/>
              <w:spacing w:after="0"/>
              <w:rPr>
                <w:sz w:val="20"/>
                <w:szCs w:val="20"/>
                <w:color w:val="auto"/>
              </w:rPr>
            </w:pPr>
            <w:r>
              <w:rPr>
                <w:rFonts w:ascii="Arial" w:cs="Arial" w:eastAsia="Arial" w:hAnsi="Arial"/>
                <w:sz w:val="18"/>
                <w:szCs w:val="18"/>
                <w:color w:val="auto"/>
              </w:rPr>
              <w:t>Operating Payables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r>
      <w:tr>
        <w:trPr>
          <w:trHeight w:val="210"/>
        </w:trPr>
        <w:tc>
          <w:tcPr>
            <w:tcW w:w="96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158,701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0720"/>
        <w:spacing w:after="0"/>
        <w:rPr>
          <w:sz w:val="20"/>
          <w:szCs w:val="20"/>
          <w:color w:val="auto"/>
        </w:rPr>
      </w:pPr>
      <w:r>
        <w:rPr>
          <w:rFonts w:ascii="Arial" w:cs="Arial" w:eastAsia="Arial" w:hAnsi="Arial"/>
          <w:sz w:val="18"/>
          <w:szCs w:val="18"/>
          <w:color w:val="auto"/>
        </w:rPr>
        <w:t>987,199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 Description of</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Investment,</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Including Maturity Date,</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 Current</w:t>
            </w:r>
          </w:p>
        </w:tc>
        <w:tc>
          <w:tcPr>
            <w:tcW w:w="0" w:type="dxa"/>
            <w:vAlign w:val="bottom"/>
          </w:tcPr>
          <w:p>
            <w:pPr>
              <w:spacing w:after="0"/>
              <w:rPr>
                <w:sz w:val="1"/>
                <w:szCs w:val="1"/>
                <w:color w:val="auto"/>
              </w:rPr>
            </w:pPr>
          </w:p>
        </w:tc>
      </w:tr>
      <w:tr>
        <w:trPr>
          <w:trHeight w:val="149"/>
        </w:trPr>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54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Par, or</w:t>
            </w: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gridSpan w:val="2"/>
            <w:vMerge w:val="continue"/>
          </w:tcPr>
          <w:p>
            <w:pPr>
              <w:spacing w:after="0"/>
              <w:rPr>
                <w:sz w:val="14"/>
                <w:szCs w:val="14"/>
                <w:color w:val="auto"/>
              </w:rPr>
            </w:pPr>
          </w:p>
        </w:tc>
        <w:tc>
          <w:tcPr>
            <w:tcW w:w="5480" w:type="dxa"/>
            <w:vAlign w:val="bottom"/>
            <w:gridSpan w:val="2"/>
            <w:vMerge w:val="continue"/>
          </w:tcPr>
          <w:p>
            <w:pPr>
              <w:spacing w:after="0"/>
              <w:rPr>
                <w:sz w:val="14"/>
                <w:szCs w:val="14"/>
                <w:color w:val="auto"/>
              </w:rPr>
            </w:pPr>
          </w:p>
        </w:tc>
        <w:tc>
          <w:tcPr>
            <w:tcW w:w="2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Maturity Value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collective trusts (at fair value)</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Vanguard Target Income</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411,788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Target 2010</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594,887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Vanguard Target 2015</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1,953,243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66,274</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Target 2020</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4,252,851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145,405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Vanguard Target 2025</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5,784,782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199,054</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Target 2030</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5,721,478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198,364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Vanguard Target 2035</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5,476,512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191,021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Target 2040</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4,715,988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164,965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Vanguard Target 2045</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3,575,025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125,090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Target 2050</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1,846,421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64,588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Vanguard Target 2055</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224,442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Vanguard Target 2060</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20,683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gridSpan w:val="2"/>
          </w:tcPr>
          <w:p>
            <w:pPr>
              <w:ind w:left="180"/>
              <w:spacing w:after="0"/>
              <w:rPr>
                <w:sz w:val="20"/>
                <w:szCs w:val="20"/>
                <w:color w:val="auto"/>
              </w:rPr>
            </w:pPr>
            <w:r>
              <w:rPr>
                <w:rFonts w:ascii="Arial" w:cs="Arial" w:eastAsia="Arial" w:hAnsi="Arial"/>
                <w:sz w:val="18"/>
                <w:szCs w:val="18"/>
                <w:color w:val="auto"/>
              </w:rPr>
              <w:t>Mellon Aggregate Bond Index Fund</w:t>
            </w:r>
          </w:p>
        </w:tc>
        <w:tc>
          <w:tcPr>
            <w:tcW w:w="2760" w:type="dxa"/>
            <w:vAlign w:val="bottom"/>
            <w:gridSpan w:val="2"/>
          </w:tcPr>
          <w:p>
            <w:pPr>
              <w:jc w:val="right"/>
              <w:ind w:right="240"/>
              <w:spacing w:after="0"/>
              <w:rPr>
                <w:sz w:val="20"/>
                <w:szCs w:val="20"/>
                <w:color w:val="auto"/>
              </w:rPr>
            </w:pPr>
            <w:r>
              <w:rPr>
                <w:rFonts w:ascii="Arial" w:cs="Arial" w:eastAsia="Arial" w:hAnsi="Arial"/>
                <w:sz w:val="18"/>
                <w:szCs w:val="18"/>
                <w:color w:val="auto"/>
              </w:rPr>
              <w:t>740,285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159,064</w:t>
            </w:r>
          </w:p>
        </w:tc>
        <w:tc>
          <w:tcPr>
            <w:tcW w:w="0" w:type="dxa"/>
            <w:vAlign w:val="bottom"/>
          </w:tcPr>
          <w:p>
            <w:pPr>
              <w:spacing w:after="0"/>
              <w:rPr>
                <w:sz w:val="1"/>
                <w:szCs w:val="1"/>
                <w:color w:val="auto"/>
              </w:rPr>
            </w:pPr>
          </w:p>
        </w:tc>
      </w:tr>
      <w:tr>
        <w:trPr>
          <w:trHeight w:val="210"/>
        </w:trPr>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1,355,687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0</wp:posOffset>
            </wp:positionV>
            <wp:extent cx="1080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1380" w:hanging="1372"/>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Comcast Corporation Stock (at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shd w:val="clear" w:color="auto" w:fill="CCEEFF"/>
          </w:tcPr>
          <w:p>
            <w:pPr>
              <w:spacing w:after="0"/>
              <w:rPr>
                <w:sz w:val="18"/>
                <w:szCs w:val="18"/>
                <w:color w:val="auto"/>
              </w:rPr>
            </w:pPr>
          </w:p>
        </w:tc>
        <w:tc>
          <w:tcPr>
            <w:tcW w:w="6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Class A Common Stock</w:t>
            </w:r>
          </w:p>
        </w:tc>
        <w:tc>
          <w:tcPr>
            <w:tcW w:w="2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8,002,090 shares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298,958</w:t>
            </w:r>
          </w:p>
        </w:tc>
      </w:tr>
      <w:tr>
        <w:trPr>
          <w:trHeight w:val="216"/>
        </w:trPr>
        <w:tc>
          <w:tcPr>
            <w:tcW w:w="740" w:type="dxa"/>
            <w:vAlign w:val="bottom"/>
          </w:tcPr>
          <w:p>
            <w:pPr>
              <w:spacing w:after="0"/>
              <w:rPr>
                <w:sz w:val="18"/>
                <w:szCs w:val="18"/>
                <w:color w:val="auto"/>
              </w:rPr>
            </w:pPr>
          </w:p>
        </w:tc>
        <w:tc>
          <w:tcPr>
            <w:tcW w:w="6000" w:type="dxa"/>
            <w:vAlign w:val="bottom"/>
          </w:tcPr>
          <w:p>
            <w:pPr>
              <w:ind w:left="820"/>
              <w:spacing w:after="0"/>
              <w:rPr>
                <w:sz w:val="20"/>
                <w:szCs w:val="20"/>
                <w:color w:val="auto"/>
              </w:rPr>
            </w:pPr>
            <w:r>
              <w:rPr>
                <w:rFonts w:ascii="Arial" w:cs="Arial" w:eastAsia="Arial" w:hAnsi="Arial"/>
                <w:sz w:val="18"/>
                <w:szCs w:val="18"/>
                <w:color w:val="auto"/>
              </w:rPr>
              <w:t>Class A Special Common Stock</w:t>
            </w:r>
          </w:p>
        </w:tc>
        <w:tc>
          <w:tcPr>
            <w:tcW w:w="2880" w:type="dxa"/>
            <w:vAlign w:val="bottom"/>
          </w:tcPr>
          <w:p>
            <w:pPr>
              <w:jc w:val="right"/>
              <w:ind w:right="150"/>
              <w:spacing w:after="0"/>
              <w:rPr>
                <w:sz w:val="20"/>
                <w:szCs w:val="20"/>
                <w:color w:val="auto"/>
              </w:rPr>
            </w:pPr>
            <w:r>
              <w:rPr>
                <w:rFonts w:ascii="Arial" w:cs="Arial" w:eastAsia="Arial" w:hAnsi="Arial"/>
                <w:sz w:val="18"/>
                <w:szCs w:val="18"/>
                <w:color w:val="auto"/>
              </w:rPr>
              <w:t>1,059,040 shares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38,041</w:t>
            </w:r>
          </w:p>
        </w:tc>
      </w:tr>
      <w:tr>
        <w:trPr>
          <w:trHeight w:val="210"/>
        </w:trPr>
        <w:tc>
          <w:tcPr>
            <w:tcW w:w="74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336,999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00" w:type="dxa"/>
            <w:vAlign w:val="bottom"/>
          </w:tcPr>
          <w:p>
            <w:pPr>
              <w:ind w:left="640"/>
              <w:spacing w:after="0" w:line="196" w:lineRule="exact"/>
              <w:rPr>
                <w:sz w:val="20"/>
                <w:szCs w:val="20"/>
                <w:color w:val="auto"/>
              </w:rPr>
            </w:pPr>
            <w:r>
              <w:rPr>
                <w:rFonts w:ascii="Arial" w:cs="Arial" w:eastAsia="Arial" w:hAnsi="Arial"/>
                <w:sz w:val="18"/>
                <w:szCs w:val="18"/>
                <w:color w:val="auto"/>
              </w:rPr>
              <w:t>Comcast Stable Value Fund (at fair value)</w:t>
            </w:r>
          </w:p>
        </w:tc>
        <w:tc>
          <w:tcPr>
            <w:tcW w:w="28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Fidelity Short Term Investment Fund: .14%</w:t>
            </w:r>
          </w:p>
        </w:tc>
        <w:tc>
          <w:tcPr>
            <w:tcW w:w="2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5,919,048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w:t>
            </w:r>
          </w:p>
        </w:tc>
      </w:tr>
      <w:tr>
        <w:trPr>
          <w:trHeight w:val="216"/>
        </w:trPr>
        <w:tc>
          <w:tcPr>
            <w:tcW w:w="740" w:type="dxa"/>
            <w:vAlign w:val="bottom"/>
          </w:tcPr>
          <w:p>
            <w:pPr>
              <w:spacing w:after="0"/>
              <w:rPr>
                <w:sz w:val="18"/>
                <w:szCs w:val="18"/>
                <w:color w:val="auto"/>
              </w:rPr>
            </w:pPr>
          </w:p>
        </w:tc>
        <w:tc>
          <w:tcPr>
            <w:tcW w:w="6000" w:type="dxa"/>
            <w:vAlign w:val="bottom"/>
          </w:tcPr>
          <w:p>
            <w:pPr>
              <w:ind w:left="820"/>
              <w:spacing w:after="0"/>
              <w:rPr>
                <w:sz w:val="20"/>
                <w:szCs w:val="20"/>
                <w:color w:val="auto"/>
              </w:rPr>
            </w:pPr>
            <w:r>
              <w:rPr>
                <w:rFonts w:ascii="Arial" w:cs="Arial" w:eastAsia="Arial" w:hAnsi="Arial"/>
                <w:sz w:val="18"/>
                <w:szCs w:val="18"/>
                <w:color w:val="auto"/>
              </w:rPr>
              <w:t>Security-Backed Investment Contracts:</w:t>
            </w:r>
          </w:p>
        </w:tc>
        <w:tc>
          <w:tcPr>
            <w:tcW w:w="2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6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Natixis; 1.96%</w:t>
            </w:r>
          </w:p>
        </w:tc>
        <w:tc>
          <w:tcPr>
            <w:tcW w:w="2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141,918,884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147,051</w:t>
            </w:r>
          </w:p>
        </w:tc>
      </w:tr>
      <w:tr>
        <w:trPr>
          <w:trHeight w:val="216"/>
        </w:trPr>
        <w:tc>
          <w:tcPr>
            <w:tcW w:w="740" w:type="dxa"/>
            <w:vAlign w:val="bottom"/>
          </w:tcPr>
          <w:p>
            <w:pPr>
              <w:spacing w:after="0"/>
              <w:rPr>
                <w:sz w:val="18"/>
                <w:szCs w:val="18"/>
                <w:color w:val="auto"/>
              </w:rPr>
            </w:pPr>
          </w:p>
        </w:tc>
        <w:tc>
          <w:tcPr>
            <w:tcW w:w="6000" w:type="dxa"/>
            <w:vAlign w:val="bottom"/>
          </w:tcPr>
          <w:p>
            <w:pPr>
              <w:ind w:left="820"/>
              <w:spacing w:after="0"/>
              <w:rPr>
                <w:sz w:val="20"/>
                <w:szCs w:val="20"/>
                <w:color w:val="auto"/>
              </w:rPr>
            </w:pPr>
            <w:r>
              <w:rPr>
                <w:rFonts w:ascii="Arial" w:cs="Arial" w:eastAsia="Arial" w:hAnsi="Arial"/>
                <w:sz w:val="18"/>
                <w:szCs w:val="18"/>
                <w:color w:val="auto"/>
              </w:rPr>
              <w:t>Bank of Tokyo; 1.89%</w:t>
            </w:r>
          </w:p>
        </w:tc>
        <w:tc>
          <w:tcPr>
            <w:tcW w:w="2880" w:type="dxa"/>
            <w:vAlign w:val="bottom"/>
          </w:tcPr>
          <w:p>
            <w:pPr>
              <w:jc w:val="right"/>
              <w:ind w:right="150"/>
              <w:spacing w:after="0"/>
              <w:rPr>
                <w:sz w:val="20"/>
                <w:szCs w:val="20"/>
                <w:color w:val="auto"/>
              </w:rPr>
            </w:pPr>
            <w:r>
              <w:rPr>
                <w:rFonts w:ascii="Arial" w:cs="Arial" w:eastAsia="Arial" w:hAnsi="Arial"/>
                <w:sz w:val="18"/>
                <w:szCs w:val="18"/>
                <w:color w:val="auto"/>
              </w:rPr>
              <w:t>123,458,814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127,923</w:t>
            </w:r>
          </w:p>
        </w:tc>
      </w:tr>
      <w:tr>
        <w:trPr>
          <w:trHeight w:val="216"/>
        </w:trPr>
        <w:tc>
          <w:tcPr>
            <w:tcW w:w="740" w:type="dxa"/>
            <w:vAlign w:val="bottom"/>
            <w:shd w:val="clear" w:color="auto" w:fill="CCEEFF"/>
          </w:tcPr>
          <w:p>
            <w:pPr>
              <w:spacing w:after="0"/>
              <w:rPr>
                <w:sz w:val="18"/>
                <w:szCs w:val="18"/>
                <w:color w:val="auto"/>
              </w:rPr>
            </w:pPr>
          </w:p>
        </w:tc>
        <w:tc>
          <w:tcPr>
            <w:tcW w:w="6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Prudential Ins Co of America; 1.94%</w:t>
            </w:r>
          </w:p>
        </w:tc>
        <w:tc>
          <w:tcPr>
            <w:tcW w:w="2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57,731,263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59,819</w:t>
            </w:r>
          </w:p>
        </w:tc>
      </w:tr>
      <w:tr>
        <w:trPr>
          <w:trHeight w:val="216"/>
        </w:trPr>
        <w:tc>
          <w:tcPr>
            <w:tcW w:w="740" w:type="dxa"/>
            <w:vAlign w:val="bottom"/>
          </w:tcPr>
          <w:p>
            <w:pPr>
              <w:spacing w:after="0"/>
              <w:rPr>
                <w:sz w:val="18"/>
                <w:szCs w:val="18"/>
                <w:color w:val="auto"/>
              </w:rPr>
            </w:pPr>
          </w:p>
        </w:tc>
        <w:tc>
          <w:tcPr>
            <w:tcW w:w="6000" w:type="dxa"/>
            <w:vAlign w:val="bottom"/>
          </w:tcPr>
          <w:p>
            <w:pPr>
              <w:ind w:left="820"/>
              <w:spacing w:after="0"/>
              <w:rPr>
                <w:sz w:val="20"/>
                <w:szCs w:val="20"/>
                <w:color w:val="auto"/>
              </w:rPr>
            </w:pPr>
            <w:r>
              <w:rPr>
                <w:rFonts w:ascii="Arial" w:cs="Arial" w:eastAsia="Arial" w:hAnsi="Arial"/>
                <w:sz w:val="18"/>
                <w:szCs w:val="18"/>
                <w:color w:val="auto"/>
              </w:rPr>
              <w:t>American General Life; 1.89%</w:t>
            </w:r>
          </w:p>
        </w:tc>
        <w:tc>
          <w:tcPr>
            <w:tcW w:w="2880" w:type="dxa"/>
            <w:vAlign w:val="bottom"/>
          </w:tcPr>
          <w:p>
            <w:pPr>
              <w:jc w:val="right"/>
              <w:ind w:right="150"/>
              <w:spacing w:after="0"/>
              <w:rPr>
                <w:sz w:val="20"/>
                <w:szCs w:val="20"/>
                <w:color w:val="auto"/>
              </w:rPr>
            </w:pPr>
            <w:r>
              <w:rPr>
                <w:rFonts w:ascii="Arial" w:cs="Arial" w:eastAsia="Arial" w:hAnsi="Arial"/>
                <w:sz w:val="18"/>
                <w:szCs w:val="18"/>
                <w:color w:val="auto"/>
              </w:rPr>
              <w:t>91,324,412 units</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94,626</w:t>
            </w:r>
          </w:p>
        </w:tc>
      </w:tr>
      <w:tr>
        <w:trPr>
          <w:trHeight w:val="216"/>
        </w:trPr>
        <w:tc>
          <w:tcPr>
            <w:tcW w:w="740" w:type="dxa"/>
            <w:vAlign w:val="bottom"/>
            <w:shd w:val="clear" w:color="auto" w:fill="CCEEFF"/>
          </w:tcPr>
          <w:p>
            <w:pPr>
              <w:spacing w:after="0"/>
              <w:rPr>
                <w:sz w:val="18"/>
                <w:szCs w:val="18"/>
                <w:color w:val="auto"/>
              </w:rPr>
            </w:pPr>
          </w:p>
        </w:tc>
        <w:tc>
          <w:tcPr>
            <w:tcW w:w="6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State Street Bank and Trust Company Boston; 1.95%</w:t>
            </w:r>
          </w:p>
        </w:tc>
        <w:tc>
          <w:tcPr>
            <w:tcW w:w="2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141,937,209 units</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147,070</w:t>
            </w:r>
          </w:p>
        </w:tc>
      </w:tr>
      <w:tr>
        <w:trPr>
          <w:trHeight w:val="210"/>
        </w:trPr>
        <w:tc>
          <w:tcPr>
            <w:tcW w:w="74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576,489</w:t>
            </w:r>
          </w:p>
        </w:tc>
        <w:tc>
          <w:tcPr>
            <w:tcW w:w="100" w:type="dxa"/>
            <w:vAlign w:val="bottom"/>
            <w:tcBorders>
              <w:bottom w:val="single" w:sz="8" w:color="CCEEFF"/>
            </w:tcBorders>
          </w:tcPr>
          <w:p>
            <w:pPr>
              <w:spacing w:after="0"/>
              <w:rPr>
                <w:sz w:val="18"/>
                <w:szCs w:val="18"/>
                <w:color w:val="auto"/>
              </w:rPr>
            </w:pPr>
          </w:p>
        </w:tc>
      </w:tr>
      <w:tr>
        <w:trPr>
          <w:trHeight w:val="210"/>
        </w:trPr>
        <w:tc>
          <w:tcPr>
            <w:tcW w:w="7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581,512</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40"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40" w:type="dxa"/>
            <w:vAlign w:val="bottom"/>
            <w:gridSpan w:val="2"/>
          </w:tcPr>
          <w:p>
            <w:pPr>
              <w:ind w:left="1380"/>
              <w:spacing w:after="0"/>
              <w:rPr>
                <w:sz w:val="20"/>
                <w:szCs w:val="20"/>
                <w:color w:val="auto"/>
              </w:rPr>
            </w:pPr>
            <w:r>
              <w:rPr>
                <w:rFonts w:ascii="Arial" w:cs="Arial" w:eastAsia="Arial" w:hAnsi="Arial"/>
                <w:sz w:val="18"/>
                <w:szCs w:val="18"/>
                <w:color w:val="auto"/>
              </w:rPr>
              <w:t>Notes receivable from participants (principal balance plus accrued but</w:t>
            </w:r>
          </w:p>
        </w:tc>
        <w:tc>
          <w:tcPr>
            <w:tcW w:w="1180" w:type="dxa"/>
            <w:vAlign w:val="bottom"/>
          </w:tcPr>
          <w:p>
            <w:pPr>
              <w:jc w:val="right"/>
              <w:spacing w:after="0"/>
              <w:rPr>
                <w:sz w:val="20"/>
                <w:szCs w:val="20"/>
                <w:color w:val="auto"/>
              </w:rPr>
            </w:pPr>
            <w:r>
              <w:rPr>
                <w:rFonts w:ascii="Arial" w:cs="Arial" w:eastAsia="Arial" w:hAnsi="Arial"/>
                <w:sz w:val="18"/>
                <w:szCs w:val="18"/>
                <w:color w:val="auto"/>
              </w:rPr>
              <w:t>129,820</w:t>
            </w:r>
          </w:p>
        </w:tc>
        <w:tc>
          <w:tcPr>
            <w:tcW w:w="100" w:type="dxa"/>
            <w:vAlign w:val="bottom"/>
          </w:tcPr>
          <w:p>
            <w:pPr>
              <w:spacing w:after="0"/>
              <w:rPr>
                <w:sz w:val="18"/>
                <w:szCs w:val="18"/>
                <w:color w:val="auto"/>
              </w:rPr>
            </w:pPr>
          </w:p>
        </w:tc>
      </w:tr>
      <w:tr>
        <w:trPr>
          <w:trHeight w:val="216"/>
        </w:trPr>
        <w:tc>
          <w:tcPr>
            <w:tcW w:w="10140" w:type="dxa"/>
            <w:vAlign w:val="bottom"/>
            <w:gridSpan w:val="2"/>
          </w:tcPr>
          <w:p>
            <w:pPr>
              <w:ind w:left="1380"/>
              <w:spacing w:after="0"/>
              <w:rPr>
                <w:sz w:val="20"/>
                <w:szCs w:val="20"/>
                <w:color w:val="auto"/>
              </w:rPr>
            </w:pPr>
            <w:r>
              <w:rPr>
                <w:rFonts w:ascii="Arial" w:cs="Arial" w:eastAsia="Arial" w:hAnsi="Arial"/>
                <w:sz w:val="18"/>
                <w:szCs w:val="18"/>
                <w:color w:val="auto"/>
              </w:rPr>
              <w:t>unpaid interest — interest rates from 4.25% to 9.50%; maturities from</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140" w:type="dxa"/>
            <w:vAlign w:val="bottom"/>
            <w:gridSpan w:val="2"/>
          </w:tcPr>
          <w:p>
            <w:pPr>
              <w:ind w:left="1380"/>
              <w:spacing w:after="0"/>
              <w:rPr>
                <w:sz w:val="20"/>
                <w:szCs w:val="20"/>
                <w:color w:val="auto"/>
              </w:rPr>
            </w:pPr>
            <w:r>
              <w:rPr>
                <w:rFonts w:ascii="Arial" w:cs="Arial" w:eastAsia="Arial" w:hAnsi="Arial"/>
                <w:sz w:val="18"/>
                <w:szCs w:val="18"/>
                <w:color w:val="auto"/>
              </w:rPr>
              <w:t>2013 to 2017)</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9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3,995,374</w:t>
            </w:r>
          </w:p>
        </w:tc>
        <w:tc>
          <w:tcPr>
            <w:tcW w:w="100" w:type="dxa"/>
            <w:vAlign w:val="bottom"/>
          </w:tcPr>
          <w:p>
            <w:pPr>
              <w:spacing w:after="0"/>
              <w:rPr>
                <w:sz w:val="18"/>
                <w:szCs w:val="18"/>
                <w:color w:val="auto"/>
              </w:rPr>
            </w:pPr>
          </w:p>
        </w:tc>
      </w:tr>
      <w:tr>
        <w:trPr>
          <w:trHeight w:val="20"/>
        </w:trPr>
        <w:tc>
          <w:tcPr>
            <w:tcW w:w="9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333-101295 of Comcast Corporation on Form S-8 of our report dated June 28, 2013, relating to the financial statements and supplemental schedule of the Comcast Corporation Retirement-Investment Plan, appearing in this Annual Report on Form 11-K of the Comcast Corporation Retirement-Investment Plan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COMCAST CORPORATION RETIREMENT-INVESTMENT PLAN</w:t>
      </w:r>
    </w:p>
    <w:p>
      <w:pPr>
        <w:spacing w:after="0" w:line="22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tab/>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9"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tab/>
        <w:t>/s/ Lawrence J. Salva</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820"/>
    </w:lvl>
  </w:abstractNum>
  <w:abstractNum w:abstractNumId="6">
    <w:nsid w:val="1F16E9E8"/>
    <w:multiLevelType w:val="hybridMultilevel"/>
    <w:lvl w:ilvl="0">
      <w:lvlJc w:val="left"/>
      <w:lvlText w:val="%1."/>
      <w:numFmt w:val="decimal"/>
      <w:start w:val="820"/>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4"/>
    </w:lvl>
    <w:lvl w:ilvl="1">
      <w:lvlJc w:val="left"/>
      <w:lvlText w:val="·"/>
      <w:numFmt w:val="bullet"/>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decimal"/>
      <w:start w:val="6"/>
    </w:lvl>
  </w:abstractNum>
  <w:abstractNum w:abstractNumId="11">
    <w:nsid w:val="109CF92E"/>
    <w:multiLevelType w:val="hybridMultilevel"/>
    <w:lvl w:ilvl="0">
      <w:lvlJc w:val="left"/>
      <w:lvlText w:val="%1."/>
      <w:numFmt w:val="decimal"/>
      <w:start w:val="7"/>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2"/>
    </w:lvl>
  </w:abstractNum>
  <w:abstractNum w:abstractNumId="13">
    <w:nsid w:val="7FDCC233"/>
    <w:multiLevelType w:val="hybridMultilevel"/>
    <w:lvl w:ilvl="0">
      <w:lvlJc w:val="left"/>
      <w:lvlText w:val="%1."/>
      <w:numFmt w:val="decimal"/>
      <w:start w:val="10"/>
    </w:lvl>
    <w:lvl w:ilvl="1">
      <w:lvlJc w:val="left"/>
      <w:lvlText w:val="%2"/>
      <w:numFmt w:val="lowerLetter"/>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2019-12-07T03:48:36Z</dcterms:created>
  <dcterms:modified xsi:type="dcterms:W3CDTF">2019-12-07T03:48:36Z</dcterms:modified>
</cp:coreProperties>
</file>