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831"/>
        <w:gridCol w:w="1337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101,900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5,391,826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15,772,421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382,860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had previously elected to defer receipt of shares and to notionally reinvest the deferred compensation in another 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3453</Characters>
  <CharactersWithSpaces>4003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