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226060</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8-K</w:t>
      </w:r>
    </w:p>
    <w:p>
      <w:pPr>
        <w:spacing w:after="0" w:line="37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the Securities Exchange Act of 1934</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26, 2019</w:t>
      </w: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301"/>
        </w:trPr>
        <w:tc>
          <w:tcPr>
            <w:tcW w:w="2520" w:type="dxa"/>
            <w:vAlign w:val="bottom"/>
          </w:tcPr>
          <w:p>
            <w:pPr>
              <w:spacing w:after="0"/>
              <w:rPr>
                <w:sz w:val="24"/>
                <w:szCs w:val="24"/>
                <w:color w:val="auto"/>
              </w:rPr>
            </w:pPr>
          </w:p>
        </w:tc>
        <w:tc>
          <w:tcPr>
            <w:tcW w:w="5400" w:type="dxa"/>
            <w:vAlign w:val="bottom"/>
          </w:tcPr>
          <w:p>
            <w:pPr>
              <w:ind w:left="300"/>
              <w:spacing w:after="0"/>
              <w:rPr>
                <w:sz w:val="20"/>
                <w:szCs w:val="20"/>
                <w:color w:val="auto"/>
              </w:rPr>
            </w:pPr>
            <w:r>
              <w:rPr>
                <w:rFonts w:ascii="Arial" w:cs="Arial" w:eastAsia="Arial" w:hAnsi="Arial"/>
                <w:sz w:val="25"/>
                <w:szCs w:val="25"/>
                <w:b w:val="1"/>
                <w:bCs w:val="1"/>
                <w:color w:val="auto"/>
              </w:rPr>
              <w:t>Comcast Corporation</w:t>
            </w:r>
          </w:p>
        </w:tc>
      </w:tr>
      <w:tr>
        <w:trPr>
          <w:trHeight w:val="149"/>
        </w:trPr>
        <w:tc>
          <w:tcPr>
            <w:tcW w:w="2520" w:type="dxa"/>
            <w:vAlign w:val="bottom"/>
          </w:tcPr>
          <w:p>
            <w:pPr>
              <w:spacing w:after="0"/>
              <w:rPr>
                <w:sz w:val="12"/>
                <w:szCs w:val="12"/>
                <w:color w:val="auto"/>
              </w:rPr>
            </w:pPr>
          </w:p>
        </w:tc>
        <w:tc>
          <w:tcPr>
            <w:tcW w:w="5400" w:type="dxa"/>
            <w:vAlign w:val="bottom"/>
          </w:tcPr>
          <w:p>
            <w:pPr>
              <w:jc w:val="center"/>
              <w:ind w:right="2336"/>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5400" w:type="dxa"/>
            <w:vAlign w:val="bottom"/>
          </w:tcPr>
          <w:p>
            <w:pPr>
              <w:jc w:val="center"/>
              <w:ind w:right="2336"/>
              <w:spacing w:after="0"/>
              <w:rPr>
                <w:sz w:val="20"/>
                <w:szCs w:val="20"/>
                <w:color w:val="auto"/>
              </w:rPr>
            </w:pPr>
            <w:r>
              <w:rPr>
                <w:rFonts w:ascii="Arial" w:cs="Arial" w:eastAsia="Arial" w:hAnsi="Arial"/>
                <w:sz w:val="14"/>
                <w:szCs w:val="14"/>
                <w:color w:val="auto"/>
                <w:w w:val="93"/>
              </w:rPr>
              <w:t>as Specified in its Charter)</w:t>
            </w:r>
          </w:p>
        </w:tc>
      </w:tr>
      <w:tr>
        <w:trPr>
          <w:trHeight w:val="331"/>
        </w:trPr>
        <w:tc>
          <w:tcPr>
            <w:tcW w:w="2520" w:type="dxa"/>
            <w:vAlign w:val="bottom"/>
          </w:tcPr>
          <w:p>
            <w:pPr>
              <w:spacing w:after="0"/>
              <w:rPr>
                <w:sz w:val="24"/>
                <w:szCs w:val="24"/>
                <w:color w:val="auto"/>
              </w:rPr>
            </w:pPr>
          </w:p>
        </w:tc>
        <w:tc>
          <w:tcPr>
            <w:tcW w:w="5400" w:type="dxa"/>
            <w:vAlign w:val="bottom"/>
          </w:tcPr>
          <w:p>
            <w:pPr>
              <w:jc w:val="center"/>
              <w:ind w:right="2336"/>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20" w:type="dxa"/>
            <w:vAlign w:val="bottom"/>
          </w:tcPr>
          <w:p>
            <w:pPr>
              <w:spacing w:after="0"/>
              <w:rPr>
                <w:sz w:val="15"/>
                <w:szCs w:val="15"/>
                <w:color w:val="auto"/>
              </w:rPr>
            </w:pPr>
          </w:p>
        </w:tc>
        <w:tc>
          <w:tcPr>
            <w:tcW w:w="5400" w:type="dxa"/>
            <w:vAlign w:val="bottom"/>
          </w:tcPr>
          <w:p>
            <w:pPr>
              <w:jc w:val="center"/>
              <w:ind w:right="2336"/>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31"/>
        </w:trPr>
        <w:tc>
          <w:tcPr>
            <w:tcW w:w="2520" w:type="dxa"/>
            <w:vAlign w:val="bottom"/>
          </w:tcPr>
          <w:p>
            <w:pPr>
              <w:jc w:val="center"/>
              <w:ind w:right="97"/>
              <w:spacing w:after="0"/>
              <w:rPr>
                <w:sz w:val="20"/>
                <w:szCs w:val="20"/>
                <w:color w:val="auto"/>
              </w:rPr>
            </w:pPr>
            <w:r>
              <w:rPr>
                <w:rFonts w:ascii="Arial" w:cs="Arial" w:eastAsia="Arial" w:hAnsi="Arial"/>
                <w:sz w:val="18"/>
                <w:szCs w:val="18"/>
                <w:b w:val="1"/>
                <w:bCs w:val="1"/>
                <w:color w:val="auto"/>
                <w:w w:val="90"/>
              </w:rPr>
              <w:t>001-32871</w:t>
            </w:r>
          </w:p>
        </w:tc>
        <w:tc>
          <w:tcPr>
            <w:tcW w:w="5400" w:type="dxa"/>
            <w:vAlign w:val="bottom"/>
          </w:tcPr>
          <w:p>
            <w:pPr>
              <w:jc w:val="center"/>
              <w:ind w:left="3316"/>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20" w:type="dxa"/>
            <w:vAlign w:val="bottom"/>
          </w:tcPr>
          <w:p>
            <w:pPr>
              <w:jc w:val="center"/>
              <w:ind w:right="117"/>
              <w:spacing w:after="0"/>
              <w:rPr>
                <w:sz w:val="20"/>
                <w:szCs w:val="20"/>
                <w:color w:val="auto"/>
              </w:rPr>
            </w:pPr>
            <w:r>
              <w:rPr>
                <w:rFonts w:ascii="Arial" w:cs="Arial" w:eastAsia="Arial" w:hAnsi="Arial"/>
                <w:sz w:val="14"/>
                <w:szCs w:val="14"/>
                <w:color w:val="auto"/>
                <w:w w:val="96"/>
              </w:rPr>
              <w:t>(Commission File Number)</w:t>
            </w:r>
          </w:p>
        </w:tc>
        <w:tc>
          <w:tcPr>
            <w:tcW w:w="5400" w:type="dxa"/>
            <w:vAlign w:val="bottom"/>
          </w:tcPr>
          <w:p>
            <w:pPr>
              <w:jc w:val="center"/>
              <w:ind w:left="3336"/>
              <w:spacing w:after="0"/>
              <w:rPr>
                <w:sz w:val="20"/>
                <w:szCs w:val="20"/>
                <w:color w:val="auto"/>
              </w:rPr>
            </w:pPr>
            <w:r>
              <w:rPr>
                <w:rFonts w:ascii="Arial" w:cs="Arial" w:eastAsia="Arial" w:hAnsi="Arial"/>
                <w:sz w:val="14"/>
                <w:szCs w:val="14"/>
                <w:color w:val="auto"/>
                <w:w w:val="97"/>
              </w:rPr>
              <w:t>(IRS Employer Identification No.)</w:t>
            </w:r>
          </w:p>
        </w:tc>
      </w:tr>
      <w:tr>
        <w:trPr>
          <w:trHeight w:val="493"/>
        </w:trPr>
        <w:tc>
          <w:tcPr>
            <w:tcW w:w="252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One Comcast Center</w:t>
            </w:r>
          </w:p>
        </w:tc>
        <w:tc>
          <w:tcPr>
            <w:tcW w:w="5400" w:type="dxa"/>
            <w:vAlign w:val="bottom"/>
          </w:tcPr>
          <w:p>
            <w:pPr>
              <w:spacing w:after="0"/>
              <w:rPr>
                <w:sz w:val="24"/>
                <w:szCs w:val="24"/>
                <w:color w:val="auto"/>
              </w:rPr>
            </w:pPr>
          </w:p>
        </w:tc>
      </w:tr>
      <w:tr>
        <w:trPr>
          <w:trHeight w:val="216"/>
        </w:trPr>
        <w:tc>
          <w:tcPr>
            <w:tcW w:w="2520" w:type="dxa"/>
            <w:vAlign w:val="bottom"/>
          </w:tcPr>
          <w:p>
            <w:pPr>
              <w:jc w:val="center"/>
              <w:ind w:right="117"/>
              <w:spacing w:after="0"/>
              <w:rPr>
                <w:sz w:val="20"/>
                <w:szCs w:val="20"/>
                <w:color w:val="auto"/>
              </w:rPr>
            </w:pPr>
            <w:r>
              <w:rPr>
                <w:rFonts w:ascii="Arial" w:cs="Arial" w:eastAsia="Arial" w:hAnsi="Arial"/>
                <w:sz w:val="18"/>
                <w:szCs w:val="18"/>
                <w:b w:val="1"/>
                <w:bCs w:val="1"/>
                <w:color w:val="auto"/>
                <w:w w:val="90"/>
              </w:rPr>
              <w:t>Philadelphia, PA</w:t>
            </w:r>
          </w:p>
        </w:tc>
        <w:tc>
          <w:tcPr>
            <w:tcW w:w="5400" w:type="dxa"/>
            <w:vAlign w:val="bottom"/>
          </w:tcPr>
          <w:p>
            <w:pPr>
              <w:jc w:val="center"/>
              <w:ind w:left="3316"/>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20" w:type="dxa"/>
            <w:vAlign w:val="bottom"/>
          </w:tcPr>
          <w:p>
            <w:pPr>
              <w:jc w:val="center"/>
              <w:ind w:right="97"/>
              <w:spacing w:after="0"/>
              <w:rPr>
                <w:sz w:val="20"/>
                <w:szCs w:val="20"/>
                <w:color w:val="auto"/>
              </w:rPr>
            </w:pPr>
            <w:r>
              <w:rPr>
                <w:rFonts w:ascii="Arial" w:cs="Arial" w:eastAsia="Arial" w:hAnsi="Arial"/>
                <w:sz w:val="14"/>
                <w:szCs w:val="14"/>
                <w:color w:val="auto"/>
                <w:w w:val="95"/>
              </w:rPr>
              <w:t>(Address of Principal Executive Offices)</w:t>
            </w:r>
          </w:p>
        </w:tc>
        <w:tc>
          <w:tcPr>
            <w:tcW w:w="5400" w:type="dxa"/>
            <w:vAlign w:val="bottom"/>
          </w:tcPr>
          <w:p>
            <w:pPr>
              <w:jc w:val="center"/>
              <w:ind w:left="3316"/>
              <w:spacing w:after="0"/>
              <w:rPr>
                <w:sz w:val="20"/>
                <w:szCs w:val="20"/>
                <w:color w:val="auto"/>
              </w:rPr>
            </w:pPr>
            <w:r>
              <w:rPr>
                <w:rFonts w:ascii="Arial" w:cs="Arial" w:eastAsia="Arial" w:hAnsi="Arial"/>
                <w:sz w:val="14"/>
                <w:szCs w:val="14"/>
                <w:color w:val="auto"/>
                <w:w w:val="96"/>
              </w:rPr>
              <w:t>(Zip Code)</w:t>
            </w:r>
          </w:p>
        </w:tc>
      </w:tr>
    </w:tbl>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41"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Comcast Corporation (“</w:t>
      </w:r>
      <w:r>
        <w:rPr>
          <w:rFonts w:ascii="Arial" w:cs="Arial" w:eastAsia="Arial" w:hAnsi="Arial"/>
          <w:sz w:val="18"/>
          <w:szCs w:val="18"/>
          <w:b w:val="1"/>
          <w:bCs w:val="1"/>
          <w:color w:val="auto"/>
        </w:rPr>
        <w:t>Comcast</w:t>
      </w:r>
      <w:r>
        <w:rPr>
          <w:rFonts w:ascii="Arial" w:cs="Arial" w:eastAsia="Arial" w:hAnsi="Arial"/>
          <w:sz w:val="18"/>
          <w:szCs w:val="18"/>
          <w:color w:val="auto"/>
        </w:rPr>
        <w:t>”) previously reported, Sky Limited (formerly known as Sky plc) (“</w:t>
      </w:r>
      <w:r>
        <w:rPr>
          <w:rFonts w:ascii="Arial" w:cs="Arial" w:eastAsia="Arial" w:hAnsi="Arial"/>
          <w:sz w:val="18"/>
          <w:szCs w:val="18"/>
          <w:b w:val="1"/>
          <w:bCs w:val="1"/>
          <w:color w:val="auto"/>
        </w:rPr>
        <w:t>Sky</w:t>
      </w:r>
      <w:r>
        <w:rPr>
          <w:rFonts w:ascii="Arial" w:cs="Arial" w:eastAsia="Arial" w:hAnsi="Arial"/>
          <w:sz w:val="18"/>
          <w:szCs w:val="18"/>
          <w:color w:val="auto"/>
        </w:rPr>
        <w:t>”) announced on March 21, 2019, consent solicitations with respect to its Notes (as defined below) and on April 12, 2019, Sky announced that, while the requisite consents had been obtained for certain series of Notes, the quorum requirements for the remaining series of Notes had not been met and the relevant noteholder meetings were adjourned until April 26, 2019.</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Today, Sky announced that the requisite consents were obtained for all remaining series of Notes, including the three series of Main Market Notes (as defined below). Accordingly, Sky will transfer the listing of the Main Market Notes from the Main Market of the London Stock Exchange plc (the “</w:t>
      </w:r>
      <w:r>
        <w:rPr>
          <w:rFonts w:ascii="Arial" w:cs="Arial" w:eastAsia="Arial" w:hAnsi="Arial"/>
          <w:sz w:val="17"/>
          <w:szCs w:val="17"/>
          <w:b w:val="1"/>
          <w:bCs w:val="1"/>
          <w:color w:val="auto"/>
        </w:rPr>
        <w:t>LSE</w:t>
      </w:r>
      <w:r>
        <w:rPr>
          <w:rFonts w:ascii="Arial" w:cs="Arial" w:eastAsia="Arial" w:hAnsi="Arial"/>
          <w:sz w:val="17"/>
          <w:szCs w:val="17"/>
          <w:color w:val="auto"/>
        </w:rPr>
        <w:t>”) to the Professional Securities Market of the LSE and will implement certain changes to the terms of the Notes so that Sky can make certain calculations pursuant to United States Generally Accepted Accounting Principles rather than International Financial Reporting Standards. In addition, Comcast will provide a full, irrevocable and unconditional guarantee of each series of Notes within 90 days from the date of transfer of the listing of the Main Market Notes. Once the Comcast guarantee is executed in respect of the U.S. dollar denominated Notes listed below, such Notes will be subject to certain transfer restrictions as described in the relevant consent solicitation memorandum.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Main Market Notes</w:t>
      </w:r>
      <w:r>
        <w:rPr>
          <w:rFonts w:ascii="Arial" w:cs="Arial" w:eastAsia="Arial" w:hAnsi="Arial"/>
          <w:sz w:val="18"/>
          <w:szCs w:val="18"/>
          <w:color w:val="auto"/>
        </w:rPr>
        <w:t>” are as follows: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€1,500,000,000 1.500% Guaranteed Notes due 2021 (ISIN: XS1109741246);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€1,000,000,000 2.500% Guaranteed Notes due 2026 (ISIN: XS1109741329);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£300,000,000 6.000% Guaranteed Notes due 2027 (ISIN: XS0301676861).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Notes</w:t>
      </w:r>
      <w:r>
        <w:rPr>
          <w:rFonts w:ascii="Arial" w:cs="Arial" w:eastAsia="Arial" w:hAnsi="Arial"/>
          <w:sz w:val="18"/>
          <w:szCs w:val="18"/>
          <w:color w:val="auto"/>
        </w:rPr>
        <w:t>” include the Main Market Notes together with the following additional series of Notes: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$750,000,000 2.625% Notes due 2019 (ISIN: USG15632AQ89/US111013AM04);</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£450,000,000 2.875% Guaranteed Notes due 2020 (ISIN: XS1141970092);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€600,000,000 Guaranteed Floating Rate Notes due 2020 (ISIN XS1212467911);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$800,000,000 3.125% Notes due 2022 (ISIN: USG15632AN58/US111013AK48);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€850,000,000 1.875% Notes due 2023 (ISIN: XS1141969912);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$1,250,000,000 3.750 Notes due 2024 (ISIN: USG15632AP07/US111013AL21);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€500,000,000 2.250% Guaranteed Notes due 2025 (ISIN: XS1321424670);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£300,000,000 4.000% Guaranteed Notes due 2029 (ISIN: XS1141970175);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€400,000,000 2.750% Guaranteed Notes due 2029 (ISIN: XS1143502901);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$350,000,000 6.500% Notes due 2035 (ISIN: USG1658KAB73/US11778BAB80).</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7160" w:type="dxa"/>
            <w:vAlign w:val="bottom"/>
            <w:gridSpan w:val="2"/>
          </w:tcPr>
          <w:p>
            <w:pPr>
              <w:ind w:left="260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4260" w:type="dxa"/>
            <w:vAlign w:val="bottom"/>
          </w:tcPr>
          <w:p>
            <w:pPr>
              <w:spacing w:after="0"/>
              <w:rPr>
                <w:sz w:val="20"/>
                <w:szCs w:val="20"/>
                <w:color w:val="auto"/>
              </w:rPr>
            </w:pPr>
            <w:r>
              <w:rPr>
                <w:rFonts w:ascii="Arial" w:cs="Arial" w:eastAsia="Arial" w:hAnsi="Arial"/>
                <w:sz w:val="18"/>
                <w:szCs w:val="18"/>
                <w:color w:val="auto"/>
              </w:rPr>
              <w:t>Date:  April 26, 2019</w:t>
            </w:r>
          </w:p>
        </w:tc>
        <w:tc>
          <w:tcPr>
            <w:tcW w:w="328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Reid</w:t>
            </w:r>
          </w:p>
        </w:tc>
      </w:tr>
      <w:tr>
        <w:trPr>
          <w:trHeight w:val="211"/>
        </w:trPr>
        <w:tc>
          <w:tcPr>
            <w:tcW w:w="42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Thomas J. Reid</w:t>
            </w:r>
          </w:p>
        </w:tc>
      </w:tr>
    </w:tbl>
    <w:p>
      <w:pPr>
        <w:ind w:left="7540"/>
        <w:spacing w:after="0"/>
        <w:rPr>
          <w:sz w:val="20"/>
          <w:szCs w:val="20"/>
          <w:color w:val="auto"/>
        </w:rPr>
      </w:pPr>
      <w:r>
        <w:rPr>
          <w:rFonts w:ascii="Arial" w:cs="Arial" w:eastAsia="Arial" w:hAnsi="Arial"/>
          <w:sz w:val="17"/>
          <w:szCs w:val="17"/>
          <w:color w:val="auto"/>
        </w:rPr>
        <w:t>Senior Executive Vice President, General Counsel</w:t>
      </w:r>
    </w:p>
    <w:p>
      <w:pPr>
        <w:spacing w:after="0" w:line="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2019-12-03T02:57:38Z</dcterms:created>
  <dcterms:modified xsi:type="dcterms:W3CDTF">2019-12-03T02:57:38Z</dcterms:modified>
</cp:coreProperties>
</file>