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506730</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552450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3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 2025</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Comcast Corporation</w:t>
      </w:r>
    </w:p>
    <w:p>
      <w:pPr>
        <w:spacing w:after="0" w:line="3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(Exact Name of Registrant</w:t>
      </w:r>
    </w:p>
    <w:p>
      <w:pPr>
        <w:ind w:left="4460"/>
        <w:spacing w:after="0"/>
        <w:rPr>
          <w:sz w:val="20"/>
          <w:szCs w:val="20"/>
          <w:color w:val="auto"/>
        </w:rPr>
      </w:pPr>
      <w:r>
        <w:rPr>
          <w:rFonts w:ascii="Times New Roman" w:cs="Times New Roman" w:eastAsia="Times New Roman" w:hAnsi="Times New Roman"/>
          <w:sz w:val="16"/>
          <w:szCs w:val="16"/>
          <w:color w:val="auto"/>
        </w:rPr>
        <w:t>as Specified in its Charter)</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180" w:lineRule="exact"/>
        <w:rPr>
          <w:sz w:val="24"/>
          <w:szCs w:val="24"/>
          <w:color w:val="auto"/>
        </w:rPr>
      </w:pPr>
    </w:p>
    <w:tbl>
      <w:tblPr>
        <w:tblLayout w:type="fixed"/>
        <w:tblInd w:w="1320" w:type="dxa"/>
        <w:tblCellMar>
          <w:top w:w="0" w:type="dxa"/>
          <w:left w:w="0" w:type="dxa"/>
          <w:bottom w:w="0" w:type="dxa"/>
          <w:right w:w="0" w:type="dxa"/>
        </w:tblCellMar>
      </w:tblPr>
      <w:tr>
        <w:trPr>
          <w:trHeight w:val="205"/>
        </w:trPr>
        <w:tc>
          <w:tcPr>
            <w:tcW w:w="408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8"/>
              </w:rPr>
              <w:t>001-32871</w:t>
            </w:r>
          </w:p>
        </w:tc>
        <w:tc>
          <w:tcPr>
            <w:tcW w:w="3660" w:type="dxa"/>
            <w:vAlign w:val="bottom"/>
          </w:tcPr>
          <w:p>
            <w:pPr>
              <w:jc w:val="center"/>
              <w:ind w:left="1422"/>
              <w:spacing w:after="0"/>
              <w:rPr>
                <w:sz w:val="20"/>
                <w:szCs w:val="20"/>
                <w:color w:val="auto"/>
              </w:rPr>
            </w:pPr>
            <w:r>
              <w:rPr>
                <w:rFonts w:ascii="Times New Roman" w:cs="Times New Roman" w:eastAsia="Times New Roman" w:hAnsi="Times New Roman"/>
                <w:sz w:val="16"/>
                <w:szCs w:val="16"/>
                <w:b w:val="1"/>
                <w:bCs w:val="1"/>
                <w:color w:val="auto"/>
                <w:w w:val="98"/>
              </w:rPr>
              <w:t>27-0000798</w:t>
            </w:r>
          </w:p>
        </w:tc>
      </w:tr>
      <w:tr>
        <w:trPr>
          <w:trHeight w:val="216"/>
        </w:trPr>
        <w:tc>
          <w:tcPr>
            <w:tcW w:w="4080" w:type="dxa"/>
            <w:vAlign w:val="bottom"/>
          </w:tcPr>
          <w:p>
            <w:pPr>
              <w:jc w:val="center"/>
              <w:ind w:right="1442"/>
              <w:spacing w:after="0"/>
              <w:rPr>
                <w:sz w:val="20"/>
                <w:szCs w:val="20"/>
                <w:color w:val="auto"/>
              </w:rPr>
            </w:pPr>
            <w:r>
              <w:rPr>
                <w:rFonts w:ascii="Times New Roman" w:cs="Times New Roman" w:eastAsia="Times New Roman" w:hAnsi="Times New Roman"/>
                <w:sz w:val="16"/>
                <w:szCs w:val="16"/>
                <w:color w:val="auto"/>
                <w:w w:val="97"/>
              </w:rPr>
              <w:t>(Commission File Number)</w:t>
            </w:r>
          </w:p>
        </w:tc>
        <w:tc>
          <w:tcPr>
            <w:tcW w:w="3660" w:type="dxa"/>
            <w:vAlign w:val="bottom"/>
          </w:tcPr>
          <w:p>
            <w:pPr>
              <w:jc w:val="center"/>
              <w:ind w:left="144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443"/>
        </w:trPr>
        <w:tc>
          <w:tcPr>
            <w:tcW w:w="408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7"/>
              </w:rPr>
              <w:t>One Comcast Center</w:t>
            </w:r>
          </w:p>
        </w:tc>
        <w:tc>
          <w:tcPr>
            <w:tcW w:w="3660" w:type="dxa"/>
            <w:vAlign w:val="bottom"/>
          </w:tcPr>
          <w:p>
            <w:pPr>
              <w:spacing w:after="0"/>
              <w:rPr>
                <w:sz w:val="24"/>
                <w:szCs w:val="24"/>
                <w:color w:val="auto"/>
              </w:rPr>
            </w:pPr>
          </w:p>
        </w:tc>
      </w:tr>
      <w:tr>
        <w:trPr>
          <w:trHeight w:val="205"/>
        </w:trPr>
        <w:tc>
          <w:tcPr>
            <w:tcW w:w="408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6"/>
              </w:rPr>
              <w:t>Philadelphia, PA</w:t>
            </w:r>
          </w:p>
        </w:tc>
        <w:tc>
          <w:tcPr>
            <w:tcW w:w="3660" w:type="dxa"/>
            <w:vAlign w:val="bottom"/>
          </w:tcPr>
          <w:p>
            <w:pPr>
              <w:jc w:val="center"/>
              <w:ind w:left="1422"/>
              <w:spacing w:after="0"/>
              <w:rPr>
                <w:sz w:val="20"/>
                <w:szCs w:val="20"/>
                <w:color w:val="auto"/>
              </w:rPr>
            </w:pPr>
            <w:r>
              <w:rPr>
                <w:rFonts w:ascii="Times New Roman" w:cs="Times New Roman" w:eastAsia="Times New Roman" w:hAnsi="Times New Roman"/>
                <w:sz w:val="16"/>
                <w:szCs w:val="16"/>
                <w:b w:val="1"/>
                <w:bCs w:val="1"/>
                <w:color w:val="auto"/>
                <w:w w:val="98"/>
              </w:rPr>
              <w:t>19103-2838</w:t>
            </w:r>
          </w:p>
        </w:tc>
      </w:tr>
      <w:tr>
        <w:trPr>
          <w:trHeight w:val="216"/>
        </w:trPr>
        <w:tc>
          <w:tcPr>
            <w:tcW w:w="4080" w:type="dxa"/>
            <w:vAlign w:val="bottom"/>
          </w:tcPr>
          <w:p>
            <w:pPr>
              <w:jc w:val="center"/>
              <w:ind w:right="144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660" w:type="dxa"/>
            <w:vAlign w:val="bottom"/>
          </w:tcPr>
          <w:p>
            <w:pPr>
              <w:jc w:val="center"/>
              <w:ind w:left="142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(215) 286-1700</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24"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4"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24" w:lineRule="exact"/>
        <w:rPr>
          <w:rFonts w:ascii="MS PGothic" w:cs="MS PGothic" w:eastAsia="MS PGothic" w:hAnsi="MS PGothic"/>
          <w:sz w:val="16"/>
          <w:szCs w:val="16"/>
          <w:color w:val="auto"/>
        </w:rPr>
      </w:pPr>
    </w:p>
    <w:p>
      <w:pPr>
        <w:ind w:right="3300" w:firstLine="6"/>
        <w:spacing w:after="0" w:line="484" w:lineRule="auto"/>
        <w:tabs>
          <w:tab w:leader="none" w:pos="28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2"/>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100" w:type="dxa"/>
            <w:vAlign w:val="bottom"/>
          </w:tcPr>
          <w:p>
            <w:pPr>
              <w:spacing w:after="0"/>
              <w:rPr>
                <w:sz w:val="18"/>
                <w:szCs w:val="18"/>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80" w:type="dxa"/>
            <w:vAlign w:val="bottom"/>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Name of Each Exchange on Which Registered</w:t>
            </w:r>
          </w:p>
        </w:tc>
      </w:tr>
      <w:tr>
        <w:trPr>
          <w:trHeight w:val="213"/>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 A Common Stock, $0.01 par value</w:t>
            </w:r>
          </w:p>
        </w:tc>
        <w:tc>
          <w:tcPr>
            <w:tcW w:w="1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CMCSA</w:t>
            </w:r>
          </w:p>
        </w:tc>
        <w:tc>
          <w:tcPr>
            <w:tcW w:w="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0.000% Notes due 2026</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CMCS26</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0.250% Notes due 2027</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CMCS27</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1.500% Notes due 2029</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CMCS29</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0.250% Notes due 2029</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CMCS29A</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0.750% Notes due 2032</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CMCS32</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3.250% Notes due 2032</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CMCS32A</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1.875% Notes due 2036</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CMCS36</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3.550% Notes due 2036</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CMCS36A</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1.250% Notes due 2040</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CMCS40</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5.250% Notes due 2040</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CMCS40A</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5.50% Notes due 2029</w:t>
            </w:r>
          </w:p>
        </w:tc>
        <w:tc>
          <w:tcPr>
            <w:tcW w:w="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CCGBP29</w:t>
            </w:r>
          </w:p>
        </w:tc>
        <w:tc>
          <w:tcPr>
            <w:tcW w:w="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r>
        <w:trPr>
          <w:trHeight w:val="205"/>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2.0% Exchangeable Subordinated Debentures due</w:t>
            </w:r>
          </w:p>
        </w:tc>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2029</w:t>
            </w:r>
          </w:p>
        </w:tc>
        <w:tc>
          <w:tcPr>
            <w:tcW w:w="100" w:type="dxa"/>
            <w:vAlign w:val="bottom"/>
          </w:tcPr>
          <w:p>
            <w:pPr>
              <w:spacing w:after="0"/>
              <w:rPr>
                <w:sz w:val="17"/>
                <w:szCs w:val="17"/>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CCZ</w:t>
            </w:r>
          </w:p>
        </w:tc>
        <w:tc>
          <w:tcPr>
            <w:tcW w:w="8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81" w:lineRule="exact"/>
        <w:rPr>
          <w:sz w:val="24"/>
          <w:szCs w:val="24"/>
          <w:color w:val="auto"/>
        </w:rPr>
      </w:pPr>
    </w:p>
    <w:p>
      <w:pPr>
        <w:jc w:val="both"/>
        <w:ind w:right="2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ind w:right="28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145415</wp:posOffset>
            </wp:positionV>
            <wp:extent cx="6707505"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495935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60"/>
          </w:cols>
          <w:pgMar w:left="660" w:top="1117" w:right="680" w:bottom="112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2.03 Creation of a Direct Financial Obligation or an Obligation under an Off-Balance Sheet Arrangement of the Registrant</w:t>
      </w:r>
    </w:p>
    <w:p>
      <w:pPr>
        <w:spacing w:after="0" w:line="17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2.03 relating to the New Notes, the Base Indenture, the First Supplemental Indenture and the Second Supplemental Indenture (each as defined below) is set forth under Item 8.01 of this Current Report on Form 8-K and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7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October 2, 2025, Comcast Corporation (“Comcast” or the “Company”) completed the (i) previously announced private offers (the “Exchange Offers”) to exchange its 5.350% Notes due 2027, the 3.150% Notes due 2028 Notes, the 3.550% Notes due 2028, the 3.300% Notes due 2027 and the 5.100% Notes due 2029 (collectively, the “Pool 1 Notes”) for up to $1,750,000,000 in aggregate principal amount of the Company’s new Notes due 2037 (the “New Notes”) and (ii) the previously announced offers to purchase for cash all validly tendered and not validly withdrawn Pool 1 Notes (the “Cash Offers”).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Exchange Offers, the Company issued $691,967,000 in aggregate principal amount of the New Notes. The New Notes will bear interest at a rate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5.168% per year and will mature on January 15, 2037. The Company will pay interest on the New Notes on January 15 and July 15 of each year, beginning on January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15, 2026.</w:t>
      </w:r>
    </w:p>
    <w:p>
      <w:pPr>
        <w:spacing w:after="0" w:line="15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New Notes were issued pursuant to an Indenture dated as of September 18, 2013 (the “Base Indenture”) among Comcast, the guarantors named therein and The Bank of New York Mellon, as trustee (the “Trustee”),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180"/>
        <w:spacing w:after="0" w:line="243" w:lineRule="auto"/>
        <w:rPr>
          <w:sz w:val="20"/>
          <w:szCs w:val="20"/>
          <w:color w:val="auto"/>
        </w:rPr>
      </w:pPr>
      <w:r>
        <w:rPr>
          <w:rFonts w:ascii="Times New Roman" w:cs="Times New Roman" w:eastAsia="Times New Roman" w:hAnsi="Times New Roman"/>
          <w:sz w:val="16"/>
          <w:szCs w:val="16"/>
          <w:color w:val="auto"/>
        </w:rPr>
        <w:t>supplemented by the First Supplemental Indenture dated as of November 17, 2015 (the “First Supplemental Indenture”) among Comcast, the guarantors named therein and the Trustee and as further supplemented by the Second Supplemental Indenture dated as of July 29, 2022 (the “Second Supplemental Indenture”) among Comcast, the guarantors named therein and the Trustee, and an officers’ certificate issued pursuant thereto. The New Notes are guaranteed on an unsecured and unsubordinated basis by Comcast Cable Communications, LLC and NBCUniversal (the “Guarantors”).</w:t>
      </w:r>
    </w:p>
    <w:p>
      <w:pPr>
        <w:spacing w:after="0" w:line="15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material terms and conditions of the New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filed as Exhibit 4.4 to Comcast’s Registration Statement on Form S-3, filed on July 29, 2022 (Reg. No. 333-266390), each of which are incorporated by reference herein.</w:t>
      </w:r>
    </w:p>
    <w:p>
      <w:pPr>
        <w:spacing w:after="0" w:line="15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 connection with Comcast’s issuance of the New Notes, Comcast and the Guarantors entered into a registration rights agreement (the “Registration Rights Agreement”) with the joint lead dealer managers for the Exchange Offers, on behalf of themselves and each co-dealer manager for the Exchange Offers. Under the Registration Rights Agreement, the Company and the Guarantors agreed, among other things, to use commercially reasonable efforts to file a registration statement with the Securities and Exchange Commission with respect to a registered offer to exchange the New Notes for a series of exchange notes with terms substantially identical in all material respects to the New Notes, except that the exchange notes will not contain transfer restrictions and will not provide for any increase in annual interest rate.</w:t>
      </w:r>
    </w:p>
    <w:p>
      <w:pPr>
        <w:spacing w:after="0" w:line="128"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Item 9.01(d) Exhibits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5"/>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2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4"/>
        </w:trPr>
        <w:tc>
          <w:tcPr>
            <w:tcW w:w="180" w:type="dxa"/>
            <w:vAlign w:val="bottom"/>
          </w:tcPr>
          <w:p>
            <w:pPr>
              <w:spacing w:after="0"/>
              <w:rPr>
                <w:rFonts w:ascii="Times New Roman" w:cs="Times New Roman" w:eastAsia="Times New Roman" w:hAnsi="Times New Roman"/>
                <w:sz w:val="16"/>
                <w:szCs w:val="16"/>
                <w:color w:val="0000FF"/>
                <w:w w:val="79"/>
              </w:rPr>
            </w:pPr>
            <w:hyperlink w:anchor="page1">
              <w:r>
                <w:rPr>
                  <w:rFonts w:ascii="Times New Roman" w:cs="Times New Roman" w:eastAsia="Times New Roman" w:hAnsi="Times New Roman"/>
                  <w:sz w:val="16"/>
                  <w:szCs w:val="16"/>
                  <w:color w:val="0000FF"/>
                  <w:w w:val="79"/>
                </w:rPr>
                <w:t>4.</w:t>
              </w:r>
              <w:r>
                <w:rPr>
                  <w:rFonts w:ascii="Times New Roman" w:cs="Times New Roman" w:eastAsia="Times New Roman" w:hAnsi="Times New Roman"/>
                  <w:sz w:val="16"/>
                  <w:szCs w:val="16"/>
                  <w:u w:val="single" w:color="auto"/>
                  <w:color w:val="0000FF"/>
                  <w:w w:val="79"/>
                </w:rPr>
                <w:t>1</w:t>
              </w:r>
            </w:hyperlink>
          </w:p>
        </w:tc>
        <w:tc>
          <w:tcPr>
            <w:tcW w:w="520" w:type="dxa"/>
            <w:vAlign w:val="bottom"/>
          </w:tcPr>
          <w:p>
            <w:pPr>
              <w:spacing w:after="0"/>
              <w:rPr>
                <w:sz w:val="16"/>
                <w:szCs w:val="16"/>
                <w:color w:val="auto"/>
              </w:rPr>
            </w:pPr>
          </w:p>
        </w:tc>
        <w:tc>
          <w:tcPr>
            <w:tcW w:w="5200" w:type="dxa"/>
            <w:vAlign w:val="bottom"/>
            <w:gridSpan w:val="4"/>
          </w:tcPr>
          <w:p>
            <w:pPr>
              <w:ind w:left="16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Form of Officers’ Certificate setting forth the terms of the New Notes.</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8"/>
        </w:trPr>
        <w:tc>
          <w:tcPr>
            <w:tcW w:w="180" w:type="dxa"/>
            <w:vAlign w:val="bottom"/>
          </w:tcPr>
          <w:p>
            <w:pPr>
              <w:spacing w:after="0"/>
              <w:rPr>
                <w:rFonts w:ascii="Times New Roman" w:cs="Times New Roman" w:eastAsia="Times New Roman" w:hAnsi="Times New Roman"/>
                <w:sz w:val="16"/>
                <w:szCs w:val="16"/>
                <w:color w:val="0000FF"/>
                <w:w w:val="79"/>
              </w:rPr>
            </w:pPr>
            <w:hyperlink w:anchor="page1">
              <w:r>
                <w:rPr>
                  <w:rFonts w:ascii="Times New Roman" w:cs="Times New Roman" w:eastAsia="Times New Roman" w:hAnsi="Times New Roman"/>
                  <w:sz w:val="16"/>
                  <w:szCs w:val="16"/>
                  <w:color w:val="0000FF"/>
                  <w:w w:val="79"/>
                </w:rPr>
                <w:t>4.</w:t>
              </w:r>
              <w:r>
                <w:rPr>
                  <w:rFonts w:ascii="Times New Roman" w:cs="Times New Roman" w:eastAsia="Times New Roman" w:hAnsi="Times New Roman"/>
                  <w:sz w:val="16"/>
                  <w:szCs w:val="16"/>
                  <w:u w:val="single" w:color="auto"/>
                  <w:color w:val="0000FF"/>
                  <w:w w:val="79"/>
                </w:rPr>
                <w:t>2</w:t>
              </w:r>
            </w:hyperlink>
          </w:p>
        </w:tc>
        <w:tc>
          <w:tcPr>
            <w:tcW w:w="520" w:type="dxa"/>
            <w:vAlign w:val="bottom"/>
          </w:tcPr>
          <w:p>
            <w:pPr>
              <w:spacing w:after="0"/>
              <w:rPr>
                <w:sz w:val="18"/>
                <w:szCs w:val="18"/>
                <w:color w:val="auto"/>
              </w:rPr>
            </w:pPr>
          </w:p>
        </w:tc>
        <w:tc>
          <w:tcPr>
            <w:tcW w:w="5200" w:type="dxa"/>
            <w:vAlign w:val="bottom"/>
            <w:gridSpan w:val="4"/>
          </w:tcPr>
          <w:p>
            <w:pPr>
              <w:ind w:left="16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Registration Rights Agreement, dated as of October 2, 2025.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242"/>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52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w w:val="96"/>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336550</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right="20" w:firstLine="28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274" w:lineRule="exact"/>
        <w:rPr>
          <w:sz w:val="20"/>
          <w:szCs w:val="20"/>
          <w:color w:val="auto"/>
        </w:rPr>
      </w:pPr>
    </w:p>
    <w:p>
      <w:pPr>
        <w:ind w:left="40"/>
        <w:spacing w:after="0"/>
        <w:tabs>
          <w:tab w:leader="none" w:pos="5300" w:val="left"/>
          <w:tab w:leader="none" w:pos="5820" w:val="left"/>
        </w:tabs>
        <w:rPr>
          <w:sz w:val="20"/>
          <w:szCs w:val="20"/>
          <w:color w:val="auto"/>
        </w:rPr>
      </w:pPr>
      <w:r>
        <w:rPr>
          <w:rFonts w:ascii="Times New Roman" w:cs="Times New Roman" w:eastAsia="Times New Roman" w:hAnsi="Times New Roman"/>
          <w:sz w:val="16"/>
          <w:szCs w:val="16"/>
          <w:color w:val="auto"/>
        </w:rPr>
        <w:t>Date: October 2,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20955</wp:posOffset>
            </wp:positionV>
            <wp:extent cx="30181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Name:  Elizabeth Wideman</w:t>
      </w:r>
    </w:p>
    <w:p>
      <w:pPr>
        <w:spacing w:after="0" w:line="56" w:lineRule="exact"/>
        <w:rPr>
          <w:sz w:val="20"/>
          <w:szCs w:val="20"/>
          <w:color w:val="auto"/>
        </w:rPr>
      </w:pPr>
    </w:p>
    <w:p>
      <w:pPr>
        <w:ind w:left="5320"/>
        <w:spacing w:after="0"/>
        <w:tabs>
          <w:tab w:leader="none" w:pos="5820" w:val="left"/>
        </w:tabs>
        <w:rPr>
          <w:sz w:val="20"/>
          <w:szCs w:val="20"/>
          <w:color w:val="auto"/>
        </w:rPr>
      </w:pPr>
      <w:r>
        <w:rPr>
          <w:rFonts w:ascii="Times New Roman" w:cs="Times New Roman" w:eastAsia="Times New Roman" w:hAnsi="Times New Roman"/>
          <w:sz w:val="16"/>
          <w:szCs w:val="16"/>
          <w:color w:val="auto"/>
        </w:rPr>
        <w:t>Title:</w:t>
        <w:tab/>
        <w:t>Senior Vice President, Senior Deputy General Counsel and Assistant</w:t>
      </w:r>
    </w:p>
    <w:p>
      <w:pPr>
        <w:spacing w:after="0" w:line="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329565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 w:name="page3"/>
    <w:bookmarkEnd w:id="2"/>
    <w:p>
      <w:pPr>
        <w:ind w:left="9660"/>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Officers’ Certificate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October 2, 2025</w:t>
      </w:r>
    </w:p>
    <w:p>
      <w:pPr>
        <w:spacing w:after="0" w:line="176" w:lineRule="exact"/>
        <w:rPr>
          <w:sz w:val="20"/>
          <w:szCs w:val="20"/>
          <w:color w:val="auto"/>
        </w:rPr>
      </w:pPr>
    </w:p>
    <w:p>
      <w:pPr>
        <w:jc w:val="both"/>
        <w:ind w:right="60" w:firstLine="576"/>
        <w:spacing w:after="0" w:line="281" w:lineRule="auto"/>
        <w:rPr>
          <w:sz w:val="20"/>
          <w:szCs w:val="20"/>
          <w:color w:val="auto"/>
        </w:rPr>
      </w:pPr>
      <w:r>
        <w:rPr>
          <w:rFonts w:ascii="Times New Roman" w:cs="Times New Roman" w:eastAsia="Times New Roman" w:hAnsi="Times New Roman"/>
          <w:sz w:val="14"/>
          <w:szCs w:val="14"/>
          <w:color w:val="auto"/>
        </w:rPr>
        <w:t>Pursuant to Section 2.03 of the Indenture dated as of September 18, 2013, by and among Comcast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the guarantors named therein and The Bank of New York Mellon,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xml:space="preserve"> ”), as supplemented by the First Supplemental Indenture dated as of November 17, 2015 by and among the Company, the guarantors named therein and the Trustee and as further supplemented by the second Supplemental Indenture dated as of July 29, 2022 (as amended,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by and among the Company, the guarantors named therein and the Trustee, and guaranteed on an unsecured and unsubordinated basis by Comcast Cable Communications, LLC and NBCUniversal Media, LLC (the “</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 the undersigned officers of the Company do hereby certify, in connection with the issuance of the Company’s $691,967,000 aggregate principal amount of 5.168% Notes due 2037 (the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that the terms of the Notes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16"/>
                <w:szCs w:val="16"/>
                <w:u w:val="single" w:color="auto"/>
                <w:color w:val="auto"/>
              </w:rPr>
              <w:t>168%</w:t>
            </w:r>
            <w:r>
              <w:rPr>
                <w:rFonts w:ascii="Times New Roman" w:cs="Times New Roman" w:eastAsia="Times New Roman" w:hAnsi="Times New Roman"/>
                <w:sz w:val="16"/>
                <w:szCs w:val="16"/>
                <w:color w:val="auto"/>
              </w:rPr>
              <w:t xml:space="preserve"> Notes due 2037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Title:</w:t>
            </w: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420" w:type="dxa"/>
            <w:vAlign w:val="bottom"/>
            <w:vMerge w:val="continue"/>
          </w:tcPr>
          <w:p>
            <w:pPr>
              <w:spacing w:after="0"/>
              <w:rPr>
                <w:sz w:val="24"/>
                <w:szCs w:val="24"/>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5.168% Notes due 2037</w:t>
            </w:r>
          </w:p>
        </w:tc>
        <w:tc>
          <w:tcPr>
            <w:tcW w:w="0" w:type="dxa"/>
            <w:vAlign w:val="bottom"/>
          </w:tcPr>
          <w:p>
            <w:pPr>
              <w:spacing w:after="0"/>
              <w:rPr>
                <w:sz w:val="1"/>
                <w:szCs w:val="1"/>
                <w:color w:val="auto"/>
              </w:rPr>
            </w:pPr>
          </w:p>
        </w:tc>
      </w:tr>
      <w:tr>
        <w:trPr>
          <w:trHeight w:val="360"/>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Aggregate Principal Amount at Maturity:</w:t>
            </w:r>
          </w:p>
        </w:tc>
        <w:tc>
          <w:tcPr>
            <w:tcW w:w="19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$691,967,000</w:t>
            </w:r>
          </w:p>
        </w:tc>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Payment Date:</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January 15, 2037</w:t>
            </w:r>
          </w:p>
        </w:tc>
        <w:tc>
          <w:tcPr>
            <w:tcW w:w="0" w:type="dxa"/>
            <w:vAlign w:val="bottom"/>
          </w:tcPr>
          <w:p>
            <w:pPr>
              <w:spacing w:after="0"/>
              <w:rPr>
                <w:sz w:val="1"/>
                <w:szCs w:val="1"/>
                <w:color w:val="auto"/>
              </w:rPr>
            </w:pPr>
          </w:p>
        </w:tc>
      </w:tr>
      <w:tr>
        <w:trPr>
          <w:trHeight w:val="360"/>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Interest:</w:t>
            </w:r>
          </w:p>
        </w:tc>
        <w:tc>
          <w:tcPr>
            <w:tcW w:w="19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5.168%</w:t>
            </w:r>
          </w:p>
        </w:tc>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Redemption:</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Prior to October 15, 2036 (three months prior to the maturity date of the Notes) (the “</w:t>
            </w:r>
            <w:r>
              <w:rPr>
                <w:rFonts w:ascii="Times New Roman" w:cs="Times New Roman" w:eastAsia="Times New Roman" w:hAnsi="Times New Roman"/>
                <w:sz w:val="16"/>
                <w:szCs w:val="16"/>
                <w:b w:val="1"/>
                <w:bCs w:val="1"/>
                <w:color w:val="auto"/>
              </w:rPr>
              <w:t>Par Call</w:t>
            </w:r>
          </w:p>
        </w:tc>
        <w:tc>
          <w:tcPr>
            <w:tcW w:w="0" w:type="dxa"/>
            <w:vAlign w:val="bottom"/>
          </w:tcPr>
          <w:p>
            <w:pPr>
              <w:spacing w:after="0"/>
              <w:rPr>
                <w:sz w:val="1"/>
                <w:szCs w:val="1"/>
                <w:color w:val="auto"/>
              </w:rPr>
            </w:pPr>
          </w:p>
        </w:tc>
      </w:tr>
      <w:tr>
        <w:trPr>
          <w:trHeight w:val="182"/>
        </w:trPr>
        <w:tc>
          <w:tcPr>
            <w:tcW w:w="3420" w:type="dxa"/>
            <w:vAlign w:val="bottom"/>
          </w:tcPr>
          <w:p>
            <w:pPr>
              <w:spacing w:after="0"/>
              <w:rPr>
                <w:sz w:val="15"/>
                <w:szCs w:val="15"/>
                <w:color w:val="auto"/>
              </w:rPr>
            </w:pPr>
          </w:p>
        </w:tc>
        <w:tc>
          <w:tcPr>
            <w:tcW w:w="7180" w:type="dxa"/>
            <w:vAlign w:val="bottom"/>
            <w:gridSpan w:val="5"/>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the Company may redeem the Notes at its option, in whole or in part, at any time and from</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7"/>
              </w:rPr>
              <w:t>time to time, at a redemption price (expressed as a percentage of the principal amount and rounded to</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three decimal places) equal to the greater of: (1) (a) the sum of the present values of the remaining</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scheduled payments of principal and interest thereon discounted to the redemption date (assuming,</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for this purpose, that the Notes matured on the Par Call Date) on a semi-annual basis (assuming a</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360-day year consisting of twelve 30-day months) at the Treasury Rate</w:t>
            </w:r>
          </w:p>
        </w:tc>
        <w:tc>
          <w:tcPr>
            <w:tcW w:w="0" w:type="dxa"/>
            <w:vAlign w:val="bottom"/>
          </w:tcPr>
          <w:p>
            <w:pPr>
              <w:spacing w:after="0"/>
              <w:rPr>
                <w:sz w:val="1"/>
                <w:szCs w:val="1"/>
                <w:color w:val="auto"/>
              </w:rPr>
            </w:pPr>
          </w:p>
        </w:tc>
      </w:tr>
      <w:tr>
        <w:trPr>
          <w:trHeight w:val="337"/>
        </w:trPr>
        <w:tc>
          <w:tcPr>
            <w:tcW w:w="3420" w:type="dxa"/>
            <w:vAlign w:val="bottom"/>
          </w:tcPr>
          <w:p>
            <w:pPr>
              <w:spacing w:after="0"/>
              <w:rPr>
                <w:sz w:val="24"/>
                <w:szCs w:val="24"/>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w w:val="98"/>
              </w:rPr>
              <w:t>(as defined in the Notes) plus 15 basis points, less (b) interest accrued to the date of redemption, and</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(2) 100% of the principal amount of the Notes to be redeemed, plus, in either case, accrued and</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unpaid interest thereon to the redemption date.</w:t>
            </w:r>
          </w:p>
        </w:tc>
        <w:tc>
          <w:tcPr>
            <w:tcW w:w="0" w:type="dxa"/>
            <w:vAlign w:val="bottom"/>
          </w:tcPr>
          <w:p>
            <w:pPr>
              <w:spacing w:after="0"/>
              <w:rPr>
                <w:sz w:val="1"/>
                <w:szCs w:val="1"/>
                <w:color w:val="auto"/>
              </w:rPr>
            </w:pPr>
          </w:p>
        </w:tc>
      </w:tr>
      <w:tr>
        <w:trPr>
          <w:trHeight w:val="360"/>
        </w:trPr>
        <w:tc>
          <w:tcPr>
            <w:tcW w:w="3420" w:type="dxa"/>
            <w:vAlign w:val="bottom"/>
          </w:tcPr>
          <w:p>
            <w:pPr>
              <w:spacing w:after="0"/>
              <w:rPr>
                <w:sz w:val="24"/>
                <w:szCs w:val="24"/>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On or after the Par Call Date, the Company may redeem the Notes, in whole or in part, at any time</w:t>
            </w:r>
          </w:p>
        </w:tc>
        <w:tc>
          <w:tcPr>
            <w:tcW w:w="0" w:type="dxa"/>
            <w:vAlign w:val="bottom"/>
          </w:tcPr>
          <w:p>
            <w:pPr>
              <w:spacing w:after="0"/>
              <w:rPr>
                <w:sz w:val="1"/>
                <w:szCs w:val="1"/>
                <w:color w:val="auto"/>
              </w:rPr>
            </w:pPr>
          </w:p>
        </w:tc>
      </w:tr>
      <w:tr>
        <w:trPr>
          <w:trHeight w:val="494"/>
        </w:trPr>
        <w:tc>
          <w:tcPr>
            <w:tcW w:w="3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3420" w:type="dxa"/>
            <w:vAlign w:val="bottom"/>
          </w:tcPr>
          <w:p>
            <w:pPr>
              <w:spacing w:after="0"/>
              <w:rPr>
                <w:sz w:val="24"/>
                <w:szCs w:val="24"/>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and from time to time, at a redemption price equal to 100% of the principal amount of the Notes</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being redeemed, plus accrued and unpaid interest thereon to the redemption date.</w:t>
            </w:r>
          </w:p>
        </w:tc>
        <w:tc>
          <w:tcPr>
            <w:tcW w:w="0" w:type="dxa"/>
            <w:vAlign w:val="bottom"/>
          </w:tcPr>
          <w:p>
            <w:pPr>
              <w:spacing w:after="0"/>
              <w:rPr>
                <w:sz w:val="1"/>
                <w:szCs w:val="1"/>
                <w:color w:val="auto"/>
              </w:rPr>
            </w:pPr>
          </w:p>
        </w:tc>
      </w:tr>
      <w:tr>
        <w:trPr>
          <w:trHeight w:val="335"/>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Registration Rights:</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w w:val="97"/>
              </w:rPr>
              <w:t>Holders of the Notes shall have the rights set forth in the registration rights agreement, dated October</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8"/>
              </w:rPr>
              <w:t>2, 2025, among the Company, the Guarantors and the joint-lead dealer managers (the “</w:t>
            </w:r>
            <w:r>
              <w:rPr>
                <w:rFonts w:ascii="Times New Roman" w:cs="Times New Roman" w:eastAsia="Times New Roman" w:hAnsi="Times New Roman"/>
                <w:sz w:val="16"/>
                <w:szCs w:val="16"/>
                <w:b w:val="1"/>
                <w:bCs w:val="1"/>
                <w:color w:val="auto"/>
                <w:w w:val="98"/>
              </w:rPr>
              <w:t>Registration</w:t>
            </w:r>
          </w:p>
        </w:tc>
        <w:tc>
          <w:tcPr>
            <w:tcW w:w="0" w:type="dxa"/>
            <w:vAlign w:val="bottom"/>
          </w:tcPr>
          <w:p>
            <w:pPr>
              <w:spacing w:after="0"/>
              <w:rPr>
                <w:sz w:val="1"/>
                <w:szCs w:val="1"/>
                <w:color w:val="auto"/>
              </w:rPr>
            </w:pPr>
          </w:p>
        </w:tc>
      </w:tr>
      <w:tr>
        <w:trPr>
          <w:trHeight w:val="182"/>
        </w:trPr>
        <w:tc>
          <w:tcPr>
            <w:tcW w:w="3420" w:type="dxa"/>
            <w:vAlign w:val="bottom"/>
          </w:tcPr>
          <w:p>
            <w:pPr>
              <w:spacing w:after="0"/>
              <w:rPr>
                <w:sz w:val="15"/>
                <w:szCs w:val="15"/>
                <w:color w:val="auto"/>
              </w:rPr>
            </w:pPr>
          </w:p>
        </w:tc>
        <w:tc>
          <w:tcPr>
            <w:tcW w:w="7180" w:type="dxa"/>
            <w:vAlign w:val="bottom"/>
            <w:gridSpan w:val="5"/>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auto"/>
              </w:rPr>
              <w:t>Rights Agreement</w:t>
            </w:r>
            <w:r>
              <w:rPr>
                <w:rFonts w:ascii="Times New Roman" w:cs="Times New Roman" w:eastAsia="Times New Roman" w:hAnsi="Times New Roman"/>
                <w:sz w:val="16"/>
                <w:szCs w:val="16"/>
                <w:color w:val="auto"/>
              </w:rPr>
              <w:t>”), including the right to receive additional interest as a result of a registration</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default as provided therein.</w:t>
            </w:r>
          </w:p>
        </w:tc>
        <w:tc>
          <w:tcPr>
            <w:tcW w:w="0" w:type="dxa"/>
            <w:vAlign w:val="bottom"/>
          </w:tcPr>
          <w:p>
            <w:pPr>
              <w:spacing w:after="0"/>
              <w:rPr>
                <w:sz w:val="1"/>
                <w:szCs w:val="1"/>
                <w:color w:val="auto"/>
              </w:rPr>
            </w:pPr>
          </w:p>
        </w:tc>
      </w:tr>
      <w:tr>
        <w:trPr>
          <w:trHeight w:val="337"/>
        </w:trPr>
        <w:tc>
          <w:tcPr>
            <w:tcW w:w="3420" w:type="dxa"/>
            <w:vAlign w:val="bottom"/>
          </w:tcPr>
          <w:p>
            <w:pPr>
              <w:spacing w:after="0"/>
              <w:rPr>
                <w:sz w:val="24"/>
                <w:szCs w:val="24"/>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Upon the close of a Registered Exchange Offer (as defined in the Registration Rights Agreement),</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8"/>
              </w:rPr>
              <w:t>the Company shall (i) accept for exchange all the Notes validly tendered and not withdrawn pursuant</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7"/>
              </w:rPr>
              <w:t>to the Registered Exchange Offer; (ii) deliver to the Trustee for cancellation all the Notes so accepted</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7"/>
              </w:rPr>
              <w:t>for exchange; and (iii) cause the Trustee to authenticate and deliver to each holder of Notes Exchange</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7"/>
              </w:rPr>
              <w:t>Securities (as defined in the Registration Rights Agreement) equal in principal amount to the Notes of</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such holder so accepted for exchange.</w:t>
            </w:r>
          </w:p>
        </w:tc>
        <w:tc>
          <w:tcPr>
            <w:tcW w:w="0" w:type="dxa"/>
            <w:vAlign w:val="bottom"/>
          </w:tcPr>
          <w:p>
            <w:pPr>
              <w:spacing w:after="0"/>
              <w:rPr>
                <w:sz w:val="1"/>
                <w:szCs w:val="1"/>
                <w:color w:val="auto"/>
              </w:rPr>
            </w:pPr>
          </w:p>
        </w:tc>
      </w:tr>
      <w:tr>
        <w:trPr>
          <w:trHeight w:val="337"/>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Additional Issuances:</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The Notes need not be issued at the same time and the series may be reopened for issuance of an</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8"/>
              </w:rPr>
              <w:t>unlimited principal amount of additional Notes under this series. Additional Notes of this series may</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be consolidated with, and form a single series with, the Notes then outstanding, including for</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w w:val="98"/>
              </w:rPr>
              <w:t>purposes of determining whether the required percentage of the holders of record has given approval</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or consent to an amendment or waiver or joined in directing the Trustee to take certain actions on</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behalf of all holders; provided that if such additional Notes are not fungible with the Notes then</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7180" w:type="dxa"/>
            <w:vAlign w:val="bottom"/>
            <w:gridSpan w:val="5"/>
          </w:tcPr>
          <w:p>
            <w:pPr>
              <w:ind w:left="820"/>
              <w:spacing w:after="0" w:line="180" w:lineRule="exact"/>
              <w:rPr>
                <w:sz w:val="20"/>
                <w:szCs w:val="20"/>
                <w:color w:val="auto"/>
              </w:rPr>
            </w:pPr>
            <w:r>
              <w:rPr>
                <w:rFonts w:ascii="Times New Roman" w:cs="Times New Roman" w:eastAsia="Times New Roman" w:hAnsi="Times New Roman"/>
                <w:sz w:val="16"/>
                <w:szCs w:val="16"/>
                <w:color w:val="auto"/>
              </w:rPr>
              <w:t>outstanding for U.S. federal income tax purposes, such additional Notes will have one or more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separate CUSIP numbers.</w:t>
            </w:r>
          </w:p>
        </w:tc>
        <w:tc>
          <w:tcPr>
            <w:tcW w:w="0" w:type="dxa"/>
            <w:vAlign w:val="bottom"/>
          </w:tcPr>
          <w:p>
            <w:pPr>
              <w:spacing w:after="0"/>
              <w:rPr>
                <w:sz w:val="1"/>
                <w:szCs w:val="1"/>
                <w:color w:val="auto"/>
              </w:rPr>
            </w:pPr>
          </w:p>
        </w:tc>
      </w:tr>
      <w:tr>
        <w:trPr>
          <w:trHeight w:val="360"/>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Conversion:</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360"/>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Sinking Fund:</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359"/>
        </w:trPr>
        <w:tc>
          <w:tcPr>
            <w:tcW w:w="3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Miscellaneous:</w:t>
            </w:r>
          </w:p>
        </w:tc>
        <w:tc>
          <w:tcPr>
            <w:tcW w:w="7180" w:type="dxa"/>
            <w:vAlign w:val="bottom"/>
            <w:gridSpan w:val="5"/>
          </w:tcPr>
          <w:p>
            <w:pPr>
              <w:ind w:left="820"/>
              <w:spacing w:after="0"/>
              <w:rPr>
                <w:sz w:val="20"/>
                <w:szCs w:val="20"/>
                <w:color w:val="auto"/>
              </w:rPr>
            </w:pPr>
            <w:r>
              <w:rPr>
                <w:rFonts w:ascii="Times New Roman" w:cs="Times New Roman" w:eastAsia="Times New Roman" w:hAnsi="Times New Roman"/>
                <w:sz w:val="16"/>
                <w:szCs w:val="16"/>
                <w:color w:val="auto"/>
              </w:rPr>
              <w:t>The terms of the Notes shall include such other terms as are set forth in the Form of Note due 2037</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180" w:type="dxa"/>
            <w:vAlign w:val="bottom"/>
            <w:gridSpan w:val="5"/>
          </w:tcPr>
          <w:p>
            <w:pPr>
              <w:ind w:left="820"/>
              <w:spacing w:after="0" w:line="171" w:lineRule="exact"/>
              <w:rPr>
                <w:sz w:val="20"/>
                <w:szCs w:val="20"/>
                <w:color w:val="auto"/>
              </w:rPr>
            </w:pPr>
            <w:r>
              <w:rPr>
                <w:rFonts w:ascii="Times New Roman" w:cs="Times New Roman" w:eastAsia="Times New Roman" w:hAnsi="Times New Roman"/>
                <w:sz w:val="16"/>
                <w:szCs w:val="16"/>
                <w:color w:val="auto"/>
              </w:rPr>
              <w:t xml:space="preserve">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08"/>
        </w:trPr>
        <w:tc>
          <w:tcPr>
            <w:tcW w:w="3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Borders>
              <w:top w:val="single" w:sz="8" w:color="auto"/>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such officer has made such examination or investigation as is necessary to enable such officer to express an informed opinion as to whether or not the covenants and conditions of such Indenture relating to the issuance, authentication and delivery of the Notes have been complied with. In such officer’s opinion, such covenants and conditions have been complied with.</w:t>
      </w:r>
    </w:p>
    <w:p>
      <w:pPr>
        <w:sectPr>
          <w:pgSz w:w="11900" w:h="16840" w:orient="portrait"/>
          <w:cols w:equalWidth="0" w:num="1">
            <w:col w:w="10600"/>
          </w:cols>
          <w:pgMar w:left="660" w:top="782" w:right="640" w:bottom="151"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officers of the Company have duly executed this certificate as of the date first set forth above.</w:t>
      </w:r>
    </w:p>
    <w:p>
      <w:pPr>
        <w:spacing w:after="0" w:line="356" w:lineRule="exact"/>
        <w:rPr>
          <w:sz w:val="20"/>
          <w:szCs w:val="20"/>
          <w:color w:val="auto"/>
        </w:rPr>
      </w:pPr>
    </w:p>
    <w:tbl>
      <w:tblPr>
        <w:tblLayout w:type="fixed"/>
        <w:tblInd w:w="528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P. McCue</w:t>
            </w:r>
          </w:p>
        </w:tc>
      </w:tr>
      <w:tr>
        <w:trPr>
          <w:trHeight w:val="159"/>
        </w:trPr>
        <w:tc>
          <w:tcPr>
            <w:tcW w:w="540" w:type="dxa"/>
            <w:vAlign w:val="bottom"/>
          </w:tcPr>
          <w:p>
            <w:pPr>
              <w:spacing w:after="0"/>
              <w:rPr>
                <w:sz w:val="13"/>
                <w:szCs w:val="13"/>
                <w:color w:val="auto"/>
              </w:rPr>
            </w:pP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James P. McCue</w:t>
            </w:r>
          </w:p>
        </w:tc>
      </w:tr>
      <w:tr>
        <w:trPr>
          <w:trHeight w:val="203"/>
        </w:trPr>
        <w:tc>
          <w:tcPr>
            <w:tcW w:w="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 and Assistant Treasurer</w:t>
            </w:r>
          </w:p>
        </w:tc>
      </w:tr>
      <w:tr>
        <w:trPr>
          <w:trHeight w:val="5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Elizabeth Wideman</w:t>
            </w:r>
          </w:p>
        </w:tc>
      </w:tr>
      <w:tr>
        <w:trPr>
          <w:trHeight w:val="159"/>
        </w:trPr>
        <w:tc>
          <w:tcPr>
            <w:tcW w:w="540" w:type="dxa"/>
            <w:vAlign w:val="bottom"/>
          </w:tcPr>
          <w:p>
            <w:pPr>
              <w:spacing w:after="0"/>
              <w:rPr>
                <w:sz w:val="13"/>
                <w:szCs w:val="13"/>
                <w:color w:val="auto"/>
              </w:rPr>
            </w:pP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Elizabeth Wideman</w:t>
            </w:r>
          </w:p>
        </w:tc>
      </w:tr>
      <w:tr>
        <w:trPr>
          <w:trHeight w:val="204"/>
        </w:trPr>
        <w:tc>
          <w:tcPr>
            <w:tcW w:w="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Title:  Senior Vice President, Senior Deputy General Counsel and</w:t>
            </w:r>
          </w:p>
        </w:tc>
      </w:tr>
      <w:tr>
        <w:trPr>
          <w:trHeight w:val="203"/>
        </w:trPr>
        <w:tc>
          <w:tcPr>
            <w:tcW w:w="540" w:type="dxa"/>
            <w:vAlign w:val="bottom"/>
          </w:tcPr>
          <w:p>
            <w:pPr>
              <w:spacing w:after="0"/>
              <w:rPr>
                <w:sz w:val="17"/>
                <w:szCs w:val="17"/>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Assistant Secretary</w:t>
            </w: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Officers’ Certificate Pursuant to the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319405</wp:posOffset>
            </wp:positionV>
            <wp:extent cx="67075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NOTE DUE 2037]</w:t>
      </w:r>
    </w:p>
    <w:p>
      <w:pPr>
        <w:spacing w:after="0" w:line="176"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THIS SECURITY (OR ITS PREDECESSOR) WAS ORIGINALLY ISSUED IN A TRANSACTION EXEMPT FROM REGISTRATION UNDER THE UNITED STATES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5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6"/>
          <w:szCs w:val="16"/>
          <w:color w:val="auto"/>
        </w:rPr>
        <w:t>THE HOLDER OF THIS SECURITY AGREES FOR THE BENEFIT OF COMCAST CORPORATION THAT (A) PRIOR TO THE DATE (THE “</w:t>
      </w:r>
      <w:r>
        <w:rPr>
          <w:rFonts w:ascii="Times New Roman" w:cs="Times New Roman" w:eastAsia="Times New Roman" w:hAnsi="Times New Roman"/>
          <w:sz w:val="16"/>
          <w:szCs w:val="16"/>
          <w:b w:val="1"/>
          <w:bCs w:val="1"/>
          <w:color w:val="auto"/>
        </w:rPr>
        <w:t>RESALE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RESTRICTION TERMINATION DATE</w:t>
      </w:r>
      <w:r>
        <w:rPr>
          <w:rFonts w:ascii="Times New Roman" w:cs="Times New Roman" w:eastAsia="Times New Roman" w:hAnsi="Times New Roman"/>
          <w:sz w:val="16"/>
          <w:szCs w:val="16"/>
          <w:color w:val="auto"/>
        </w:rPr>
        <w:t>”) WHICH IS ONE YEAR AFTER THE LATER OF THE ORIGINAL ISSUE DATE HEREOF AND THE LAST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284480</wp:posOffset>
            </wp:positionV>
            <wp:extent cx="67075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REGISTRATION 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 (3) 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59"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67075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ectPr>
          <w:pgSz w:w="11900" w:h="16840" w:orient="portrait"/>
          <w:cols w:equalWidth="0" w:num="1">
            <w:col w:w="10580"/>
          </w:cols>
          <w:pgMar w:left="660" w:top="735" w:right="660" w:bottom="292"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color w:val="auto"/>
        </w:rPr>
        <w:t>5.168% Note due 2037</w:t>
      </w:r>
    </w:p>
    <w:p>
      <w:pPr>
        <w:sectPr>
          <w:pgSz w:w="11900" w:h="16840" w:orient="portrait"/>
          <w:cols w:equalWidth="0" w:num="1">
            <w:col w:w="10600"/>
          </w:cols>
          <w:pgMar w:left="660" w:top="557" w:right="640" w:bottom="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[A][R]-[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CUSIP No.: [ ]</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ISIN No.: [ ]</w:t>
      </w:r>
    </w:p>
    <w:p>
      <w:pPr>
        <w:spacing w:after="0" w:line="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 ]</w:t>
      </w:r>
    </w:p>
    <w:p>
      <w:pPr>
        <w:spacing w:after="0" w:line="175" w:lineRule="exact"/>
        <w:rPr>
          <w:sz w:val="20"/>
          <w:szCs w:val="20"/>
          <w:color w:val="auto"/>
        </w:rPr>
      </w:pPr>
    </w:p>
    <w:p>
      <w:pPr>
        <w:sectPr>
          <w:pgSz w:w="11900" w:h="16840" w:orient="portrait"/>
          <w:cols w:equalWidth="0" w:num="2">
            <w:col w:w="8880" w:space="720"/>
            <w:col w:w="1000"/>
          </w:cols>
          <w:pgMar w:left="660" w:top="557" w:right="640" w:bottom="0" w:gutter="0" w:footer="0" w:header="0"/>
          <w:type w:val="continuous"/>
        </w:sectPr>
      </w:pPr>
    </w:p>
    <w:p>
      <w:pPr>
        <w:ind w:right="40" w:firstLine="576"/>
        <w:spacing w:after="0" w:line="262" w:lineRule="auto"/>
        <w:rPr>
          <w:sz w:val="20"/>
          <w:szCs w:val="20"/>
          <w:color w:val="auto"/>
        </w:rPr>
      </w:pPr>
      <w:r>
        <w:rPr>
          <w:rFonts w:ascii="Times New Roman" w:cs="Times New Roman" w:eastAsia="Times New Roman" w:hAnsi="Times New Roman"/>
          <w:sz w:val="16"/>
          <w:szCs w:val="16"/>
          <w:color w:val="auto"/>
        </w:rPr>
        <w:t>COMCAST CORPORATION, a Pennsylvania corporation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which term includes any successor corporation), for value received promises to pay to CEDE &amp; CO. or registered assigns, the principal sum of $[ ] ([ ] Dollars) on January 15, 2037.</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Payment Dates: January 15 and July 15 (each, an “</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commencing on January 15, 2026.</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Record Dates: January 1 and July 1 (each, an “</w:t>
      </w:r>
      <w:r>
        <w:rPr>
          <w:rFonts w:ascii="Times New Roman" w:cs="Times New Roman" w:eastAsia="Times New Roman" w:hAnsi="Times New Roman"/>
          <w:sz w:val="16"/>
          <w:szCs w:val="16"/>
          <w:b w:val="1"/>
          <w:bCs w:val="1"/>
          <w:color w:val="auto"/>
        </w:rPr>
        <w:t>Interest Record Date</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Reference is made to the further provisions of this Security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295275</wp:posOffset>
            </wp:positionV>
            <wp:extent cx="67075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Issuer has caused this Security to be signed manually or by facsimile by its duly authorized officer under its corporate seal.</w:t>
      </w:r>
    </w:p>
    <w:p>
      <w:pPr>
        <w:spacing w:after="0" w:line="17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3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5715</wp:posOffset>
            </wp:positionV>
            <wp:extent cx="30181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Name: James P. McCue</w:t>
      </w:r>
    </w:p>
    <w:p>
      <w:pPr>
        <w:spacing w:after="0" w:line="3" w:lineRule="exact"/>
        <w:rPr>
          <w:sz w:val="20"/>
          <w:szCs w:val="20"/>
          <w:color w:val="auto"/>
        </w:rPr>
      </w:pPr>
    </w:p>
    <w:p>
      <w:pPr>
        <w:ind w:left="5820"/>
        <w:spacing w:after="0"/>
        <w:tabs>
          <w:tab w:leader="none" w:pos="62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4"/>
          <w:szCs w:val="14"/>
          <w:color w:val="auto"/>
        </w:rPr>
        <w:t>Vice President and Assistant Treasurer</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 of Comcast Corporation]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Attest: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5715</wp:posOffset>
            </wp:positionV>
            <wp:extent cx="23399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9975" cy="762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6"/>
          <w:szCs w:val="16"/>
          <w:color w:val="auto"/>
        </w:rPr>
        <w:t>Name: Elizabeth Wideman</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Title:  Senior Vice President, Senior Deputy General</w:t>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67075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series designated herein and referred to in the within-mentioned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as Trustee</w:t>
      </w:r>
    </w:p>
    <w:p>
      <w:pPr>
        <w:spacing w:after="0" w:line="3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5715</wp:posOffset>
            </wp:positionV>
            <wp:extent cx="30181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288290</wp:posOffset>
            </wp:positionV>
            <wp:extent cx="67075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(REVERSE OF SECURITY)</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5.168% Note due 2037</w:t>
      </w:r>
    </w:p>
    <w:p>
      <w:pPr>
        <w:spacing w:after="0" w:line="176" w:lineRule="exact"/>
        <w:rPr>
          <w:sz w:val="20"/>
          <w:szCs w:val="20"/>
          <w:color w:val="auto"/>
        </w:rPr>
      </w:pPr>
    </w:p>
    <w:p>
      <w:pPr>
        <w:ind w:left="860" w:hanging="278"/>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w:t>
      </w:r>
    </w:p>
    <w:p>
      <w:pPr>
        <w:spacing w:after="0" w:line="174"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6"/>
          <w:szCs w:val="16"/>
          <w:color w:val="auto"/>
        </w:rPr>
        <w:t>COMCAST CORPORATION, a Pennsylvania corporation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October 2, 2025. The Issuer will pay interest semi-annually in arrears on each Interest Payment Date, commencing January 15, 2026. Interest will be computed on the basis of a 360-day year of twelve 30-day months.</w:t>
      </w:r>
    </w:p>
    <w:p>
      <w:pPr>
        <w:spacing w:after="0" w:line="154"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October 2, 2025 (the “</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among the Issuer, the Guarantors and the joint-lead dealer managers party thereto. The Holders of this Security are entitled to the benefits of the Registration Rights Agreement.</w:t>
      </w:r>
    </w:p>
    <w:p>
      <w:pPr>
        <w:spacing w:after="0" w:line="155" w:lineRule="exact"/>
        <w:rPr>
          <w:sz w:val="20"/>
          <w:szCs w:val="20"/>
          <w:color w:val="auto"/>
        </w:rPr>
      </w:pPr>
    </w:p>
    <w:p>
      <w:pPr>
        <w:ind w:left="860" w:hanging="27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Method of Payment.</w:t>
      </w:r>
    </w:p>
    <w:p>
      <w:pPr>
        <w:spacing w:after="0" w:line="176" w:lineRule="exact"/>
        <w:rPr>
          <w:sz w:val="20"/>
          <w:szCs w:val="20"/>
          <w:color w:val="auto"/>
        </w:rPr>
      </w:pPr>
    </w:p>
    <w:p>
      <w:pPr>
        <w:ind w:firstLine="576"/>
        <w:spacing w:after="0"/>
        <w:rPr>
          <w:sz w:val="20"/>
          <w:szCs w:val="20"/>
          <w:color w:val="auto"/>
        </w:rPr>
      </w:pPr>
      <w:r>
        <w:rPr>
          <w:rFonts w:ascii="Times New Roman" w:cs="Times New Roman" w:eastAsia="Times New Roman" w:hAnsi="Times New Roman"/>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xml:space="preserve"> ”)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6"/>
          <w:szCs w:val="16"/>
          <w:b w:val="1"/>
          <w:bCs w:val="1"/>
          <w:color w:val="auto"/>
        </w:rPr>
        <w:t>U.S. Legal</w:t>
      </w:r>
    </w:p>
    <w:p>
      <w:pPr>
        <w:spacing w:after="0" w:line="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b w:val="1"/>
          <w:bCs w:val="1"/>
          <w:color w:val="auto"/>
        </w:rPr>
        <w:t>Tender</w:t>
      </w:r>
      <w:r>
        <w:rPr>
          <w:rFonts w:ascii="Times New Roman" w:cs="Times New Roman" w:eastAsia="Times New Roman" w:hAnsi="Times New Roman"/>
          <w:sz w:val="14"/>
          <w:szCs w:val="14"/>
          <w:color w:val="auto"/>
        </w:rPr>
        <w:t>”). However, the payments of interest, and any portion of the principal (other than interest payable at maturity or on any redemption or repayment date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w:t>
      </w:r>
    </w:p>
    <w:p>
      <w:pPr>
        <w:sectPr>
          <w:pgSz w:w="11900" w:h="16840" w:orient="portrait"/>
          <w:cols w:equalWidth="0" w:num="1">
            <w:col w:w="10600"/>
          </w:cols>
          <w:pgMar w:left="660" w:top="557" w:right="640" w:bottom="0" w:gutter="0" w:footer="0" w:header="0"/>
          <w:type w:val="continuous"/>
        </w:sectPr>
      </w:pPr>
    </w:p>
    <w:bookmarkStart w:id="5" w:name="page6"/>
    <w:bookmarkEnd w:id="5"/>
    <w:p>
      <w:pPr>
        <w:ind w:right="60"/>
        <w:spacing w:after="0" w:line="259" w:lineRule="auto"/>
        <w:rPr>
          <w:sz w:val="20"/>
          <w:szCs w:val="20"/>
          <w:color w:val="auto"/>
        </w:rPr>
      </w:pPr>
      <w:r>
        <w:rPr>
          <w:rFonts w:ascii="Times New Roman" w:cs="Times New Roman" w:eastAsia="Times New Roman" w:hAnsi="Times New Roman"/>
          <w:sz w:val="16"/>
          <w:szCs w:val="16"/>
          <w:color w:val="auto"/>
        </w:rPr>
        <w:t>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67075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0" w:hanging="27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Agent.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Initially, the Trustee will act as Paying Agent. The Issuer may change any Paying Agent without notice to the Holders.</w:t>
      </w:r>
    </w:p>
    <w:p>
      <w:pPr>
        <w:spacing w:after="0" w:line="176" w:lineRule="exact"/>
        <w:rPr>
          <w:sz w:val="20"/>
          <w:szCs w:val="20"/>
          <w:color w:val="auto"/>
        </w:rPr>
      </w:pPr>
    </w:p>
    <w:p>
      <w:pPr>
        <w:ind w:left="860" w:hanging="278"/>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Indenture.</w:t>
      </w:r>
    </w:p>
    <w:p>
      <w:pPr>
        <w:spacing w:after="0" w:line="176" w:lineRule="exact"/>
        <w:rPr>
          <w:sz w:val="20"/>
          <w:szCs w:val="20"/>
          <w:color w:val="auto"/>
        </w:rPr>
      </w:pPr>
    </w:p>
    <w:p>
      <w:pPr>
        <w:ind w:right="120" w:firstLine="576"/>
        <w:spacing w:after="0" w:line="272" w:lineRule="auto"/>
        <w:rPr>
          <w:sz w:val="20"/>
          <w:szCs w:val="20"/>
          <w:color w:val="auto"/>
        </w:rPr>
      </w:pPr>
      <w:r>
        <w:rPr>
          <w:rFonts w:ascii="Times New Roman" w:cs="Times New Roman" w:eastAsia="Times New Roman" w:hAnsi="Times New Roman"/>
          <w:sz w:val="14"/>
          <w:szCs w:val="14"/>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xml:space="preserve">”). Capitalized terms herein are used as defined in the Indenture unless otherwise defined herein. The terms of the Securities include those stated in the Indenture and those made part of the Indenture by reference to the Trust Indenture Act of 1939 (15 U.S.C. Sections 77aaa-77bbbb) (the “ </w:t>
      </w:r>
      <w:r>
        <w:rPr>
          <w:rFonts w:ascii="Times New Roman" w:cs="Times New Roman" w:eastAsia="Times New Roman" w:hAnsi="Times New Roman"/>
          <w:sz w:val="14"/>
          <w:szCs w:val="14"/>
          <w:b w:val="1"/>
          <w:bCs w:val="1"/>
          <w:color w:val="auto"/>
        </w:rPr>
        <w:t>TIA</w:t>
      </w:r>
      <w:r>
        <w:rPr>
          <w:rFonts w:ascii="Times New Roman" w:cs="Times New Roman" w:eastAsia="Times New Roman" w:hAnsi="Times New Roman"/>
          <w:sz w:val="14"/>
          <w:szCs w:val="14"/>
          <w:color w:val="auto"/>
        </w:rPr>
        <w:t>”), as in effect on the date of the Indenture until such time as the Indenture is qualified under the TIA, and thereafter as in effect on the date on which the Indenture is qualified under the</w:t>
      </w:r>
    </w:p>
    <w:p>
      <w:pPr>
        <w:spacing w:after="0" w:line="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6"/>
          <w:szCs w:val="16"/>
          <w:color w:val="auto"/>
        </w:rPr>
        <w:t>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6"/>
          <w:szCs w:val="16"/>
          <w:b w:val="1"/>
          <w:bCs w:val="1"/>
          <w:color w:val="auto"/>
        </w:rPr>
        <w:t>Security</w:t>
      </w:r>
      <w:r>
        <w:rPr>
          <w:rFonts w:ascii="Times New Roman" w:cs="Times New Roman" w:eastAsia="Times New Roman" w:hAnsi="Times New Roman"/>
          <w:sz w:val="16"/>
          <w:szCs w:val="16"/>
          <w:color w:val="auto"/>
        </w:rPr>
        <w:t>” and the notes are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under the Indenture.</w:t>
      </w:r>
    </w:p>
    <w:p>
      <w:pPr>
        <w:spacing w:after="0" w:line="157" w:lineRule="exact"/>
        <w:rPr>
          <w:sz w:val="20"/>
          <w:szCs w:val="20"/>
          <w:color w:val="auto"/>
        </w:rPr>
      </w:pPr>
    </w:p>
    <w:p>
      <w:pPr>
        <w:ind w:left="860" w:hanging="27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w:t>
      </w:r>
    </w:p>
    <w:p>
      <w:pPr>
        <w:spacing w:after="0" w:line="176" w:lineRule="exact"/>
        <w:rPr>
          <w:sz w:val="20"/>
          <w:szCs w:val="20"/>
          <w:color w:val="auto"/>
        </w:rPr>
      </w:pPr>
    </w:p>
    <w:p>
      <w:pPr>
        <w:jc w:val="both"/>
        <w:ind w:right="120" w:firstLine="576"/>
        <w:spacing w:after="0" w:line="247" w:lineRule="auto"/>
        <w:rPr>
          <w:sz w:val="20"/>
          <w:szCs w:val="20"/>
          <w:color w:val="auto"/>
        </w:rPr>
      </w:pPr>
      <w:r>
        <w:rPr>
          <w:rFonts w:ascii="Times New Roman" w:cs="Times New Roman" w:eastAsia="Times New Roman" w:hAnsi="Times New Roman"/>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2" w:lineRule="exact"/>
        <w:rPr>
          <w:sz w:val="20"/>
          <w:szCs w:val="20"/>
          <w:color w:val="auto"/>
        </w:rPr>
      </w:pPr>
    </w:p>
    <w:p>
      <w:pPr>
        <w:ind w:left="860" w:hanging="27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Denominations; Transfer; Exchange.</w:t>
      </w:r>
    </w:p>
    <w:p>
      <w:pPr>
        <w:spacing w:after="0" w:line="176"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7" w:lineRule="exact"/>
        <w:rPr>
          <w:sz w:val="20"/>
          <w:szCs w:val="20"/>
          <w:color w:val="auto"/>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Deemed Owners.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registered Holder of a Security shall be treated as the owner of it for all purposes.</w:t>
      </w: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ind w:left="860" w:hanging="27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Unclaimed Funds.</w:t>
      </w:r>
    </w:p>
    <w:p>
      <w:pPr>
        <w:spacing w:after="0" w:line="176"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3" w:lineRule="exact"/>
        <w:rPr>
          <w:sz w:val="20"/>
          <w:szCs w:val="20"/>
          <w:color w:val="auto"/>
        </w:rPr>
      </w:pPr>
    </w:p>
    <w:p>
      <w:pPr>
        <w:ind w:left="860" w:hanging="278"/>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Defeasance and Covenant Defeasance.</w:t>
      </w:r>
    </w:p>
    <w:p>
      <w:pPr>
        <w:spacing w:after="0" w:line="176" w:lineRule="exact"/>
        <w:rPr>
          <w:sz w:val="20"/>
          <w:szCs w:val="20"/>
          <w:color w:val="auto"/>
        </w:rPr>
      </w:pPr>
    </w:p>
    <w:p>
      <w:pPr>
        <w:ind w:right="240" w:firstLine="576"/>
        <w:spacing w:after="0" w:line="247" w:lineRule="auto"/>
        <w:rPr>
          <w:sz w:val="20"/>
          <w:szCs w:val="20"/>
          <w:color w:val="auto"/>
        </w:rPr>
      </w:pPr>
      <w:r>
        <w:rPr>
          <w:rFonts w:ascii="Times New Roman" w:cs="Times New Roman" w:eastAsia="Times New Roman" w:hAnsi="Times New Roman"/>
          <w:sz w:val="16"/>
          <w:szCs w:val="16"/>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52"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10.</w:t>
      </w:r>
      <w:r>
        <w:rPr>
          <w:sz w:val="20"/>
          <w:szCs w:val="20"/>
          <w:color w:val="auto"/>
        </w:rPr>
        <w:tab/>
      </w:r>
      <w:r>
        <w:rPr>
          <w:rFonts w:ascii="Times New Roman" w:cs="Times New Roman" w:eastAsia="Times New Roman" w:hAnsi="Times New Roman"/>
          <w:sz w:val="14"/>
          <w:szCs w:val="14"/>
          <w:color w:val="auto"/>
        </w:rPr>
        <w:t>Amendment; Supplement; Waiver.</w:t>
      </w:r>
    </w:p>
    <w:p>
      <w:pPr>
        <w:spacing w:after="0" w:line="176" w:lineRule="exact"/>
        <w:rPr>
          <w:sz w:val="20"/>
          <w:szCs w:val="20"/>
          <w:color w:val="auto"/>
        </w:rPr>
      </w:pPr>
    </w:p>
    <w:p>
      <w:pPr>
        <w:ind w:right="80" w:firstLine="576"/>
        <w:spacing w:after="0" w:line="280" w:lineRule="auto"/>
        <w:rPr>
          <w:sz w:val="20"/>
          <w:szCs w:val="20"/>
          <w:color w:val="auto"/>
        </w:rPr>
      </w:pPr>
      <w:r>
        <w:rPr>
          <w:rFonts w:ascii="Times New Roman" w:cs="Times New Roman" w:eastAsia="Times New Roman" w:hAnsi="Times New Roman"/>
          <w:sz w:val="14"/>
          <w:szCs w:val="14"/>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33"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4"/>
          <w:szCs w:val="14"/>
          <w:color w:val="auto"/>
        </w:rPr>
        <w:t>Restrictive Covenants.</w:t>
      </w:r>
    </w:p>
    <w:p>
      <w:pPr>
        <w:spacing w:after="0" w:line="176" w:lineRule="exact"/>
        <w:rPr>
          <w:sz w:val="20"/>
          <w:szCs w:val="20"/>
          <w:color w:val="auto"/>
        </w:rPr>
      </w:pPr>
    </w:p>
    <w:p>
      <w:pPr>
        <w:ind w:right="220" w:firstLine="576"/>
        <w:spacing w:after="0" w:line="247" w:lineRule="auto"/>
        <w:rPr>
          <w:sz w:val="20"/>
          <w:szCs w:val="20"/>
          <w:color w:val="auto"/>
        </w:rPr>
      </w:pPr>
      <w:r>
        <w:rPr>
          <w:rFonts w:ascii="Times New Roman" w:cs="Times New Roman" w:eastAsia="Times New Roman" w:hAnsi="Times New Roman"/>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2"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4"/>
          <w:szCs w:val="14"/>
          <w:color w:val="auto"/>
        </w:rPr>
        <w:t>Redemption.</w:t>
      </w:r>
    </w:p>
    <w:p>
      <w:pPr>
        <w:spacing w:after="0" w:line="174" w:lineRule="exact"/>
        <w:rPr>
          <w:sz w:val="20"/>
          <w:szCs w:val="20"/>
          <w:color w:val="auto"/>
        </w:rPr>
      </w:pPr>
    </w:p>
    <w:p>
      <w:pPr>
        <w:jc w:val="both"/>
        <w:ind w:right="120" w:firstLine="576"/>
        <w:spacing w:after="0" w:line="248" w:lineRule="auto"/>
        <w:rPr>
          <w:sz w:val="20"/>
          <w:szCs w:val="20"/>
          <w:color w:val="auto"/>
        </w:rPr>
      </w:pPr>
      <w:r>
        <w:rPr>
          <w:rFonts w:ascii="Times New Roman" w:cs="Times New Roman" w:eastAsia="Times New Roman" w:hAnsi="Times New Roman"/>
          <w:sz w:val="16"/>
          <w:szCs w:val="16"/>
          <w:color w:val="auto"/>
        </w:rPr>
        <w:t>Prior to October 15, 2036 (three months prior to the maturity date of the Securities) (the “</w:t>
      </w:r>
      <w:r>
        <w:rPr>
          <w:rFonts w:ascii="Times New Roman" w:cs="Times New Roman" w:eastAsia="Times New Roman" w:hAnsi="Times New Roman"/>
          <w:sz w:val="16"/>
          <w:szCs w:val="16"/>
          <w:b w:val="1"/>
          <w:bCs w:val="1"/>
          <w:color w:val="auto"/>
        </w:rPr>
        <w:t>Par Call Date</w:t>
      </w:r>
      <w:r>
        <w:rPr>
          <w:rFonts w:ascii="Times New Roman" w:cs="Times New Roman" w:eastAsia="Times New Roman" w:hAnsi="Times New Roman"/>
          <w:sz w:val="16"/>
          <w:szCs w:val="16"/>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52" w:lineRule="exact"/>
        <w:rPr>
          <w:sz w:val="20"/>
          <w:szCs w:val="20"/>
          <w:color w:val="auto"/>
        </w:rPr>
      </w:pPr>
    </w:p>
    <w:p>
      <w:pPr>
        <w:ind w:left="5240" w:right="40" w:hanging="4658"/>
        <w:spacing w:after="0" w:line="619" w:lineRule="auto"/>
        <w:tabs>
          <w:tab w:leader="none" w:pos="79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sum of the present values of the remaining scheduled payments of principal and interest thereon discounted to the redemption date (assuming, for this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67075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5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purpose, that the Securities matured on the Par Call Date) on a semi-annual basis (assuming a 360-day year consisting of twelve 30-day months) at the Treasury Rate plus 15 basis points, less (b) interest accrued to the date of redemption, and</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(2) 100% of the principal amount of the Securities to be redeemed,</w:t>
      </w:r>
    </w:p>
    <w:p>
      <w:pPr>
        <w:sectPr>
          <w:pgSz w:w="11900" w:h="16840" w:orient="portrait"/>
          <w:cols w:equalWidth="0" w:num="1">
            <w:col w:w="10620"/>
          </w:cols>
          <w:pgMar w:left="660" w:top="557" w:right="620" w:bottom="23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6"/>
          <w:szCs w:val="16"/>
          <w:color w:val="auto"/>
        </w:rPr>
        <w:t>plus, in either case, accrued and unpaid interest thereon to the redemption date.</w:t>
      </w:r>
    </w:p>
    <w:p>
      <w:pPr>
        <w:spacing w:after="0" w:line="176"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“Treasury Rate” means, with respect to any redemption date, the yield determined by the Issuer in accordance with the following two paragraphs.</w:t>
      </w:r>
    </w:p>
    <w:p>
      <w:pPr>
        <w:spacing w:after="0" w:line="176"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6"/>
          <w:szCs w:val="16"/>
          <w:b w:val="1"/>
          <w:bCs w:val="1"/>
          <w:color w:val="auto"/>
        </w:rPr>
        <w:t>H.15</w:t>
      </w:r>
      <w:r>
        <w:rPr>
          <w:rFonts w:ascii="Times New Roman" w:cs="Times New Roman" w:eastAsia="Times New Roman" w:hAnsi="Times New Roman"/>
          <w:sz w:val="16"/>
          <w:szCs w:val="16"/>
          <w:color w:val="auto"/>
        </w:rPr>
        <w:t>”) under the caption “U.S. government securities-Treasury constant maturities-Nominal” (or any successor caption or heading) (“</w:t>
      </w:r>
      <w:r>
        <w:rPr>
          <w:rFonts w:ascii="Times New Roman" w:cs="Times New Roman" w:eastAsia="Times New Roman" w:hAnsi="Times New Roman"/>
          <w:sz w:val="16"/>
          <w:szCs w:val="16"/>
          <w:b w:val="1"/>
          <w:bCs w:val="1"/>
          <w:color w:val="auto"/>
        </w:rPr>
        <w:t>H.15 TCM</w:t>
      </w:r>
      <w:r>
        <w:rPr>
          <w:rFonts w:ascii="Times New Roman" w:cs="Times New Roman" w:eastAsia="Times New Roman" w:hAnsi="Times New Roman"/>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6"/>
          <w:szCs w:val="16"/>
          <w:b w:val="1"/>
          <w:bCs w:val="1"/>
          <w:color w:val="auto"/>
        </w:rPr>
        <w:t>Remaining Life</w:t>
      </w:r>
      <w:r>
        <w:rPr>
          <w:rFonts w:ascii="Times New Roman" w:cs="Times New Roman" w:eastAsia="Times New Roman" w:hAnsi="Times New Roman"/>
          <w:sz w:val="16"/>
          <w:szCs w:val="16"/>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 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0"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w:t>
      </w: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jc w:val="both"/>
        <w:ind w:right="180"/>
        <w:spacing w:after="0" w:line="241" w:lineRule="auto"/>
        <w:rPr>
          <w:sz w:val="20"/>
          <w:szCs w:val="20"/>
          <w:color w:val="auto"/>
        </w:rPr>
      </w:pPr>
      <w:r>
        <w:rPr>
          <w:rFonts w:ascii="Times New Roman" w:cs="Times New Roman" w:eastAsia="Times New Roman" w:hAnsi="Times New Roman"/>
          <w:sz w:val="16"/>
          <w:szCs w:val="16"/>
          <w:color w:val="auto"/>
        </w:rPr>
        <w:t>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 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57"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The Issuer’s actions and determinations in determining the redemption price shall be conclusive and binding for all purposes, absent manifest error. The Trustee shall not be responsible for determining or calculating the redemption price or any component thereof.</w:t>
      </w:r>
    </w:p>
    <w:p>
      <w:pPr>
        <w:spacing w:after="0" w:line="143" w:lineRule="exact"/>
        <w:rPr>
          <w:sz w:val="20"/>
          <w:szCs w:val="20"/>
          <w:color w:val="auto"/>
        </w:rPr>
      </w:pPr>
    </w:p>
    <w:p>
      <w:pPr>
        <w:ind w:right="160" w:firstLine="576"/>
        <w:spacing w:after="0" w:line="259" w:lineRule="auto"/>
        <w:rPr>
          <w:sz w:val="20"/>
          <w:szCs w:val="20"/>
          <w:color w:val="auto"/>
        </w:rPr>
      </w:pPr>
      <w:r>
        <w:rPr>
          <w:rFonts w:ascii="Times New Roman" w:cs="Times New Roman" w:eastAsia="Times New Roman" w:hAnsi="Times New Roman"/>
          <w:sz w:val="16"/>
          <w:szCs w:val="16"/>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43"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57"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Unless the Issuer defaults in payment of the redemption price, on and after the redemption date, interest will cease to accrue on the Securities or portions thereof called for redemption.</w:t>
      </w:r>
    </w:p>
    <w:p>
      <w:pPr>
        <w:spacing w:after="0" w:line="143"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4"/>
          <w:szCs w:val="14"/>
          <w:color w:val="auto"/>
        </w:rPr>
        <w:t>Defaults and Remedies.</w:t>
      </w:r>
    </w:p>
    <w:p>
      <w:pPr>
        <w:spacing w:after="0" w:line="176" w:lineRule="exact"/>
        <w:rPr>
          <w:sz w:val="20"/>
          <w:szCs w:val="20"/>
          <w:color w:val="auto"/>
        </w:rPr>
      </w:pPr>
    </w:p>
    <w:p>
      <w:pPr>
        <w:ind w:right="20" w:firstLine="576"/>
        <w:spacing w:after="0" w:line="238" w:lineRule="auto"/>
        <w:rPr>
          <w:sz w:val="20"/>
          <w:szCs w:val="20"/>
          <w:color w:val="auto"/>
        </w:rPr>
      </w:pPr>
      <w:r>
        <w:rPr>
          <w:rFonts w:ascii="Times New Roman" w:cs="Times New Roman" w:eastAsia="Times New Roman" w:hAnsi="Times New Roman"/>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w:t>
      </w: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notice of certain continuing Defaults or Events of Default if it determines that withholding notice is in their interest.</w:t>
      </w:r>
    </w:p>
    <w:p>
      <w:pPr>
        <w:spacing w:after="0" w:line="176"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4"/>
          <w:szCs w:val="14"/>
          <w:color w:val="auto"/>
        </w:rPr>
        <w:t>Trustee Dealings with Issuer.</w:t>
      </w:r>
    </w:p>
    <w:p>
      <w:pPr>
        <w:spacing w:after="0" w:line="176"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The Trustee under the Indenture, in its individual or any other capacity, may become the owner or pledgee of Securities and may otherwise deal with the Issuer as if it were not the Trustee.</w:t>
      </w:r>
    </w:p>
    <w:p>
      <w:pPr>
        <w:spacing w:after="0" w:line="143"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4"/>
          <w:szCs w:val="14"/>
          <w:color w:val="auto"/>
        </w:rPr>
        <w:t>No Recourse Against Others.</w:t>
      </w:r>
    </w:p>
    <w:p>
      <w:pPr>
        <w:spacing w:after="0" w:line="176" w:lineRule="exact"/>
        <w:rPr>
          <w:sz w:val="20"/>
          <w:szCs w:val="20"/>
          <w:color w:val="auto"/>
        </w:rPr>
      </w:pPr>
    </w:p>
    <w:p>
      <w:pPr>
        <w:ind w:right="60" w:firstLine="576"/>
        <w:spacing w:after="0" w:line="299" w:lineRule="auto"/>
        <w:rPr>
          <w:sz w:val="20"/>
          <w:szCs w:val="20"/>
          <w:color w:val="auto"/>
        </w:rPr>
      </w:pPr>
      <w:r>
        <w:rPr>
          <w:rFonts w:ascii="Times New Roman" w:cs="Times New Roman" w:eastAsia="Times New Roman" w:hAnsi="Times New Roman"/>
          <w:sz w:val="14"/>
          <w:szCs w:val="14"/>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19"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4"/>
          <w:szCs w:val="14"/>
          <w:color w:val="auto"/>
        </w:rPr>
        <w:t>Authentication.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Security shall not be valid until the Trustee electronically or manually signs the certificate of authentication on this Security.</w:t>
      </w:r>
    </w:p>
    <w:p>
      <w:pPr>
        <w:spacing w:after="0" w:line="176"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4"/>
          <w:szCs w:val="14"/>
          <w:color w:val="auto"/>
        </w:rPr>
        <w:t>Abbreviations and Defined Terms.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Customary abbreviations may be used in the name of a Holder of a Security or an assignee, such as: TEN COM (= tenants in common), TEN ENT (= tenants</w:t>
      </w:r>
    </w:p>
    <w:p>
      <w:pPr>
        <w:sectPr>
          <w:pgSz w:w="11900" w:h="16840" w:orient="portrait"/>
          <w:cols w:equalWidth="0" w:num="1">
            <w:col w:w="10600"/>
          </w:cols>
          <w:pgMar w:left="660" w:top="557" w:right="640" w:bottom="193" w:gutter="0" w:footer="0" w:header="0"/>
        </w:sectPr>
      </w:pPr>
    </w:p>
    <w:bookmarkStart w:id="7" w:name="page8"/>
    <w:bookmarkEnd w:id="7"/>
    <w:p>
      <w:pPr>
        <w:ind w:right="320"/>
        <w:spacing w:after="0" w:line="259" w:lineRule="auto"/>
        <w:rPr>
          <w:sz w:val="20"/>
          <w:szCs w:val="20"/>
          <w:color w:val="auto"/>
        </w:rPr>
      </w:pPr>
      <w:r>
        <w:rPr>
          <w:rFonts w:ascii="Times New Roman" w:cs="Times New Roman" w:eastAsia="Times New Roman" w:hAnsi="Times New Roman"/>
          <w:sz w:val="16"/>
          <w:szCs w:val="16"/>
          <w:color w:val="auto"/>
        </w:rPr>
        <w:t>by the entireties), JT TEN (= joint tenants with right of survivorship and not as tenants in common), CUST (= Custodian), and U/G/M/A (= Uniform Gifts to Minors Act).</w:t>
      </w:r>
    </w:p>
    <w:p>
      <w:pPr>
        <w:spacing w:after="0" w:line="143"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18.</w:t>
      </w:r>
      <w:r>
        <w:rPr>
          <w:sz w:val="20"/>
          <w:szCs w:val="20"/>
          <w:color w:val="auto"/>
        </w:rPr>
        <w:tab/>
      </w:r>
      <w:r>
        <w:rPr>
          <w:rFonts w:ascii="Times New Roman" w:cs="Times New Roman" w:eastAsia="Times New Roman" w:hAnsi="Times New Roman"/>
          <w:sz w:val="14"/>
          <w:szCs w:val="14"/>
          <w:color w:val="auto"/>
        </w:rPr>
        <w:t>CUSIP Numbers.</w:t>
      </w:r>
    </w:p>
    <w:p>
      <w:pPr>
        <w:spacing w:after="0" w:line="176"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52"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4"/>
          <w:szCs w:val="14"/>
          <w:color w:val="auto"/>
        </w:rPr>
        <w:t>Governing Law.</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laws of the State of New York shall govern the Indenture and this Security thereof.</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ASSIGNMENT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or we assign and transfer this Security to</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(Print or type name, address and zip code of assignee or transferee)</w:t>
      </w: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(Insert Social Security or other identifying number of assignee or transferee)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irrevocably appoint_________________________________________ agent to transfer this Security on the books of the Issuer. The agent may substitute another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 for him.</w:t>
      </w:r>
    </w:p>
    <w:p>
      <w:pPr>
        <w:sectPr>
          <w:pgSz w:w="11900" w:h="16840" w:orient="portrait"/>
          <w:cols w:equalWidth="0" w:num="1">
            <w:col w:w="10600"/>
          </w:cols>
          <w:pgMar w:left="660" w:top="557" w:right="640" w:bottom="93" w:gutter="0" w:footer="0" w:header="0"/>
        </w:sect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_____________________________________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 _____________________________________</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(Signed exactly as name appears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the other side of this Security)</w:t>
      </w:r>
    </w:p>
    <w:p>
      <w:pPr>
        <w:spacing w:after="0" w:line="200" w:lineRule="exact"/>
        <w:rPr>
          <w:sz w:val="20"/>
          <w:szCs w:val="20"/>
          <w:color w:val="auto"/>
        </w:rPr>
      </w:pPr>
    </w:p>
    <w:p>
      <w:pPr>
        <w:sectPr>
          <w:pgSz w:w="11900" w:h="16840" w:orient="portrait"/>
          <w:cols w:equalWidth="0" w:num="2">
            <w:col w:w="3340" w:space="360"/>
            <w:col w:w="6900"/>
          </w:cols>
          <w:pgMar w:left="660" w:top="557" w:right="640" w:bottom="93"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Signature Guarantee:</w:t>
            </w:r>
          </w:p>
        </w:tc>
        <w:tc>
          <w:tcPr>
            <w:tcW w:w="87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_________________________________________</w:t>
            </w:r>
          </w:p>
        </w:tc>
      </w:tr>
      <w:tr>
        <w:trPr>
          <w:trHeight w:val="192"/>
        </w:trPr>
        <w:tc>
          <w:tcPr>
            <w:tcW w:w="1780" w:type="dxa"/>
            <w:vAlign w:val="bottom"/>
          </w:tcPr>
          <w:p>
            <w:pPr>
              <w:spacing w:after="0"/>
              <w:rPr>
                <w:sz w:val="16"/>
                <w:szCs w:val="16"/>
                <w:color w:val="auto"/>
              </w:rPr>
            </w:pPr>
          </w:p>
        </w:tc>
        <w:tc>
          <w:tcPr>
            <w:tcW w:w="87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Participant in a recognized Signature Guarantee</w:t>
            </w:r>
          </w:p>
        </w:tc>
      </w:tr>
      <w:tr>
        <w:trPr>
          <w:trHeight w:val="192"/>
        </w:trPr>
        <w:tc>
          <w:tcPr>
            <w:tcW w:w="1780" w:type="dxa"/>
            <w:vAlign w:val="bottom"/>
          </w:tcPr>
          <w:p>
            <w:pPr>
              <w:spacing w:after="0"/>
              <w:rPr>
                <w:sz w:val="16"/>
                <w:szCs w:val="16"/>
                <w:color w:val="auto"/>
              </w:rPr>
            </w:pPr>
          </w:p>
        </w:tc>
        <w:tc>
          <w:tcPr>
            <w:tcW w:w="87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Medallion Program (or other signature guarantor</w:t>
            </w:r>
          </w:p>
        </w:tc>
      </w:tr>
      <w:tr>
        <w:trPr>
          <w:trHeight w:val="203"/>
        </w:trPr>
        <w:tc>
          <w:tcPr>
            <w:tcW w:w="1780" w:type="dxa"/>
            <w:vAlign w:val="bottom"/>
          </w:tcPr>
          <w:p>
            <w:pPr>
              <w:spacing w:after="0"/>
              <w:rPr>
                <w:sz w:val="17"/>
                <w:szCs w:val="17"/>
                <w:color w:val="auto"/>
              </w:rPr>
            </w:pPr>
          </w:p>
        </w:tc>
        <w:tc>
          <w:tcPr>
            <w:tcW w:w="87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program reasonably acceptable to the Trustee)</w:t>
            </w:r>
          </w:p>
        </w:tc>
      </w:tr>
      <w:tr>
        <w:trPr>
          <w:trHeight w:val="458"/>
        </w:trPr>
        <w:tc>
          <w:tcPr>
            <w:tcW w:w="178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6"/>
                <w:szCs w:val="16"/>
                <w:color w:val="auto"/>
              </w:rPr>
              <w:t>7</w:t>
            </w:r>
          </w:p>
        </w:tc>
      </w:tr>
      <w:tr>
        <w:trPr>
          <w:trHeight w:val="554"/>
        </w:trPr>
        <w:tc>
          <w:tcPr>
            <w:tcW w:w="1780" w:type="dxa"/>
            <w:vAlign w:val="bottom"/>
          </w:tcPr>
          <w:p>
            <w:pPr>
              <w:spacing w:after="0"/>
              <w:rPr>
                <w:sz w:val="24"/>
                <w:szCs w:val="24"/>
                <w:color w:val="auto"/>
              </w:rPr>
            </w:pPr>
          </w:p>
        </w:tc>
        <w:tc>
          <w:tcPr>
            <w:tcW w:w="87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FORM OF CERTIFICATE OF TRANSFER</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Comcast Center</w:t>
      </w:r>
    </w:p>
    <w:p>
      <w:pPr>
        <w:spacing w:after="0"/>
        <w:rPr>
          <w:sz w:val="20"/>
          <w:szCs w:val="20"/>
          <w:color w:val="auto"/>
        </w:rPr>
      </w:pPr>
      <w:r>
        <w:rPr>
          <w:rFonts w:ascii="Times New Roman" w:cs="Times New Roman" w:eastAsia="Times New Roman" w:hAnsi="Times New Roman"/>
          <w:sz w:val="16"/>
          <w:szCs w:val="16"/>
          <w:color w:val="auto"/>
        </w:rPr>
        <w:t>Philadelphia, Pennsylvania 19103-2838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Bank of New York Mellon, as Trustee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The Bank of New York Mellon Trust Company, N.A.</w:t>
      </w:r>
    </w:p>
    <w:p>
      <w:pPr>
        <w:spacing w:after="0" w:line="182" w:lineRule="auto"/>
        <w:rPr>
          <w:sz w:val="20"/>
          <w:szCs w:val="20"/>
          <w:color w:val="auto"/>
        </w:rPr>
      </w:pPr>
      <w:r>
        <w:rPr>
          <w:rFonts w:ascii="Times New Roman" w:cs="Times New Roman" w:eastAsia="Times New Roman" w:hAnsi="Times New Roman"/>
          <w:sz w:val="15"/>
          <w:szCs w:val="15"/>
          <w:color w:val="auto"/>
        </w:rPr>
        <w:t>500 Ross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Pittsburgh, Pennsylvania 15262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5.168% Notes due 2037</w:t>
      </w:r>
    </w:p>
    <w:p>
      <w:pPr>
        <w:spacing w:after="0" w:line="176" w:lineRule="exact"/>
        <w:rPr>
          <w:sz w:val="20"/>
          <w:szCs w:val="20"/>
          <w:color w:val="auto"/>
        </w:rPr>
      </w:pPr>
    </w:p>
    <w:p>
      <w:pPr>
        <w:ind w:right="20" w:firstLine="1152"/>
        <w:spacing w:after="0" w:line="243" w:lineRule="auto"/>
        <w:rPr>
          <w:sz w:val="20"/>
          <w:szCs w:val="20"/>
          <w:color w:val="auto"/>
        </w:rPr>
      </w:pPr>
      <w:r>
        <w:rPr>
          <w:rFonts w:ascii="Times New Roman" w:cs="Times New Roman" w:eastAsia="Times New Roman" w:hAnsi="Times New Roman"/>
          <w:sz w:val="16"/>
          <w:szCs w:val="16"/>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and as further supplemented by the Second Supplemental Indenture dated as of July 29, 2022, each by and among Comcast Corporation, the guarantors named therein and The Bank of New York Mellon, as trustee (as amended,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Capitalized terms used but not defined herein shall have the meanings given to them in the Indenture.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_______________ (the “</w:t>
      </w:r>
      <w:r>
        <w:rPr>
          <w:rFonts w:ascii="Times New Roman" w:cs="Times New Roman" w:eastAsia="Times New Roman" w:hAnsi="Times New Roman"/>
          <w:sz w:val="16"/>
          <w:szCs w:val="16"/>
          <w:u w:val="single" w:color="auto"/>
          <w:color w:val="auto"/>
        </w:rPr>
        <w:t>Transferor</w:t>
      </w:r>
      <w:r>
        <w:rPr>
          <w:rFonts w:ascii="Times New Roman" w:cs="Times New Roman" w:eastAsia="Times New Roman" w:hAnsi="Times New Roman"/>
          <w:sz w:val="16"/>
          <w:szCs w:val="16"/>
          <w:color w:val="auto"/>
        </w:rPr>
        <w:t>”) owns and proposes to transfer the Note[s] or interest in such Note[s] specified in Annex A hereto,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of $___________ in such Note[s] or interests (the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to _______________ (the “</w:t>
      </w:r>
      <w:r>
        <w:rPr>
          <w:rFonts w:ascii="Times New Roman" w:cs="Times New Roman" w:eastAsia="Times New Roman" w:hAnsi="Times New Roman"/>
          <w:sz w:val="16"/>
          <w:szCs w:val="16"/>
          <w:u w:val="single" w:color="auto"/>
          <w:color w:val="auto"/>
        </w:rPr>
        <w:t>Transferee</w:t>
      </w:r>
      <w:r>
        <w:rPr>
          <w:rFonts w:ascii="Times New Roman" w:cs="Times New Roman" w:eastAsia="Times New Roman" w:hAnsi="Times New Roman"/>
          <w:sz w:val="16"/>
          <w:szCs w:val="16"/>
          <w:color w:val="auto"/>
        </w:rPr>
        <w:t>”), as further specified in Annex A hereto. In</w:t>
      </w:r>
    </w:p>
    <w:p>
      <w:pPr>
        <w:spacing w:after="0"/>
        <w:rPr>
          <w:sz w:val="20"/>
          <w:szCs w:val="20"/>
          <w:color w:val="auto"/>
        </w:rPr>
      </w:pPr>
      <w:r>
        <w:rPr>
          <w:rFonts w:ascii="Times New Roman" w:cs="Times New Roman" w:eastAsia="Times New Roman" w:hAnsi="Times New Roman"/>
          <w:sz w:val="16"/>
          <w:szCs w:val="16"/>
          <w:color w:val="auto"/>
        </w:rPr>
        <w:t>connection with the Transfer, the Transferor hereby certifies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ALL THAT APPLY]</w:t>
      </w:r>
    </w:p>
    <w:p>
      <w:pPr>
        <w:spacing w:after="0" w:line="176" w:lineRule="exact"/>
        <w:rPr>
          <w:sz w:val="20"/>
          <w:szCs w:val="20"/>
          <w:color w:val="auto"/>
        </w:rPr>
      </w:pPr>
    </w:p>
    <w:p>
      <w:pPr>
        <w:ind w:right="120" w:firstLine="1158"/>
        <w:spacing w:after="0" w:line="280" w:lineRule="auto"/>
        <w:tabs>
          <w:tab w:leader="none" w:pos="138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33" w:lineRule="exact"/>
        <w:rPr>
          <w:rFonts w:ascii="Times New Roman" w:cs="Times New Roman" w:eastAsia="Times New Roman" w:hAnsi="Times New Roman"/>
          <w:sz w:val="14"/>
          <w:szCs w:val="14"/>
          <w:color w:val="auto"/>
        </w:rPr>
      </w:pPr>
    </w:p>
    <w:p>
      <w:pPr>
        <w:ind w:firstLine="1158"/>
        <w:spacing w:after="0" w:line="278" w:lineRule="auto"/>
        <w:tabs>
          <w:tab w:leader="none" w:pos="138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w:t>
      </w:r>
    </w:p>
    <w:p>
      <w:pPr>
        <w:sectPr>
          <w:pgSz w:w="11900" w:h="16840" w:orient="portrait"/>
          <w:cols w:equalWidth="0" w:num="1">
            <w:col w:w="10600"/>
          </w:cols>
          <w:pgMar w:left="660" w:top="557" w:right="640" w:bottom="93" w:gutter="0" w:footer="0" w:header="0"/>
          <w:type w:val="continuous"/>
        </w:sectPr>
      </w:pPr>
    </w:p>
    <w:bookmarkStart w:id="8" w:name="page9"/>
    <w:bookmarkEnd w:id="8"/>
    <w:p>
      <w:pPr>
        <w:jc w:val="both"/>
        <w:spacing w:after="0" w:line="243" w:lineRule="auto"/>
        <w:rPr>
          <w:sz w:val="20"/>
          <w:szCs w:val="20"/>
          <w:color w:val="auto"/>
        </w:rPr>
      </w:pPr>
      <w:r>
        <w:rPr>
          <w:rFonts w:ascii="Times New Roman" w:cs="Times New Roman" w:eastAsia="Times New Roman" w:hAnsi="Times New Roman"/>
          <w:sz w:val="16"/>
          <w:szCs w:val="16"/>
          <w:color w:val="auto"/>
        </w:rPr>
        <w:t>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67075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This certificate and the statements contained herein are made for your benefit and the benefit of the Issuer.</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[Insert Name of Transferor]</w:t>
      </w: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5715</wp:posOffset>
            </wp:positionV>
            <wp:extent cx="30181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Dated: _________________________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Guarantee*: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10058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5840"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240" w:right="2700" w:hanging="5234"/>
        <w:spacing w:after="0" w:line="619" w:lineRule="auto"/>
        <w:tabs>
          <w:tab w:leader="none" w:pos="11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in a recognized Signature Guarantee Medallion Program (or other signature guarantor acceptable to the Trustee).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67075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 TO CERTIFICATE OF TRANSFER</w:t>
      </w:r>
    </w:p>
    <w:p>
      <w:pPr>
        <w:spacing w:after="0" w:line="356" w:lineRule="exact"/>
        <w:rPr>
          <w:sz w:val="20"/>
          <w:szCs w:val="20"/>
          <w:color w:val="auto"/>
        </w:rPr>
      </w:pPr>
    </w:p>
    <w:p>
      <w:pPr>
        <w:ind w:left="4800" w:right="4800" w:hanging="3642"/>
        <w:spacing w:after="0" w:line="536" w:lineRule="auto"/>
        <w:tabs>
          <w:tab w:leader="none" w:pos="155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Transferor owns and proposes to transfer the following: [CHECK ONE]</w:t>
      </w:r>
    </w:p>
    <w:p>
      <w:pPr>
        <w:spacing w:after="0" w:line="1" w:lineRule="exact"/>
        <w:rPr>
          <w:sz w:val="20"/>
          <w:szCs w:val="20"/>
          <w:color w:val="auto"/>
        </w:rPr>
      </w:pPr>
    </w:p>
    <w:p>
      <w:pPr>
        <w:ind w:left="1740" w:hanging="582"/>
        <w:spacing w:after="0"/>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a beneficial interest in the:</w:t>
      </w:r>
    </w:p>
    <w:p>
      <w:pPr>
        <w:spacing w:after="0" w:line="176" w:lineRule="exact"/>
        <w:rPr>
          <w:rFonts w:ascii="Times New Roman" w:cs="Times New Roman" w:eastAsia="Times New Roman" w:hAnsi="Times New Roman"/>
          <w:sz w:val="16"/>
          <w:szCs w:val="16"/>
          <w:color w:val="auto"/>
        </w:rPr>
      </w:pPr>
    </w:p>
    <w:p>
      <w:pPr>
        <w:ind w:left="2320" w:hanging="585"/>
        <w:spacing w:after="0"/>
        <w:tabs>
          <w:tab w:leader="none" w:pos="23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144A Global Note (CUSIP [  ]), or</w:t>
      </w:r>
    </w:p>
    <w:p>
      <w:pPr>
        <w:spacing w:after="0" w:line="176" w:lineRule="exact"/>
        <w:rPr>
          <w:rFonts w:ascii="Times New Roman" w:cs="Times New Roman" w:eastAsia="Times New Roman" w:hAnsi="Times New Roman"/>
          <w:sz w:val="16"/>
          <w:szCs w:val="16"/>
          <w:color w:val="auto"/>
        </w:rPr>
      </w:pPr>
    </w:p>
    <w:p>
      <w:pPr>
        <w:ind w:left="2320" w:hanging="585"/>
        <w:spacing w:after="0"/>
        <w:tabs>
          <w:tab w:leader="none" w:pos="23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Regulation S Global Note (CUSIP [  ]), or</w:t>
      </w:r>
    </w:p>
    <w:p>
      <w:pPr>
        <w:spacing w:after="0" w:line="356" w:lineRule="exact"/>
        <w:rPr>
          <w:sz w:val="20"/>
          <w:szCs w:val="20"/>
          <w:color w:val="auto"/>
        </w:rPr>
      </w:pPr>
    </w:p>
    <w:p>
      <w:pPr>
        <w:ind w:left="1540" w:hanging="382"/>
        <w:spacing w:after="0"/>
        <w:tabs>
          <w:tab w:leader="none" w:pos="1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Transfer the Transferee will hold: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ONE]</w:t>
      </w:r>
    </w:p>
    <w:p>
      <w:pPr>
        <w:spacing w:after="0" w:line="176" w:lineRule="exact"/>
        <w:rPr>
          <w:sz w:val="20"/>
          <w:szCs w:val="20"/>
          <w:color w:val="auto"/>
        </w:rPr>
      </w:pPr>
    </w:p>
    <w:p>
      <w:pPr>
        <w:ind w:left="1740" w:hanging="582"/>
        <w:spacing w:after="0"/>
        <w:tabs>
          <w:tab w:leader="none" w:pos="17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a beneficial interest in the:</w:t>
      </w:r>
    </w:p>
    <w:p>
      <w:pPr>
        <w:spacing w:after="0" w:line="176" w:lineRule="exact"/>
        <w:rPr>
          <w:rFonts w:ascii="Times New Roman" w:cs="Times New Roman" w:eastAsia="Times New Roman" w:hAnsi="Times New Roman"/>
          <w:sz w:val="16"/>
          <w:szCs w:val="16"/>
          <w:color w:val="auto"/>
        </w:rPr>
      </w:pPr>
    </w:p>
    <w:p>
      <w:pPr>
        <w:ind w:left="2320" w:hanging="585"/>
        <w:spacing w:after="0"/>
        <w:tabs>
          <w:tab w:leader="none" w:pos="23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144A Global Note (CUSIP [  ]), or</w:t>
      </w:r>
    </w:p>
    <w:p>
      <w:pPr>
        <w:spacing w:after="0" w:line="176" w:lineRule="exact"/>
        <w:rPr>
          <w:rFonts w:ascii="Times New Roman" w:cs="Times New Roman" w:eastAsia="Times New Roman" w:hAnsi="Times New Roman"/>
          <w:sz w:val="16"/>
          <w:szCs w:val="16"/>
          <w:color w:val="auto"/>
        </w:rPr>
      </w:pPr>
    </w:p>
    <w:p>
      <w:pPr>
        <w:ind w:left="2320" w:hanging="585"/>
        <w:spacing w:after="0"/>
        <w:tabs>
          <w:tab w:leader="none" w:pos="23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Regulation S Global Note (CUSIP [  ])</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SCHEDULE OF EXCHANGES OF NOTES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following exchanges of a part of this Global Security for certificated Notes or a part of another Global Security have been made:</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22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7"/>
              </w:rPr>
              <w:t>Amount of decrease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Amount of increase</w:t>
            </w:r>
          </w:p>
        </w:tc>
        <w:tc>
          <w:tcPr>
            <w:tcW w:w="224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8"/>
              </w:rPr>
              <w:t>Principal Amount of</w:t>
            </w:r>
          </w:p>
        </w:tc>
        <w:tc>
          <w:tcPr>
            <w:tcW w:w="130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w w:val="96"/>
              </w:rPr>
              <w:t>Signature of</w:t>
            </w:r>
          </w:p>
        </w:tc>
      </w:tr>
      <w:tr>
        <w:trPr>
          <w:trHeight w:val="180"/>
        </w:trPr>
        <w:tc>
          <w:tcPr>
            <w:tcW w:w="1200" w:type="dxa"/>
            <w:vAlign w:val="bottom"/>
          </w:tcPr>
          <w:p>
            <w:pPr>
              <w:spacing w:after="0"/>
              <w:rPr>
                <w:sz w:val="15"/>
                <w:szCs w:val="15"/>
                <w:color w:val="auto"/>
              </w:rPr>
            </w:pPr>
          </w:p>
        </w:tc>
        <w:tc>
          <w:tcPr>
            <w:tcW w:w="228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6"/>
              </w:rPr>
              <w:t>in Principal</w:t>
            </w:r>
          </w:p>
        </w:tc>
        <w:tc>
          <w:tcPr>
            <w:tcW w:w="2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in Principal</w:t>
            </w:r>
          </w:p>
        </w:tc>
        <w:tc>
          <w:tcPr>
            <w:tcW w:w="22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this Global Security</w:t>
            </w:r>
          </w:p>
        </w:tc>
        <w:tc>
          <w:tcPr>
            <w:tcW w:w="130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color w:val="auto"/>
                <w:w w:val="97"/>
              </w:rPr>
              <w:t>authorized</w:t>
            </w:r>
          </w:p>
        </w:tc>
      </w:tr>
      <w:tr>
        <w:trPr>
          <w:trHeight w:val="180"/>
        </w:trPr>
        <w:tc>
          <w:tcPr>
            <w:tcW w:w="1200" w:type="dxa"/>
            <w:vAlign w:val="bottom"/>
          </w:tcPr>
          <w:p>
            <w:pPr>
              <w:jc w:val="center"/>
              <w:ind w:right="542"/>
              <w:spacing w:after="0" w:line="180" w:lineRule="exact"/>
              <w:rPr>
                <w:sz w:val="20"/>
                <w:szCs w:val="20"/>
                <w:color w:val="auto"/>
              </w:rPr>
            </w:pPr>
            <w:r>
              <w:rPr>
                <w:rFonts w:ascii="Times New Roman" w:cs="Times New Roman" w:eastAsia="Times New Roman" w:hAnsi="Times New Roman"/>
                <w:sz w:val="16"/>
                <w:szCs w:val="16"/>
                <w:color w:val="auto"/>
                <w:w w:val="96"/>
              </w:rPr>
              <w:t>Date of</w:t>
            </w:r>
          </w:p>
        </w:tc>
        <w:tc>
          <w:tcPr>
            <w:tcW w:w="228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96"/>
              </w:rPr>
              <w:t>Amount of this</w:t>
            </w:r>
          </w:p>
        </w:tc>
        <w:tc>
          <w:tcPr>
            <w:tcW w:w="2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Amount of this</w:t>
            </w:r>
          </w:p>
        </w:tc>
        <w:tc>
          <w:tcPr>
            <w:tcW w:w="22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8"/>
              </w:rPr>
              <w:t>following such</w:t>
            </w:r>
          </w:p>
        </w:tc>
        <w:tc>
          <w:tcPr>
            <w:tcW w:w="1300" w:type="dxa"/>
            <w:vAlign w:val="bottom"/>
          </w:tcPr>
          <w:p>
            <w:pPr>
              <w:jc w:val="center"/>
              <w:ind w:left="462"/>
              <w:spacing w:after="0" w:line="180" w:lineRule="exact"/>
              <w:rPr>
                <w:sz w:val="20"/>
                <w:szCs w:val="20"/>
                <w:color w:val="auto"/>
              </w:rPr>
            </w:pPr>
            <w:r>
              <w:rPr>
                <w:rFonts w:ascii="Times New Roman" w:cs="Times New Roman" w:eastAsia="Times New Roman" w:hAnsi="Times New Roman"/>
                <w:sz w:val="16"/>
                <w:szCs w:val="16"/>
                <w:color w:val="auto"/>
                <w:w w:val="98"/>
              </w:rPr>
              <w:t>signatory of</w:t>
            </w:r>
          </w:p>
        </w:tc>
      </w:tr>
      <w:tr>
        <w:trPr>
          <w:trHeight w:val="203"/>
        </w:trPr>
        <w:tc>
          <w:tcPr>
            <w:tcW w:w="1200" w:type="dxa"/>
            <w:vAlign w:val="bottom"/>
          </w:tcPr>
          <w:p>
            <w:pPr>
              <w:jc w:val="center"/>
              <w:ind w:right="522"/>
              <w:spacing w:after="0"/>
              <w:rPr>
                <w:sz w:val="20"/>
                <w:szCs w:val="20"/>
                <w:color w:val="auto"/>
              </w:rPr>
            </w:pPr>
            <w:r>
              <w:rPr>
                <w:rFonts w:ascii="Times New Roman" w:cs="Times New Roman" w:eastAsia="Times New Roman" w:hAnsi="Times New Roman"/>
                <w:sz w:val="16"/>
                <w:szCs w:val="16"/>
                <w:color w:val="auto"/>
                <w:w w:val="95"/>
              </w:rPr>
              <w:t>Exchange</w:t>
            </w:r>
          </w:p>
        </w:tc>
        <w:tc>
          <w:tcPr>
            <w:tcW w:w="22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Global Security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Global Security</w:t>
            </w:r>
          </w:p>
        </w:tc>
        <w:tc>
          <w:tcPr>
            <w:tcW w:w="224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7"/>
              </w:rPr>
              <w:t>decrease or increase</w:t>
            </w:r>
          </w:p>
        </w:tc>
        <w:tc>
          <w:tcPr>
            <w:tcW w:w="130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5"/>
              </w:rPr>
              <w:t>Trustee</w:t>
            </w:r>
          </w:p>
        </w:tc>
      </w:tr>
    </w:tbl>
    <w:p>
      <w:pPr>
        <w:spacing w:after="0" w:line="200" w:lineRule="exact"/>
        <w:rPr>
          <w:sz w:val="20"/>
          <w:szCs w:val="20"/>
          <w:color w:val="auto"/>
        </w:rPr>
      </w:pPr>
    </w:p>
    <w:p>
      <w:pPr>
        <w:sectPr>
          <w:pgSz w:w="11900" w:h="16840" w:orient="portrait"/>
          <w:cols w:equalWidth="0" w:num="1">
            <w:col w:w="10580"/>
          </w:cols>
          <w:pgMar w:left="660" w:top="557"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9" w:name="page10"/>
    <w:bookmarkEnd w:id="9"/>
    <w:p>
      <w:pPr>
        <w:ind w:left="9660"/>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$691,967,000 5.168% Notes due 2037</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October 2,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Parties Listed on Schedule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4" w:lineRule="exact"/>
        <w:rPr>
          <w:sz w:val="20"/>
          <w:szCs w:val="20"/>
          <w:color w:val="auto"/>
        </w:rPr>
      </w:pPr>
    </w:p>
    <w:p>
      <w:pPr>
        <w:ind w:right="100" w:firstLine="288"/>
        <w:spacing w:after="0" w:line="273" w:lineRule="auto"/>
        <w:rPr>
          <w:sz w:val="20"/>
          <w:szCs w:val="20"/>
          <w:color w:val="auto"/>
        </w:rPr>
      </w:pPr>
      <w:r>
        <w:rPr>
          <w:rFonts w:ascii="Times New Roman" w:cs="Times New Roman" w:eastAsia="Times New Roman" w:hAnsi="Times New Roman"/>
          <w:sz w:val="14"/>
          <w:szCs w:val="14"/>
          <w:color w:val="auto"/>
        </w:rPr>
        <w:t>Comcast Corporation, a Pennsylvania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has made offers to exchange the five series of notes described in the table set forth on Schedule II hereto issued by the Company (the “</w:t>
      </w:r>
      <w:r>
        <w:rPr>
          <w:rFonts w:ascii="Times New Roman" w:cs="Times New Roman" w:eastAsia="Times New Roman" w:hAnsi="Times New Roman"/>
          <w:sz w:val="14"/>
          <w:szCs w:val="14"/>
          <w:b w:val="1"/>
          <w:bCs w:val="1"/>
          <w:color w:val="auto"/>
        </w:rPr>
        <w:t>Pool 1 Notes</w:t>
      </w:r>
      <w:r>
        <w:rPr>
          <w:rFonts w:ascii="Times New Roman" w:cs="Times New Roman" w:eastAsia="Times New Roman" w:hAnsi="Times New Roman"/>
          <w:sz w:val="14"/>
          <w:szCs w:val="14"/>
          <w:color w:val="auto"/>
        </w:rPr>
        <w:t>”), for a new series of the Company’s senior notes due January 15, 2037 (the “</w:t>
      </w:r>
      <w:r>
        <w:rPr>
          <w:rFonts w:ascii="Times New Roman" w:cs="Times New Roman" w:eastAsia="Times New Roman" w:hAnsi="Times New Roman"/>
          <w:sz w:val="14"/>
          <w:szCs w:val="14"/>
          <w:b w:val="1"/>
          <w:bCs w:val="1"/>
          <w:color w:val="auto"/>
        </w:rPr>
        <w:t>Initial Securities</w:t>
      </w:r>
      <w:r>
        <w:rPr>
          <w:rFonts w:ascii="Times New Roman" w:cs="Times New Roman" w:eastAsia="Times New Roman" w:hAnsi="Times New Roman"/>
          <w:sz w:val="14"/>
          <w:szCs w:val="14"/>
          <w:color w:val="auto"/>
        </w:rPr>
        <w:t>”) and cash, each guaranteed on an unsecured, unsubordinated basis by NBCUniversal, LLC, a Delaware limited liability company (“</w:t>
      </w:r>
      <w:r>
        <w:rPr>
          <w:rFonts w:ascii="Times New Roman" w:cs="Times New Roman" w:eastAsia="Times New Roman" w:hAnsi="Times New Roman"/>
          <w:sz w:val="14"/>
          <w:szCs w:val="14"/>
          <w:b w:val="1"/>
          <w:bCs w:val="1"/>
          <w:color w:val="auto"/>
        </w:rPr>
        <w:t>NBCUniversal</w:t>
      </w:r>
      <w:r>
        <w:rPr>
          <w:rFonts w:ascii="Times New Roman" w:cs="Times New Roman" w:eastAsia="Times New Roman" w:hAnsi="Times New Roman"/>
          <w:sz w:val="14"/>
          <w:szCs w:val="14"/>
          <w:color w:val="auto"/>
        </w:rPr>
        <w:t>”), and Comcast Cable Communications, LLC, a Delaware limited liability company (“</w:t>
      </w:r>
      <w:r>
        <w:rPr>
          <w:rFonts w:ascii="Times New Roman" w:cs="Times New Roman" w:eastAsia="Times New Roman" w:hAnsi="Times New Roman"/>
          <w:sz w:val="14"/>
          <w:szCs w:val="14"/>
          <w:b w:val="1"/>
          <w:bCs w:val="1"/>
          <w:color w:val="auto"/>
        </w:rPr>
        <w:t>Comcast Cable</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 xml:space="preserve">”), as set forth in the Offering Memorandum, dated September 22, 2025 (the “ </w:t>
      </w:r>
      <w:r>
        <w:rPr>
          <w:rFonts w:ascii="Times New Roman" w:cs="Times New Roman" w:eastAsia="Times New Roman" w:hAnsi="Times New Roman"/>
          <w:sz w:val="14"/>
          <w:szCs w:val="14"/>
          <w:b w:val="1"/>
          <w:bCs w:val="1"/>
          <w:color w:val="auto"/>
        </w:rPr>
        <w:t>Offering Memorandum</w:t>
      </w:r>
      <w:r>
        <w:rPr>
          <w:rFonts w:ascii="Times New Roman" w:cs="Times New Roman" w:eastAsia="Times New Roman" w:hAnsi="Times New Roman"/>
          <w:sz w:val="14"/>
          <w:szCs w:val="14"/>
          <w:color w:val="auto"/>
        </w:rPr>
        <w:t>”), related thereto. The Initial Securities will be issued upon the terms set forth in the Offering Memorandum, for which the parties listed on Schedule I (the “</w:t>
      </w:r>
      <w:r>
        <w:rPr>
          <w:rFonts w:ascii="Times New Roman" w:cs="Times New Roman" w:eastAsia="Times New Roman" w:hAnsi="Times New Roman"/>
          <w:sz w:val="14"/>
          <w:szCs w:val="14"/>
          <w:b w:val="1"/>
          <w:bCs w:val="1"/>
          <w:color w:val="auto"/>
        </w:rPr>
        <w:t>Joint Lead Dealer Managers</w:t>
      </w:r>
      <w:r>
        <w:rPr>
          <w:rFonts w:ascii="Times New Roman" w:cs="Times New Roman" w:eastAsia="Times New Roman" w:hAnsi="Times New Roman"/>
          <w:sz w:val="14"/>
          <w:szCs w:val="14"/>
          <w:color w:val="auto"/>
        </w:rPr>
        <w:t>”), and the entities that executed the Joinder Agreement (as defined below) (the “</w:t>
      </w:r>
      <w:r>
        <w:rPr>
          <w:rFonts w:ascii="Times New Roman" w:cs="Times New Roman" w:eastAsia="Times New Roman" w:hAnsi="Times New Roman"/>
          <w:sz w:val="14"/>
          <w:szCs w:val="14"/>
          <w:b w:val="1"/>
          <w:bCs w:val="1"/>
          <w:color w:val="auto"/>
        </w:rPr>
        <w:t>Co -Dealer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Managers</w:t>
      </w:r>
      <w:r>
        <w:rPr>
          <w:rFonts w:ascii="Times New Roman" w:cs="Times New Roman" w:eastAsia="Times New Roman" w:hAnsi="Times New Roman"/>
          <w:sz w:val="14"/>
          <w:szCs w:val="14"/>
          <w:color w:val="auto"/>
        </w:rPr>
        <w:t>” and, together with the Joint Lead Dealer Managers, the “</w:t>
      </w:r>
      <w:r>
        <w:rPr>
          <w:rFonts w:ascii="Times New Roman" w:cs="Times New Roman" w:eastAsia="Times New Roman" w:hAnsi="Times New Roman"/>
          <w:sz w:val="14"/>
          <w:szCs w:val="14"/>
          <w:b w:val="1"/>
          <w:bCs w:val="1"/>
          <w:color w:val="auto"/>
        </w:rPr>
        <w:t>Dealer Managers</w:t>
      </w:r>
      <w:r>
        <w:rPr>
          <w:rFonts w:ascii="Times New Roman" w:cs="Times New Roman" w:eastAsia="Times New Roman" w:hAnsi="Times New Roman"/>
          <w:sz w:val="14"/>
          <w:szCs w:val="14"/>
          <w:color w:val="auto"/>
        </w:rPr>
        <w:t>”), hereto have severally agreed to act as dealer managers, pursuant to a dealer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manager agreement, dated as of September 22, 2025 (as supplemented by that certain joinder agreement, dated September 24, 2025 (the “</w:t>
      </w:r>
      <w:r>
        <w:rPr>
          <w:rFonts w:ascii="Times New Roman" w:cs="Times New Roman" w:eastAsia="Times New Roman" w:hAnsi="Times New Roman"/>
          <w:sz w:val="14"/>
          <w:szCs w:val="14"/>
          <w:b w:val="1"/>
          <w:bCs w:val="1"/>
          <w:color w:val="auto"/>
        </w:rPr>
        <w:t>Joinder Agreement</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Manager Agreement</w:t>
      </w:r>
      <w:r>
        <w:rPr>
          <w:rFonts w:ascii="Times New Roman" w:cs="Times New Roman" w:eastAsia="Times New Roman" w:hAnsi="Times New Roman"/>
          <w:sz w:val="14"/>
          <w:szCs w:val="14"/>
          <w:color w:val="auto"/>
        </w:rPr>
        <w:t>”), among the Company, the Guarantors and the several Dealer Managers. The Initial Securities will be issued pursuant to an indenture dated as of September 18, 2013, entered into among the Company, the guarantors named therein and The Bank of New York Mellon,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amended by the first supplemental indenture dated as of November 17, 2015, entered into among the Company, the guarantors named therein, and the Trustee, and as further amended by the second supplemental indenture dated as of July 29, 2022, entered into among the Company, the guarantors named therein and the Trustee (as amended,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As an inducement to the Dealer Managers, the Company and the Guarantors agree with the Dealer Managers, for the benefit of the holders of the Initial Securities and the Exchange Securities (as defined below) (collectively the “</w:t>
      </w:r>
      <w:r>
        <w:rPr>
          <w:rFonts w:ascii="Times New Roman" w:cs="Times New Roman" w:eastAsia="Times New Roman" w:hAnsi="Times New Roman"/>
          <w:sz w:val="14"/>
          <w:szCs w:val="14"/>
          <w:b w:val="1"/>
          <w:bCs w:val="1"/>
          <w:color w:val="auto"/>
        </w:rPr>
        <w:t>Holders</w:t>
      </w:r>
      <w:r>
        <w:rPr>
          <w:rFonts w:ascii="Times New Roman" w:cs="Times New Roman" w:eastAsia="Times New Roman" w:hAnsi="Times New Roman"/>
          <w:sz w:val="14"/>
          <w:szCs w:val="14"/>
          <w:color w:val="auto"/>
        </w:rPr>
        <w:t>”), as follows:</w:t>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1.  Registered Exchange Offer</w:t>
      </w:r>
    </w:p>
    <w:p>
      <w:pPr>
        <w:spacing w:after="0" w:line="180" w:lineRule="exact"/>
        <w:rPr>
          <w:sz w:val="20"/>
          <w:szCs w:val="20"/>
          <w:color w:val="auto"/>
        </w:rPr>
      </w:pPr>
    </w:p>
    <w:p>
      <w:pPr>
        <w:ind w:right="40" w:firstLine="288"/>
        <w:spacing w:after="0" w:line="237" w:lineRule="auto"/>
        <w:rPr>
          <w:sz w:val="20"/>
          <w:szCs w:val="20"/>
          <w:color w:val="auto"/>
        </w:rPr>
      </w:pPr>
      <w:r>
        <w:rPr>
          <w:rFonts w:ascii="Times New Roman" w:cs="Times New Roman" w:eastAsia="Times New Roman" w:hAnsi="Times New Roman"/>
          <w:sz w:val="16"/>
          <w:szCs w:val="16"/>
          <w:color w:val="auto"/>
        </w:rPr>
        <w:t>The Company and the Guarantors shall use their commercially reasonable efforts to, at their own cost, prepare and file with the Securities and Exchange Commission (the “</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a registration statement (the “</w:t>
      </w:r>
      <w:r>
        <w:rPr>
          <w:rFonts w:ascii="Times New Roman" w:cs="Times New Roman" w:eastAsia="Times New Roman" w:hAnsi="Times New Roman"/>
          <w:sz w:val="16"/>
          <w:szCs w:val="16"/>
          <w:b w:val="1"/>
          <w:bCs w:val="1"/>
          <w:color w:val="auto"/>
        </w:rPr>
        <w:t>Exchange Offer Registration Statement</w:t>
      </w:r>
      <w:r>
        <w:rPr>
          <w:rFonts w:ascii="Times New Roman" w:cs="Times New Roman" w:eastAsia="Times New Roman" w:hAnsi="Times New Roman"/>
          <w:sz w:val="16"/>
          <w:szCs w:val="16"/>
          <w:color w:val="auto"/>
        </w:rPr>
        <w:t>”) on an appropriate form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with respect to a proposed offer (the “</w:t>
      </w:r>
      <w:r>
        <w:rPr>
          <w:rFonts w:ascii="Times New Roman" w:cs="Times New Roman" w:eastAsia="Times New Roman" w:hAnsi="Times New Roman"/>
          <w:sz w:val="16"/>
          <w:szCs w:val="16"/>
          <w:b w:val="1"/>
          <w:bCs w:val="1"/>
          <w:color w:val="auto"/>
        </w:rPr>
        <w:t>Registered Exchange Offer</w:t>
      </w:r>
      <w:r>
        <w:rPr>
          <w:rFonts w:ascii="Times New Roman" w:cs="Times New Roman" w:eastAsia="Times New Roman" w:hAnsi="Times New Roman"/>
          <w:sz w:val="16"/>
          <w:szCs w:val="16"/>
          <w:color w:val="auto"/>
        </w:rPr>
        <w:t>”) to the Holders of Transfer Restricted Securities (as defined in Section 6 hereof), who are not prohibited by any law or policy of the Commission from participating in the Registered Exchange Offer, to issue and deliver to such Holders, in exchange for the Initial Securities, a like aggregate principal amount of debt securities (the “</w:t>
      </w:r>
      <w:r>
        <w:rPr>
          <w:rFonts w:ascii="Times New Roman" w:cs="Times New Roman" w:eastAsia="Times New Roman" w:hAnsi="Times New Roman"/>
          <w:sz w:val="16"/>
          <w:szCs w:val="16"/>
          <w:b w:val="1"/>
          <w:bCs w:val="1"/>
          <w:color w:val="auto"/>
        </w:rPr>
        <w:t>Exchange Securities</w:t>
      </w:r>
      <w:r>
        <w:rPr>
          <w:rFonts w:ascii="Times New Roman" w:cs="Times New Roman" w:eastAsia="Times New Roman" w:hAnsi="Times New Roman"/>
          <w:sz w:val="16"/>
          <w:szCs w:val="16"/>
          <w:color w:val="auto"/>
        </w:rPr>
        <w:t>,” and together with the Initial Securities,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of the Company issued under the Indenture and identical in all material respects to the Initial Securities (except for the transfer restrictions relating to the Initial Securities and the provisions relating to the matters described in Section 6 hereof) that would be registered under the Securities Act. The Company and the Guarantors shall use their commercially reasonable efforts to cause such Exchange Offer Registration Statement to become effective under the Securities Act within 330 days (or if the 330th day is not a business day, the first business day thereafter) after the date of original issue of the Initial Securities (the “</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and shall keep the Exchange Offer Registration Statement effective for not less than 30 business days (or longer, if required by applicable law) after commencement of the Registered Exchange Offer (such period being called the “</w:t>
      </w:r>
      <w:r>
        <w:rPr>
          <w:rFonts w:ascii="Times New Roman" w:cs="Times New Roman" w:eastAsia="Times New Roman" w:hAnsi="Times New Roman"/>
          <w:sz w:val="16"/>
          <w:szCs w:val="16"/>
          <w:b w:val="1"/>
          <w:bCs w:val="1"/>
          <w:color w:val="auto"/>
        </w:rPr>
        <w:t>Exchange Offer Registration Period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right="160" w:firstLine="288"/>
        <w:spacing w:after="0" w:line="259" w:lineRule="auto"/>
        <w:rPr>
          <w:sz w:val="20"/>
          <w:szCs w:val="20"/>
          <w:color w:val="auto"/>
        </w:rPr>
      </w:pPr>
      <w:r>
        <w:rPr>
          <w:rFonts w:ascii="Times New Roman" w:cs="Times New Roman" w:eastAsia="Times New Roman" w:hAnsi="Times New Roman"/>
          <w:sz w:val="16"/>
          <w:szCs w:val="16"/>
          <w:color w:val="auto"/>
        </w:rPr>
        <w:t>The Company and the Guarantors will use their commercially reasonable efforts to complete the Registered Exchange Offer not later than 360 days after the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67075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60" w:firstLine="288"/>
        <w:spacing w:after="0" w:line="247" w:lineRule="auto"/>
        <w:rPr>
          <w:sz w:val="20"/>
          <w:szCs w:val="20"/>
          <w:color w:val="auto"/>
        </w:rPr>
      </w:pPr>
      <w:r>
        <w:rPr>
          <w:rFonts w:ascii="Times New Roman" w:cs="Times New Roman" w:eastAsia="Times New Roman" w:hAnsi="Times New Roman"/>
          <w:sz w:val="16"/>
          <w:szCs w:val="16"/>
          <w:color w:val="auto"/>
        </w:rPr>
        <w:t>If the Company and the Guarantors effect the Registered Exchange Offer, the Company and the Guarantors will be entitled to close the Registered Exchange Offer 20 business days after the commencement thereof provided that the Company and the Guarantors have accepted all the Initial Securities theretofore validly tendered and not properly withdrawn in accordance with the terms of the Registered Exchange Offer.</w:t>
      </w:r>
    </w:p>
    <w:p>
      <w:pPr>
        <w:spacing w:after="0" w:line="152" w:lineRule="exact"/>
        <w:rPr>
          <w:sz w:val="20"/>
          <w:szCs w:val="20"/>
          <w:color w:val="auto"/>
        </w:rPr>
      </w:pPr>
    </w:p>
    <w:p>
      <w:pPr>
        <w:ind w:right="60" w:firstLine="288"/>
        <w:spacing w:after="0" w:line="280" w:lineRule="auto"/>
        <w:rPr>
          <w:sz w:val="20"/>
          <w:szCs w:val="20"/>
          <w:color w:val="auto"/>
        </w:rPr>
      </w:pPr>
      <w:r>
        <w:rPr>
          <w:rFonts w:ascii="Times New Roman" w:cs="Times New Roman" w:eastAsia="Times New Roman" w:hAnsi="Times New Roman"/>
          <w:sz w:val="14"/>
          <w:szCs w:val="14"/>
          <w:color w:val="auto"/>
        </w:rPr>
        <w:t>Following the declaration of the effectiveness of the Exchange Offer Registration Statement, the Company and the Guarantors shall promptly commence the Registered Exchange Offer (but in any event not later than 30 days after such effectiveness), it being the objective of such Registered Exchange Offer to enable each Holder of Transfer Restricted Securities electing to exchange the Initial Securities for Exchange Securities (assuming that such Holder is not an affiliate of the Company or any Guarantor within the meaning of the Securities Act, acquires the Exchange Securities in the ordinary course of such Holder’s business and has no arrangements with any person to participate in the distribution of the Exchange Securities and is not prohibited by any law or policy of the Commission from participating in the Registered Exchange Offer) to trade such Exchange Securities from and after their receipt without any limitations or restrictions under the Securities Act.</w:t>
      </w:r>
    </w:p>
    <w:p>
      <w:pPr>
        <w:spacing w:after="0" w:line="133" w:lineRule="exact"/>
        <w:rPr>
          <w:sz w:val="20"/>
          <w:szCs w:val="20"/>
          <w:color w:val="auto"/>
        </w:rPr>
      </w:pPr>
    </w:p>
    <w:p>
      <w:pPr>
        <w:ind w:right="100" w:firstLine="288"/>
        <w:spacing w:after="0" w:line="239" w:lineRule="auto"/>
        <w:rPr>
          <w:sz w:val="20"/>
          <w:szCs w:val="20"/>
          <w:color w:val="auto"/>
        </w:rPr>
      </w:pPr>
      <w:r>
        <w:rPr>
          <w:rFonts w:ascii="Times New Roman" w:cs="Times New Roman" w:eastAsia="Times New Roman" w:hAnsi="Times New Roman"/>
          <w:sz w:val="16"/>
          <w:szCs w:val="16"/>
          <w:color w:val="auto"/>
        </w:rPr>
        <w:t>The Company and the Guarantors acknowledge that, pursuant to current interpretations by the Commission’s staff of Section 5 of the Securities Act, in the absence of an applicable exemption therefrom, each Holder which is a broker-dealer electing to exchange Initial Securities, acquired for its own account as a result of market making activities or other trading activities, for Exchange Securities (an “</w:t>
      </w:r>
      <w:r>
        <w:rPr>
          <w:rFonts w:ascii="Times New Roman" w:cs="Times New Roman" w:eastAsia="Times New Roman" w:hAnsi="Times New Roman"/>
          <w:sz w:val="16"/>
          <w:szCs w:val="16"/>
          <w:b w:val="1"/>
          <w:bCs w:val="1"/>
          <w:color w:val="auto"/>
        </w:rPr>
        <w:t>Exchanging Dealer</w:t>
      </w:r>
      <w:r>
        <w:rPr>
          <w:rFonts w:ascii="Times New Roman" w:cs="Times New Roman" w:eastAsia="Times New Roman" w:hAnsi="Times New Roman"/>
          <w:sz w:val="16"/>
          <w:szCs w:val="16"/>
          <w:color w:val="auto"/>
        </w:rPr>
        <w:t xml:space="preserve"> ”), is required to deliver a prospectus containing the information set forth in (a) Annex A hereto on the cover, (b) Annex B hereto in the “</w:t>
      </w:r>
      <w:r>
        <w:rPr>
          <w:rFonts w:ascii="Times New Roman" w:cs="Times New Roman" w:eastAsia="Times New Roman" w:hAnsi="Times New Roman"/>
          <w:sz w:val="16"/>
          <w:szCs w:val="16"/>
          <w:b w:val="1"/>
          <w:bCs w:val="1"/>
          <w:color w:val="auto"/>
        </w:rPr>
        <w:t>Description of the Exchange Offer</w:t>
      </w:r>
      <w:r>
        <w:rPr>
          <w:rFonts w:ascii="Times New Roman" w:cs="Times New Roman" w:eastAsia="Times New Roman" w:hAnsi="Times New Roman"/>
          <w:sz w:val="16"/>
          <w:szCs w:val="16"/>
          <w:color w:val="auto"/>
        </w:rPr>
        <w:t>” or similar section, and (c) Annex C hereto in the “</w:t>
      </w:r>
      <w:r>
        <w:rPr>
          <w:rFonts w:ascii="Times New Roman" w:cs="Times New Roman" w:eastAsia="Times New Roman" w:hAnsi="Times New Roman"/>
          <w:sz w:val="16"/>
          <w:szCs w:val="16"/>
          <w:b w:val="1"/>
          <w:bCs w:val="1"/>
          <w:color w:val="auto"/>
        </w:rPr>
        <w:t>Plan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 section of such prospectus in connection with a sale of any such Exchange Securities received by such Exchanging Dealer pursuant to the Registered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Offer.</w:t>
      </w:r>
    </w:p>
    <w:p>
      <w:pPr>
        <w:spacing w:after="0" w:line="161" w:lineRule="exact"/>
        <w:rPr>
          <w:sz w:val="20"/>
          <w:szCs w:val="20"/>
          <w:color w:val="auto"/>
        </w:rPr>
      </w:pPr>
    </w:p>
    <w:p>
      <w:pPr>
        <w:ind w:right="20" w:firstLine="288"/>
        <w:spacing w:after="0" w:line="239" w:lineRule="auto"/>
        <w:rPr>
          <w:sz w:val="20"/>
          <w:szCs w:val="20"/>
          <w:color w:val="auto"/>
        </w:rPr>
      </w:pPr>
      <w:r>
        <w:rPr>
          <w:rFonts w:ascii="Times New Roman" w:cs="Times New Roman" w:eastAsia="Times New Roman" w:hAnsi="Times New Roman"/>
          <w:sz w:val="16"/>
          <w:szCs w:val="16"/>
          <w:color w:val="auto"/>
        </w:rPr>
        <w:t>The Company and the Guarantors shall use their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such persons must comply with such requirements in order to resell the Exchange Securities; provided, however, that in the case where such prospectus and any amendment or supplement thereto must be delivered by an Exchanging Dealer or a Dealer Manager, such period shall be the lesser of 90 days and the date on which all Exchanging Dealers and the Dealer Managers have sold all Exchange Securities held by them (unless such period is extended pursuant to Section 3(f) below).</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connection with the Registered Exchange Offer, the Company and the Guarantors shall:</w:t>
      </w:r>
    </w:p>
    <w:p>
      <w:pPr>
        <w:spacing w:after="0" w:line="176" w:lineRule="exact"/>
        <w:rPr>
          <w:sz w:val="20"/>
          <w:szCs w:val="20"/>
          <w:color w:val="auto"/>
        </w:rPr>
      </w:pPr>
    </w:p>
    <w:p>
      <w:pPr>
        <w:ind w:right="20" w:firstLine="294"/>
        <w:spacing w:after="0" w:line="259" w:lineRule="auto"/>
        <w:tabs>
          <w:tab w:leader="none" w:pos="57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 to each Holder an electronic copy of the prospectus forming part of the Exchange Offer Registration Statement, together with any letter of transmittal used in connection with the Registered Exchange Offer and related documents;</w:t>
      </w:r>
    </w:p>
    <w:p>
      <w:pPr>
        <w:spacing w:after="0" w:line="143" w:lineRule="exact"/>
        <w:rPr>
          <w:rFonts w:ascii="Times New Roman" w:cs="Times New Roman" w:eastAsia="Times New Roman" w:hAnsi="Times New Roman"/>
          <w:sz w:val="16"/>
          <w:szCs w:val="16"/>
          <w:color w:val="auto"/>
        </w:rPr>
      </w:pPr>
    </w:p>
    <w:p>
      <w:pPr>
        <w:ind w:right="140" w:firstLine="294"/>
        <w:spacing w:after="0" w:line="259" w:lineRule="auto"/>
        <w:tabs>
          <w:tab w:leader="none" w:pos="5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utilize the services of a depositary for the Registered Exchange Offer with an address in the Borough of Manhattan, The City of New York, which may be the Trustee or an affiliate of the Trustee;</w:t>
      </w:r>
    </w:p>
    <w:p>
      <w:pPr>
        <w:sectPr>
          <w:pgSz w:w="11900" w:h="16840" w:orient="portrait"/>
          <w:cols w:equalWidth="0" w:num="1">
            <w:col w:w="10580"/>
          </w:cols>
          <w:pgMar w:left="660" w:top="782" w:right="660" w:bottom="245" w:gutter="0" w:footer="0" w:header="0"/>
        </w:sectPr>
      </w:pPr>
    </w:p>
    <w:bookmarkStart w:id="10" w:name="page11"/>
    <w:bookmarkEnd w:id="10"/>
    <w:p>
      <w:pPr>
        <w:ind w:right="520" w:firstLine="294"/>
        <w:spacing w:after="0" w:line="259" w:lineRule="auto"/>
        <w:tabs>
          <w:tab w:leader="none" w:pos="57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Holders to withdraw tendered Securities at any time prior to the close of business, Eastern time, on the last business day on which the Registered Exchange Offer shall remain open; and</w:t>
      </w:r>
    </w:p>
    <w:p>
      <w:pPr>
        <w:spacing w:after="0" w:line="143" w:lineRule="exact"/>
        <w:rPr>
          <w:rFonts w:ascii="Times New Roman" w:cs="Times New Roman" w:eastAsia="Times New Roman" w:hAnsi="Times New Roman"/>
          <w:sz w:val="16"/>
          <w:szCs w:val="16"/>
          <w:color w:val="auto"/>
        </w:rPr>
      </w:pPr>
    </w:p>
    <w:p>
      <w:pPr>
        <w:ind w:left="600" w:hanging="306"/>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comply with all applicable laws.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soon as practicable after the close of the Registered Exchange Offer, the Company and the Guarantors shall:</w:t>
      </w:r>
    </w:p>
    <w:p>
      <w:pPr>
        <w:spacing w:after="0" w:line="176" w:lineRule="exact"/>
        <w:rPr>
          <w:sz w:val="20"/>
          <w:szCs w:val="20"/>
          <w:color w:val="auto"/>
        </w:rPr>
      </w:pPr>
    </w:p>
    <w:p>
      <w:pPr>
        <w:ind w:left="580" w:hanging="286"/>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 for exchange all the Initial Securities validly tendered and not withdrawn pursuant to the Registered Exchange Offer;</w:t>
      </w:r>
    </w:p>
    <w:p>
      <w:pPr>
        <w:spacing w:after="0" w:line="176" w:lineRule="exact"/>
        <w:rPr>
          <w:rFonts w:ascii="Times New Roman" w:cs="Times New Roman" w:eastAsia="Times New Roman" w:hAnsi="Times New Roman"/>
          <w:sz w:val="16"/>
          <w:szCs w:val="16"/>
          <w:color w:val="auto"/>
        </w:rPr>
      </w:pPr>
    </w:p>
    <w:p>
      <w:pPr>
        <w:ind w:left="600" w:hanging="306"/>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to the Trustee for cancellation all the Initial Securities so accepted for exchange; and</w:t>
      </w:r>
    </w:p>
    <w:p>
      <w:pPr>
        <w:spacing w:after="0" w:line="176" w:lineRule="exact"/>
        <w:rPr>
          <w:rFonts w:ascii="Times New Roman" w:cs="Times New Roman" w:eastAsia="Times New Roman" w:hAnsi="Times New Roman"/>
          <w:sz w:val="16"/>
          <w:szCs w:val="16"/>
          <w:color w:val="auto"/>
        </w:rPr>
      </w:pPr>
    </w:p>
    <w:p>
      <w:pPr>
        <w:ind w:right="440" w:firstLine="294"/>
        <w:spacing w:after="0" w:line="259" w:lineRule="auto"/>
        <w:tabs>
          <w:tab w:leader="none" w:pos="57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the Trustee to authenticate and deliver promptly to each Holder of the Initial Securities Exchange Securities equal in principal amount to the Initial Securities of such Holder so accepted for exchange.</w:t>
      </w:r>
    </w:p>
    <w:p>
      <w:pPr>
        <w:spacing w:after="0" w:line="143" w:lineRule="exact"/>
        <w:rPr>
          <w:sz w:val="20"/>
          <w:szCs w:val="20"/>
          <w:color w:val="auto"/>
        </w:rPr>
      </w:pPr>
    </w:p>
    <w:p>
      <w:pPr>
        <w:ind w:right="120" w:firstLine="288"/>
        <w:spacing w:after="0" w:line="259" w:lineRule="auto"/>
        <w:rPr>
          <w:sz w:val="20"/>
          <w:szCs w:val="20"/>
          <w:color w:val="auto"/>
        </w:rPr>
      </w:pPr>
      <w:r>
        <w:rPr>
          <w:rFonts w:ascii="Times New Roman" w:cs="Times New Roman" w:eastAsia="Times New Roman" w:hAnsi="Times New Roman"/>
          <w:sz w:val="16"/>
          <w:szCs w:val="16"/>
          <w:color w:val="auto"/>
        </w:rPr>
        <w:t>Each Holder participating in the Registered Exchange Offer shall be required to represent to the Company and the Guarantors that at the time of the consummation of the Registered Exchange Offer (i) any Initial Securities being</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exchanged by such Holder, and any Exchange Securities received by such Holder, have been or will be acquired in the ordinary course of business, (ii) such Holder is not engaged and does not intend to engage in and will have no arrangements or understanding with any person to participate in the distribution, within the meaning of the Securities Act, of the Initial Securities or the Exchange Securities, (iii) such Holder is not an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as defined in Rule 405 of the Securities Act, of the Company or any Guarantor or if it is an affiliate, such Holder will comply with the registration and prospectus delivery requirements of the Securities Act to the extent applicable, (iv) if such Holder is not a broker-dealer, that it is not engaged in, and does not intend to engage in, the distribution, within the meaning of the Securities Act, of the Exchange Securities and (v) if such Holder is a broker-dealer, that it will receive Exchange Securities for its own account in exchange for Initial Securities that were acquired as a result of market-making activities or other trading activities and that it will be required to acknowledge that it will deliver a prospectus in connection with any resale of such Exchange Securities.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2.  Shelf Registration</w:t>
      </w:r>
    </w:p>
    <w:p>
      <w:pPr>
        <w:spacing w:after="0" w:line="180" w:lineRule="exact"/>
        <w:rPr>
          <w:sz w:val="20"/>
          <w:szCs w:val="20"/>
          <w:color w:val="auto"/>
        </w:rPr>
      </w:pPr>
    </w:p>
    <w:p>
      <w:pPr>
        <w:ind w:right="20" w:firstLine="288"/>
        <w:spacing w:after="0" w:line="276" w:lineRule="auto"/>
        <w:rPr>
          <w:sz w:val="20"/>
          <w:szCs w:val="20"/>
          <w:color w:val="auto"/>
        </w:rPr>
      </w:pPr>
      <w:r>
        <w:rPr>
          <w:rFonts w:ascii="Times New Roman" w:cs="Times New Roman" w:eastAsia="Times New Roman" w:hAnsi="Times New Roman"/>
          <w:sz w:val="14"/>
          <w:szCs w:val="14"/>
          <w:color w:val="auto"/>
        </w:rPr>
        <w:t>If, (i) because of any change in law or in applicable interpretations thereof by the staff of the Commission, the Company and the Guarantors determine that they are not permitted to effect a Registered Exchange Offer, as contemplated by Section 1 hereof, (ii) the Registered Exchange Offer is not consummated within 360 days of the Issue Date, (iii) any Holder (other than as a result of the status of any such Holder as an “</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the Company or any Guarantor or as a broker-dealer) notifies the Company and the Guarantors prior to the 20th day following completion of the Registered Exchange Offer that it is not eligible to participate in the Registered Exchange Offer or, in the case of any Holder that participates in the Registered Exchange Offer, such Holder does not receive freely tradeable Exchange Securities on the date of the exchange (it being understood that the requirement that an Exchanging Dealer deliver a prospectus containing the information set forth in (a) Annex A hereto on the cover, (b) Annex B hereto in the “</w:t>
      </w:r>
      <w:r>
        <w:rPr>
          <w:rFonts w:ascii="Times New Roman" w:cs="Times New Roman" w:eastAsia="Times New Roman" w:hAnsi="Times New Roman"/>
          <w:sz w:val="14"/>
          <w:szCs w:val="14"/>
          <w:b w:val="1"/>
          <w:bCs w:val="1"/>
          <w:color w:val="auto"/>
        </w:rPr>
        <w:t>Description of the Exchange Offer</w:t>
      </w:r>
      <w:r>
        <w:rPr>
          <w:rFonts w:ascii="Times New Roman" w:cs="Times New Roman" w:eastAsia="Times New Roman" w:hAnsi="Times New Roman"/>
          <w:sz w:val="14"/>
          <w:szCs w:val="14"/>
          <w:color w:val="auto"/>
        </w:rPr>
        <w:t>” or similar section, and (c) Annex C hereto in the “</w:t>
      </w:r>
      <w:r>
        <w:rPr>
          <w:rFonts w:ascii="Times New Roman" w:cs="Times New Roman" w:eastAsia="Times New Roman" w:hAnsi="Times New Roman"/>
          <w:sz w:val="14"/>
          <w:szCs w:val="14"/>
          <w:b w:val="1"/>
          <w:bCs w:val="1"/>
          <w:color w:val="auto"/>
        </w:rPr>
        <w:t>Plan of Distribution</w:t>
      </w:r>
      <w:r>
        <w:rPr>
          <w:rFonts w:ascii="Times New Roman" w:cs="Times New Roman" w:eastAsia="Times New Roman" w:hAnsi="Times New Roman"/>
          <w:sz w:val="14"/>
          <w:szCs w:val="14"/>
          <w:color w:val="auto"/>
        </w:rPr>
        <w:t xml:space="preserve">” in connection with a sale of any such Exchange Securities received by such Exchanging Dealer pursuant to the Registered Exchange Offer shall not result in such Exchange Securities being not “ </w:t>
      </w:r>
      <w:r>
        <w:rPr>
          <w:rFonts w:ascii="Times New Roman" w:cs="Times New Roman" w:eastAsia="Times New Roman" w:hAnsi="Times New Roman"/>
          <w:sz w:val="14"/>
          <w:szCs w:val="14"/>
          <w:b w:val="1"/>
          <w:bCs w:val="1"/>
          <w:color w:val="auto"/>
        </w:rPr>
        <w:t>freely transferable</w:t>
      </w:r>
      <w:r>
        <w:rPr>
          <w:rFonts w:ascii="Times New Roman" w:cs="Times New Roman" w:eastAsia="Times New Roman" w:hAnsi="Times New Roman"/>
          <w:sz w:val="14"/>
          <w:szCs w:val="14"/>
          <w:color w:val="auto"/>
        </w:rPr>
        <w:t>”), or (iv) the Company and the Guarantors so elect, the Company and the Guarantors shall, at their reasonable costs, take the following actions:</w:t>
      </w:r>
    </w:p>
    <w:p>
      <w:pPr>
        <w:spacing w:after="0" w:line="134" w:lineRule="exact"/>
        <w:rPr>
          <w:sz w:val="20"/>
          <w:szCs w:val="20"/>
          <w:color w:val="auto"/>
        </w:rPr>
      </w:pPr>
    </w:p>
    <w:p>
      <w:pPr>
        <w:ind w:firstLine="294"/>
        <w:spacing w:after="0" w:line="237" w:lineRule="auto"/>
        <w:tabs>
          <w:tab w:leader="none" w:pos="57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as promptly as practicable (but in no event more than 180 days after so required or requested pursuant to this Section 2) file with the Commission and thereafter shall use their commercially reasonable efforts to cause to be declared effective (unless it becomes effective automatically upon filing), within 270 days after the Company and the Guarantors are so required or requested pursuant to this Section 2, a shelf registration statement (the “</w:t>
      </w:r>
      <w:r>
        <w:rPr>
          <w:rFonts w:ascii="Times New Roman" w:cs="Times New Roman" w:eastAsia="Times New Roman" w:hAnsi="Times New Roman"/>
          <w:sz w:val="16"/>
          <w:szCs w:val="16"/>
          <w:b w:val="1"/>
          <w:bCs w:val="1"/>
          <w:color w:val="auto"/>
        </w:rPr>
        <w:t>Shelf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and, together with the Exchange Offer Registration Statement, a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on an appropriate form under the Securities 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relating to the offer and sale of the Transfer Restricted Securities (as defined in Section 6 hereof) by the Holders thereof from time to time in accordance with the methods of distribution set forth in the Shelf Registration Statement and Rule 415 under the Securities Act (hereinafter, the “</w:t>
      </w:r>
      <w:r>
        <w:rPr>
          <w:rFonts w:ascii="Times New Roman" w:cs="Times New Roman" w:eastAsia="Times New Roman" w:hAnsi="Times New Roman"/>
          <w:sz w:val="16"/>
          <w:szCs w:val="16"/>
          <w:b w:val="1"/>
          <w:bCs w:val="1"/>
          <w:color w:val="auto"/>
        </w:rPr>
        <w:t>Shelf Registration</w:t>
      </w:r>
      <w:r>
        <w:rPr>
          <w:rFonts w:ascii="Times New Roman" w:cs="Times New Roman" w:eastAsia="Times New Roman" w:hAnsi="Times New Roman"/>
          <w:sz w:val="16"/>
          <w:szCs w:val="16"/>
          <w:color w:val="auto"/>
        </w:rPr>
        <w:t>”) or, if permitted by 430B under the Securities Act, otherwise designate an existing effective Shelf Registration Statement for use by the Holders as a Shelf Registration Statement relating to the resales of the Transfer Restricted Securities; provided, however, that no Holder (other than a Dealer Manager) shall be entitled to have the Securities held by it covered by such Shelf Registration Statement unless such Holder agrees in writing to be bound by all the provisions of this registration rights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applicable to such Holder.</w:t>
      </w:r>
    </w:p>
    <w:p>
      <w:pPr>
        <w:spacing w:after="0" w:line="163" w:lineRule="exact"/>
        <w:rPr>
          <w:rFonts w:ascii="Times New Roman" w:cs="Times New Roman" w:eastAsia="Times New Roman" w:hAnsi="Times New Roman"/>
          <w:sz w:val="16"/>
          <w:szCs w:val="16"/>
          <w:color w:val="auto"/>
        </w:rPr>
      </w:pPr>
    </w:p>
    <w:p>
      <w:pPr>
        <w:ind w:right="180" w:firstLine="294"/>
        <w:spacing w:after="0" w:line="243" w:lineRule="auto"/>
        <w:tabs>
          <w:tab w:leader="none" w:pos="58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use their commercially reasonable efforts to keep the Shelf Registration Statement continuously effective in order to permit the prospectus included therein to be lawfully delivered by the Holders of the relevant Securities, for a period of one year (or for such longer period if extended pursuant to Section 3(f) below) from effectiveness of the Shelf Registration Statement or such shorter period that will terminate when all the Securities covered by the Shelf Registration Statement have been sold pursuant thereto.</w:t>
      </w:r>
    </w:p>
    <w:p>
      <w:pPr>
        <w:spacing w:after="0" w:line="151" w:lineRule="exact"/>
        <w:rPr>
          <w:rFonts w:ascii="Times New Roman" w:cs="Times New Roman" w:eastAsia="Times New Roman" w:hAnsi="Times New Roman"/>
          <w:sz w:val="16"/>
          <w:szCs w:val="16"/>
          <w:color w:val="auto"/>
        </w:rPr>
      </w:pPr>
    </w:p>
    <w:p>
      <w:pPr>
        <w:ind w:left="380" w:hanging="230"/>
        <w:spacing w:after="0"/>
        <w:tabs>
          <w:tab w:leader="none" w:pos="38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Registration Procedures</w:t>
      </w:r>
    </w:p>
    <w:p>
      <w:pPr>
        <w:spacing w:after="0" w:line="180" w:lineRule="exact"/>
        <w:rPr>
          <w:sz w:val="20"/>
          <w:szCs w:val="20"/>
          <w:color w:val="auto"/>
        </w:rPr>
      </w:pPr>
    </w:p>
    <w:p>
      <w:pPr>
        <w:ind w:right="20" w:firstLine="288"/>
        <w:spacing w:after="0" w:line="259" w:lineRule="auto"/>
        <w:rPr>
          <w:sz w:val="20"/>
          <w:szCs w:val="20"/>
          <w:color w:val="auto"/>
        </w:rPr>
      </w:pPr>
      <w:r>
        <w:rPr>
          <w:rFonts w:ascii="Times New Roman" w:cs="Times New Roman" w:eastAsia="Times New Roman" w:hAnsi="Times New Roman"/>
          <w:sz w:val="16"/>
          <w:szCs w:val="16"/>
          <w:color w:val="auto"/>
        </w:rPr>
        <w:t>In connection with any Shelf Registration contemplated by Section 2 hereof and, to the extent applicable, any Registered Exchange Offer contemplated by Section 1 hereof, the following provisions shall apply:</w:t>
      </w:r>
    </w:p>
    <w:p>
      <w:pPr>
        <w:spacing w:after="0" w:line="141" w:lineRule="exact"/>
        <w:rPr>
          <w:sz w:val="20"/>
          <w:szCs w:val="20"/>
          <w:color w:val="auto"/>
        </w:rPr>
      </w:pPr>
    </w:p>
    <w:p>
      <w:pPr>
        <w:ind w:right="260" w:firstLine="294"/>
        <w:spacing w:after="0" w:line="248" w:lineRule="auto"/>
        <w:tabs>
          <w:tab w:leader="none" w:pos="57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and the Guarantors shall (i) include the information set forth in Annex A hereto on the cover, in Annex B hereto in the </w:t>
      </w:r>
      <w:r>
        <w:rPr>
          <w:rFonts w:ascii="Times New Roman" w:cs="Times New Roman" w:eastAsia="Times New Roman" w:hAnsi="Times New Roman"/>
          <w:sz w:val="16"/>
          <w:szCs w:val="16"/>
          <w:b w:val="1"/>
          <w:bCs w:val="1"/>
          <w:color w:val="auto"/>
        </w:rPr>
        <w:t>Description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Exchange Offer</w:t>
      </w:r>
      <w:r>
        <w:rPr>
          <w:rFonts w:ascii="Times New Roman" w:cs="Times New Roman" w:eastAsia="Times New Roman" w:hAnsi="Times New Roman"/>
          <w:sz w:val="16"/>
          <w:szCs w:val="16"/>
          <w:color w:val="auto"/>
        </w:rPr>
        <w:t>” or similar section and in Annex C hereto in the “</w:t>
      </w:r>
      <w:r>
        <w:rPr>
          <w:rFonts w:ascii="Times New Roman" w:cs="Times New Roman" w:eastAsia="Times New Roman" w:hAnsi="Times New Roman"/>
          <w:sz w:val="16"/>
          <w:szCs w:val="16"/>
          <w:b w:val="1"/>
          <w:bCs w:val="1"/>
          <w:color w:val="auto"/>
        </w:rPr>
        <w:t>Plan of Distribution</w:t>
      </w:r>
      <w:r>
        <w:rPr>
          <w:rFonts w:ascii="Times New Roman" w:cs="Times New Roman" w:eastAsia="Times New Roman" w:hAnsi="Times New Roman"/>
          <w:sz w:val="16"/>
          <w:szCs w:val="16"/>
          <w:color w:val="auto"/>
        </w:rPr>
        <w:t>” section of the prospectus forming a part of the Exchange Offer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 and include the information set forth in Annex D hereto in any Letter of Transmittal delivered pursuant to the Registered</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5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Exchange Offer; (ii) include within the prospectus contained in the Exchange Offer Registration Statement a section entitled “</w:t>
      </w:r>
      <w:r>
        <w:rPr>
          <w:rFonts w:ascii="Times New Roman" w:cs="Times New Roman" w:eastAsia="Times New Roman" w:hAnsi="Times New Roman"/>
          <w:sz w:val="16"/>
          <w:szCs w:val="16"/>
          <w:b w:val="1"/>
          <w:bCs w:val="1"/>
          <w:color w:val="auto"/>
        </w:rPr>
        <w:t>Plan of Distribution</w:t>
      </w:r>
      <w:r>
        <w:rPr>
          <w:rFonts w:ascii="Times New Roman" w:cs="Times New Roman" w:eastAsia="Times New Roman" w:hAnsi="Times New Roman"/>
          <w:sz w:val="16"/>
          <w:szCs w:val="16"/>
          <w:color w:val="auto"/>
        </w:rPr>
        <w:t xml:space="preserve">,” which shall contain a summary statement of the positions taken or policies made by the staff of the Commission with respect to the potential “ </w:t>
      </w:r>
      <w:r>
        <w:rPr>
          <w:rFonts w:ascii="Times New Roman" w:cs="Times New Roman" w:eastAsia="Times New Roman" w:hAnsi="Times New Roman"/>
          <w:sz w:val="16"/>
          <w:szCs w:val="16"/>
          <w:b w:val="1"/>
          <w:bCs w:val="1"/>
          <w:color w:val="auto"/>
        </w:rPr>
        <w:t>underwriter</w:t>
      </w:r>
      <w:r>
        <w:rPr>
          <w:rFonts w:ascii="Times New Roman" w:cs="Times New Roman" w:eastAsia="Times New Roman" w:hAnsi="Times New Roman"/>
          <w:sz w:val="16"/>
          <w:szCs w:val="16"/>
          <w:color w:val="auto"/>
        </w:rPr>
        <w:t>” status of any broker-dealer that is the beneficial owner (as defined in Rule 13d-3 under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of Exchange Securities received by such broker-dealer in the Registered Exchange Offer (a “</w:t>
      </w:r>
      <w:r>
        <w:rPr>
          <w:rFonts w:ascii="Times New Roman" w:cs="Times New Roman" w:eastAsia="Times New Roman" w:hAnsi="Times New Roman"/>
          <w:sz w:val="16"/>
          <w:szCs w:val="16"/>
          <w:b w:val="1"/>
          <w:bCs w:val="1"/>
          <w:color w:val="auto"/>
        </w:rPr>
        <w:t>Participating Broker-Dealer</w:t>
      </w:r>
      <w:r>
        <w:rPr>
          <w:rFonts w:ascii="Times New Roman" w:cs="Times New Roman" w:eastAsia="Times New Roman" w:hAnsi="Times New Roman"/>
          <w:sz w:val="16"/>
          <w:szCs w:val="16"/>
          <w:color w:val="auto"/>
        </w:rPr>
        <w:t>”); and (iv) in the case of a Shelf Registration Statement, include in the prospectus included in the Shelf Registration Statement (or, if permitted by Commission Rule 430B(b), in a prospectus supplement that becomes a part thereof pursuant to Commission Rule 430B(f)) that is delivered to any Holder pursuant to Section 3(d), the names of the Holders, who propose to sell Securities pursuant to the Shelf Registration Statement, as selling security holders.</w:t>
      </w:r>
    </w:p>
    <w:p>
      <w:pPr>
        <w:spacing w:after="0" w:line="160" w:lineRule="exact"/>
        <w:rPr>
          <w:sz w:val="20"/>
          <w:szCs w:val="20"/>
          <w:color w:val="auto"/>
        </w:rPr>
      </w:pPr>
    </w:p>
    <w:p>
      <w:pPr>
        <w:ind w:right="100" w:firstLine="294"/>
        <w:spacing w:after="0" w:line="243" w:lineRule="auto"/>
        <w:tabs>
          <w:tab w:leader="none" w:pos="5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give notice to the Dealer Managers, the Holders of the Securities (in case of any Shelf Registration Statement) and any Participating Broker-Dealer from whom the Company and the Guarantors have received prior written notice that it will be a Participating Broker-Dealer in the Registered Exchange Offer (which notice pursuant to clauses (i)-(iv) hereof shall be accompanied by an instruction to suspend the use of the prospectus until the requisite changes have been made):</w:t>
      </w:r>
    </w:p>
    <w:p>
      <w:pPr>
        <w:spacing w:after="0" w:line="155" w:lineRule="exact"/>
        <w:rPr>
          <w:sz w:val="20"/>
          <w:szCs w:val="20"/>
          <w:color w:val="auto"/>
        </w:rPr>
      </w:pPr>
    </w:p>
    <w:p>
      <w:pPr>
        <w:ind w:right="380" w:firstLine="294"/>
        <w:spacing w:after="0" w:line="259" w:lineRule="auto"/>
        <w:tabs>
          <w:tab w:leader="none" w:pos="55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Registration Statement or any amendment thereto has been filed with the Commission and when the Registration Statement or any post-effective amendment thereto has become effective;</w:t>
      </w:r>
    </w:p>
    <w:p>
      <w:pPr>
        <w:sectPr>
          <w:pgSz w:w="11900" w:h="16840" w:orient="portrait"/>
          <w:cols w:equalWidth="0" w:num="1">
            <w:col w:w="10580"/>
          </w:cols>
          <w:pgMar w:left="660" w:top="557" w:right="660" w:bottom="317" w:gutter="0" w:footer="0" w:header="0"/>
        </w:sectPr>
      </w:pPr>
    </w:p>
    <w:bookmarkStart w:id="11" w:name="page12"/>
    <w:bookmarkEnd w:id="11"/>
    <w:p>
      <w:pPr>
        <w:ind w:left="600" w:hanging="306"/>
        <w:spacing w:after="0"/>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request by the Commission for amendments or supplements to the Registration Statement or the prospectus included therein;</w:t>
      </w:r>
    </w:p>
    <w:p>
      <w:pPr>
        <w:spacing w:after="0" w:line="176" w:lineRule="exact"/>
        <w:rPr>
          <w:rFonts w:ascii="Times New Roman" w:cs="Times New Roman" w:eastAsia="Times New Roman" w:hAnsi="Times New Roman"/>
          <w:sz w:val="16"/>
          <w:szCs w:val="16"/>
          <w:color w:val="auto"/>
        </w:rPr>
      </w:pPr>
    </w:p>
    <w:p>
      <w:pPr>
        <w:ind w:right="240" w:firstLine="294"/>
        <w:spacing w:after="0" w:line="331" w:lineRule="auto"/>
        <w:tabs>
          <w:tab w:leader="none" w:pos="63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issuance by the Commission of any stop order suspending the effectiveness of the Registration Statement or the initiation of any proceedings for that purpose and of the happening of any event that causes the Company or any Guarantor to become an “</w:t>
      </w:r>
      <w:r>
        <w:rPr>
          <w:rFonts w:ascii="Times New Roman" w:cs="Times New Roman" w:eastAsia="Times New Roman" w:hAnsi="Times New Roman"/>
          <w:sz w:val="14"/>
          <w:szCs w:val="14"/>
          <w:b w:val="1"/>
          <w:bCs w:val="1"/>
          <w:color w:val="auto"/>
        </w:rPr>
        <w:t>ineligible issuer</w:t>
      </w:r>
      <w:r>
        <w:rPr>
          <w:rFonts w:ascii="Times New Roman" w:cs="Times New Roman" w:eastAsia="Times New Roman" w:hAnsi="Times New Roman"/>
          <w:sz w:val="14"/>
          <w:szCs w:val="14"/>
          <w:color w:val="auto"/>
        </w:rPr>
        <w:t>,” as defined in Commission Rule 405; and</w:t>
      </w:r>
    </w:p>
    <w:p>
      <w:pPr>
        <w:spacing w:after="0" w:line="96" w:lineRule="exact"/>
        <w:rPr>
          <w:rFonts w:ascii="Times New Roman" w:cs="Times New Roman" w:eastAsia="Times New Roman" w:hAnsi="Times New Roman"/>
          <w:sz w:val="14"/>
          <w:szCs w:val="14"/>
          <w:color w:val="auto"/>
        </w:rPr>
      </w:pPr>
    </w:p>
    <w:p>
      <w:pPr>
        <w:ind w:right="100" w:firstLine="294"/>
        <w:spacing w:after="0" w:line="259" w:lineRule="auto"/>
        <w:tabs>
          <w:tab w:leader="none" w:pos="63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receipt by the Company and the Guarantors or their legal counsel of any notification with respect to the suspension of the qualification of the Securities for sale in any jurisdiction or the initiation or overtly threatening of any proceeding for such purpose.</w:t>
      </w:r>
    </w:p>
    <w:p>
      <w:pPr>
        <w:spacing w:after="0" w:line="143" w:lineRule="exact"/>
        <w:rPr>
          <w:sz w:val="20"/>
          <w:szCs w:val="20"/>
          <w:color w:val="auto"/>
        </w:rPr>
      </w:pPr>
    </w:p>
    <w:p>
      <w:pPr>
        <w:ind w:right="200" w:firstLine="294"/>
        <w:spacing w:after="0" w:line="259" w:lineRule="auto"/>
        <w:tabs>
          <w:tab w:leader="none" w:pos="57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use commercially reasonable effort to obtain the withdrawal at the earliest possible time, of any order suspending the effectiveness of the Registration Statement.</w:t>
      </w:r>
    </w:p>
    <w:p>
      <w:pPr>
        <w:spacing w:after="0" w:line="143" w:lineRule="exact"/>
        <w:rPr>
          <w:rFonts w:ascii="Times New Roman" w:cs="Times New Roman" w:eastAsia="Times New Roman" w:hAnsi="Times New Roman"/>
          <w:sz w:val="16"/>
          <w:szCs w:val="16"/>
          <w:color w:val="auto"/>
        </w:rPr>
      </w:pPr>
    </w:p>
    <w:p>
      <w:pPr>
        <w:ind w:right="100" w:firstLine="294"/>
        <w:spacing w:after="0" w:line="239" w:lineRule="auto"/>
        <w:tabs>
          <w:tab w:leader="none" w:pos="5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during the period for which the Company and the Guarantors are required to maintain an effective Registration Statement, deliver to each Holder of Securities included within the coverage of the Shelf Registration, without charge, as many copies of the prospectus (including each preliminary prospectus) included in the Shelf Registration Statement and any amendment or supplement thereto as such person may reasonably request. The Company and the Guarantors consent, subject to the provisions of this Agreement, to the use of the prospectus or any amendment or supplement thereto by each of the selling Holders of the Securities in connection with the offering and sale of the Securities covered by the prospectus, or any amendment or supplement thereto, included in the Shelf Registration Statement.</w:t>
      </w:r>
    </w:p>
    <w:p>
      <w:pPr>
        <w:spacing w:after="0" w:line="161" w:lineRule="exact"/>
        <w:rPr>
          <w:rFonts w:ascii="Times New Roman" w:cs="Times New Roman" w:eastAsia="Times New Roman" w:hAnsi="Times New Roman"/>
          <w:sz w:val="16"/>
          <w:szCs w:val="16"/>
          <w:color w:val="auto"/>
        </w:rPr>
      </w:pPr>
    </w:p>
    <w:p>
      <w:pPr>
        <w:ind w:right="160" w:firstLine="294"/>
        <w:spacing w:after="0" w:line="239" w:lineRule="auto"/>
        <w:tabs>
          <w:tab w:leader="none" w:pos="57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deliver to each Dealer Manager, any Exchanging Dealer, any Participating Broker-Dealer and such other persons required to deliver a prospectus following the Registered Exchange Offer, without charge, as many electronic copies of the final prospectus included in the Exchange Offer Registration Statement and any amendment or supplement thereto as such persons may reasonably request. The Company and the Guarantors consent, subject to the provisions of this Agreement, to the use of the prospectus or any amendment or supplement thereto by any Dealer Manager, if necessary, any Participating Broker-Dealer and such other persons required to deliver a prospectus following the Registered Exchange Offer in connection with the offering and sale of the Exchange Securities covered by the prospectus, or any amendment or supplement thereto, included in such Exchange Offer Registration Statement.</w:t>
      </w:r>
    </w:p>
    <w:p>
      <w:pPr>
        <w:spacing w:after="0" w:line="161" w:lineRule="exact"/>
        <w:rPr>
          <w:rFonts w:ascii="Times New Roman" w:cs="Times New Roman" w:eastAsia="Times New Roman" w:hAnsi="Times New Roman"/>
          <w:sz w:val="16"/>
          <w:szCs w:val="16"/>
          <w:color w:val="auto"/>
        </w:rPr>
      </w:pPr>
    </w:p>
    <w:p>
      <w:pPr>
        <w:ind w:left="560" w:hanging="266"/>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any event contemplated by paragraphs (i) through (iv) of Section 3(b) above during the period for which the Company and the</w:t>
      </w:r>
    </w:p>
    <w:p>
      <w:pPr>
        <w:spacing w:after="0" w:line="14" w:lineRule="exact"/>
        <w:rPr>
          <w:rFonts w:ascii="Times New Roman" w:cs="Times New Roman" w:eastAsia="Times New Roman" w:hAnsi="Times New Roman"/>
          <w:sz w:val="16"/>
          <w:szCs w:val="16"/>
          <w:color w:val="auto"/>
        </w:rPr>
      </w:pPr>
    </w:p>
    <w:p>
      <w:pPr>
        <w:ind w:right="80"/>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Guarantors are required to maintain an effective Registration Statement, the Company and the Guarantors shall promptly prepare and file a post-effective amendment to the Registration Statement or a supplement to the related prospectus and any other required document so that, as thereafter delivered to Holders of the Securities or purchasers of Securities, the prospectus will not contain an untrue statement of a material fact or omit to state any material fact required to be stated therein or necessary to make the statements</w:t>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therein, in light of the circumstances under which they were made, not misleading. The Company and the Guarantors shall also promptly provide notice to the Dealer Managers, the Holders of the Securities (in case of any Shelf Registration Statement) and any known Participating Broker-Dealer of their determination to suspend the availability of a Registration Statement and the related prospectus because the continued effectiveness and use of such Registration Statement and prospectus included therein would require the disclosure of confidential information or interfere with any acquisition, corporate reorganization or other material transaction involving the Company and the Guarantors or any of their respective consolidated subsidiaries (it being understood that such notice may disclose only the existence of such determination and need not disclose the nature of the basis therefor, which may be kept confidential for such period as may reasonably be required for bona fide business reasons). If the Company and the Guarantors notify the Dealer Managers, the Holders of the Securities and any known Participating Broker-Dealer in accordance with paragraphs (i) through (iv) of Section 3(b) above to suspend the use of the prospectus until the requisite changes to the prospectus have been made, then the Dealer Managers, the Holders of the Securities and any such Participating Broker-Dealers shall suspend use of such prospectus, and the period of effectiveness of the Shelf Registration Statement provided for in Section 2(b) above and the Exchange Offer Registration Statement provided for in Section 1 above, as applicable, shall each be extended by the number of days from and including the date of the giving of such notice to and including the date when the Dealer Managers, the Holders of the Securities and any known Participating Broker- Dealer shall have received such amended or supplemented prospectus pursuant to this Section 3(f) . During the period during which the Company and the Guarantors are required to maintain an effective Shelf Registration Statement pursuant to this Agreement, the Company and the Guarantors will prior to the three-year expiration of that Shelf Registration Statement file, and use their commercially reasonable efforts to cause to be declared effective (unless it becomes effective automatically upon filing) within a period that avoids any interruption in the ability of Holders of Securities covered by the expiring Shelf Registration Statement to make registered dispositions, a new registration statement relating to the Securities, which shall be deemed the “</w:t>
      </w:r>
      <w:r>
        <w:rPr>
          <w:rFonts w:ascii="Times New Roman" w:cs="Times New Roman" w:eastAsia="Times New Roman" w:hAnsi="Times New Roman"/>
          <w:sz w:val="16"/>
          <w:szCs w:val="16"/>
          <w:b w:val="1"/>
          <w:bCs w:val="1"/>
          <w:color w:val="auto"/>
        </w:rPr>
        <w:t>Shelf 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Statement</w:t>
      </w:r>
      <w:r>
        <w:rPr>
          <w:rFonts w:ascii="Times New Roman" w:cs="Times New Roman" w:eastAsia="Times New Roman" w:hAnsi="Times New Roman"/>
          <w:sz w:val="16"/>
          <w:szCs w:val="16"/>
          <w:color w:val="auto"/>
        </w:rPr>
        <w:t>” for purposes of this Agreement.</w:t>
      </w:r>
    </w:p>
    <w:p>
      <w:pPr>
        <w:spacing w:after="0" w:line="165" w:lineRule="exact"/>
        <w:rPr>
          <w:sz w:val="20"/>
          <w:szCs w:val="20"/>
          <w:color w:val="auto"/>
        </w:rPr>
      </w:pPr>
    </w:p>
    <w:p>
      <w:pPr>
        <w:ind w:right="60" w:firstLine="294"/>
        <w:spacing w:after="0" w:line="247" w:lineRule="auto"/>
        <w:tabs>
          <w:tab w:leader="none" w:pos="58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later than the effective date of the applicable Registration Statement, the Company and the Guarantors will provide a CUSIP number for the Initial Securities or the Exchange Securities, as the case may be, and provide the applicable trustee with printed certificates for the Initial Securities or the Exchange Securities, as the case may be, in a form eligible for deposit with The Depository Trust Company.</w:t>
      </w:r>
    </w:p>
    <w:p>
      <w:pPr>
        <w:spacing w:after="0" w:line="152" w:lineRule="exact"/>
        <w:rPr>
          <w:rFonts w:ascii="Times New Roman" w:cs="Times New Roman" w:eastAsia="Times New Roman" w:hAnsi="Times New Roman"/>
          <w:sz w:val="16"/>
          <w:szCs w:val="16"/>
          <w:color w:val="auto"/>
        </w:rPr>
      </w:pPr>
    </w:p>
    <w:p>
      <w:pPr>
        <w:ind w:right="280" w:firstLine="294"/>
        <w:spacing w:after="0" w:line="259" w:lineRule="auto"/>
        <w:tabs>
          <w:tab w:leader="none" w:pos="58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will comply in all material respects with all rules and regulations of the Commission to the extent and so long as they are applicable to the Registered Exchange Offer or the Shelf Registration.</w:t>
      </w:r>
    </w:p>
    <w:p>
      <w:pPr>
        <w:spacing w:after="0" w:line="141" w:lineRule="exact"/>
        <w:rPr>
          <w:rFonts w:ascii="Times New Roman" w:cs="Times New Roman" w:eastAsia="Times New Roman" w:hAnsi="Times New Roman"/>
          <w:sz w:val="16"/>
          <w:szCs w:val="16"/>
          <w:color w:val="auto"/>
        </w:rPr>
      </w:pPr>
    </w:p>
    <w:p>
      <w:pPr>
        <w:ind w:right="40" w:firstLine="294"/>
        <w:spacing w:after="0" w:line="301" w:lineRule="auto"/>
        <w:tabs>
          <w:tab w:leader="none" w:pos="55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Guarantors shall cause the Indenture to be qualified under the Trust Indenture Act of 1939 (the “</w:t>
      </w:r>
      <w:r>
        <w:rPr>
          <w:rFonts w:ascii="Times New Roman" w:cs="Times New Roman" w:eastAsia="Times New Roman" w:hAnsi="Times New Roman"/>
          <w:sz w:val="14"/>
          <w:szCs w:val="14"/>
          <w:b w:val="1"/>
          <w:bCs w:val="1"/>
          <w:color w:val="auto"/>
        </w:rPr>
        <w:t>Trust Indenture Act</w:t>
      </w:r>
      <w:r>
        <w:rPr>
          <w:rFonts w:ascii="Times New Roman" w:cs="Times New Roman" w:eastAsia="Times New Roman" w:hAnsi="Times New Roman"/>
          <w:sz w:val="14"/>
          <w:szCs w:val="14"/>
          <w:color w:val="auto"/>
        </w:rPr>
        <w:t>”), as amended, in a timely manner and containing such changes, if any, as shall be necessary for such qualification. In the event that such qualification would require the appointment of a new trustee under the Indenture, the Company and the Guarantors shall appoint a new trustee thereunder pursuant to the applicable provisions of the Indenture.</w:t>
      </w:r>
    </w:p>
    <w:p>
      <w:pPr>
        <w:spacing w:after="0" w:line="116" w:lineRule="exact"/>
        <w:rPr>
          <w:rFonts w:ascii="Times New Roman" w:cs="Times New Roman" w:eastAsia="Times New Roman" w:hAnsi="Times New Roman"/>
          <w:sz w:val="14"/>
          <w:szCs w:val="14"/>
          <w:color w:val="auto"/>
        </w:rPr>
      </w:pPr>
    </w:p>
    <w:p>
      <w:pPr>
        <w:ind w:firstLine="294"/>
        <w:spacing w:after="0" w:line="243" w:lineRule="auto"/>
        <w:tabs>
          <w:tab w:leader="none" w:pos="552"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may require each Holder of Securities to be sold pursuant to the Shelf Registration Statement to furnish to the Company and the Guarantors such information regarding the Holder and the distribution of the Securities as the Company and the Guarantors may from time to time reasonably require for inclusion in the Shelf Registration Statement, and the Company and the Guarantors may exclude from such registration the Securities of any Holder that fails to furnish such information within a reasonable time after receiving such request.</w:t>
      </w:r>
    </w:p>
    <w:p>
      <w:pPr>
        <w:spacing w:after="0" w:line="155" w:lineRule="exact"/>
        <w:rPr>
          <w:rFonts w:ascii="Times New Roman" w:cs="Times New Roman" w:eastAsia="Times New Roman" w:hAnsi="Times New Roman"/>
          <w:sz w:val="16"/>
          <w:szCs w:val="16"/>
          <w:color w:val="auto"/>
        </w:rPr>
      </w:pPr>
    </w:p>
    <w:p>
      <w:pPr>
        <w:ind w:right="320" w:firstLine="294"/>
        <w:spacing w:after="0" w:line="259" w:lineRule="auto"/>
        <w:tabs>
          <w:tab w:leader="none" w:pos="58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shall use their commercially reasonable efforts to take all other steps necessary to effect the registration of the Securities covered by a Registration Statement contemplated hereby.</w:t>
      </w:r>
    </w:p>
    <w:p>
      <w:pPr>
        <w:spacing w:after="0" w:line="139" w:lineRule="exact"/>
        <w:rPr>
          <w:rFonts w:ascii="Times New Roman" w:cs="Times New Roman" w:eastAsia="Times New Roman" w:hAnsi="Times New Roman"/>
          <w:sz w:val="16"/>
          <w:szCs w:val="16"/>
          <w:color w:val="auto"/>
        </w:rPr>
      </w:pPr>
    </w:p>
    <w:p>
      <w:pPr>
        <w:ind w:left="380" w:hanging="230"/>
        <w:spacing w:after="0"/>
        <w:tabs>
          <w:tab w:leader="none" w:pos="38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Registration Expenses</w:t>
      </w:r>
    </w:p>
    <w:p>
      <w:pPr>
        <w:spacing w:after="0" w:line="180" w:lineRule="exact"/>
        <w:rPr>
          <w:sz w:val="20"/>
          <w:szCs w:val="20"/>
          <w:color w:val="auto"/>
        </w:rPr>
      </w:pPr>
    </w:p>
    <w:p>
      <w:pPr>
        <w:ind w:right="420" w:firstLine="288"/>
        <w:spacing w:after="0" w:line="259" w:lineRule="auto"/>
        <w:rPr>
          <w:sz w:val="20"/>
          <w:szCs w:val="20"/>
          <w:color w:val="auto"/>
        </w:rPr>
      </w:pPr>
      <w:r>
        <w:rPr>
          <w:rFonts w:ascii="Times New Roman" w:cs="Times New Roman" w:eastAsia="Times New Roman" w:hAnsi="Times New Roman"/>
          <w:sz w:val="16"/>
          <w:szCs w:val="16"/>
          <w:color w:val="auto"/>
        </w:rPr>
        <w:t>The Company and the Guarantors shall bear all fees and expenses incurred in connection with the performance of their obligations under Sections 1 through 3 hereof.</w:t>
      </w:r>
    </w:p>
    <w:p>
      <w:pPr>
        <w:spacing w:after="0" w:line="139" w:lineRule="exact"/>
        <w:rPr>
          <w:sz w:val="20"/>
          <w:szCs w:val="20"/>
          <w:color w:val="auto"/>
        </w:rPr>
      </w:pPr>
    </w:p>
    <w:p>
      <w:pPr>
        <w:ind w:left="380" w:hanging="230"/>
        <w:spacing w:after="0"/>
        <w:tabs>
          <w:tab w:leader="none" w:pos="380"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Indemnification</w:t>
      </w:r>
    </w:p>
    <w:p>
      <w:pPr>
        <w:spacing w:after="0" w:line="180" w:lineRule="exact"/>
        <w:rPr>
          <w:rFonts w:ascii="Times New Roman" w:cs="Times New Roman" w:eastAsia="Times New Roman" w:hAnsi="Times New Roman"/>
          <w:sz w:val="16"/>
          <w:szCs w:val="16"/>
          <w:b w:val="1"/>
          <w:bCs w:val="1"/>
          <w:i w:val="1"/>
          <w:iCs w:val="1"/>
          <w:color w:val="auto"/>
        </w:rPr>
      </w:pPr>
    </w:p>
    <w:p>
      <w:pPr>
        <w:ind w:right="40" w:firstLine="294"/>
        <w:spacing w:after="0" w:line="259" w:lineRule="auto"/>
        <w:tabs>
          <w:tab w:leader="none" w:pos="578"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Guarantors agree to indemnify and hold harmless each Holder of the Securities, any Participating Broker-Dealer and each person, if any, who controls such Holder or such Participating Broker-Dealer</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7" w:right="660" w:bottom="195"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within the meaning of the Securities Act (each Holder, any Participating Broker-Dealer and such controlling persons are referred to collectively as the “</w:t>
      </w:r>
      <w:r>
        <w:rPr>
          <w:rFonts w:ascii="Times New Roman" w:cs="Times New Roman" w:eastAsia="Times New Roman" w:hAnsi="Times New Roman"/>
          <w:sz w:val="14"/>
          <w:szCs w:val="14"/>
          <w:b w:val="1"/>
          <w:bCs w:val="1"/>
          <w:color w:val="auto"/>
        </w:rPr>
        <w:t>Indemnified</w:t>
      </w:r>
    </w:p>
    <w:p>
      <w:pPr>
        <w:sectPr>
          <w:pgSz w:w="11900" w:h="16840" w:orient="portrait"/>
          <w:cols w:equalWidth="0" w:num="1">
            <w:col w:w="10580"/>
          </w:cols>
          <w:pgMar w:left="660" w:top="557" w:right="660" w:bottom="195" w:gutter="0" w:footer="0" w:header="0"/>
          <w:type w:val="continuous"/>
        </w:sectPr>
      </w:pPr>
    </w:p>
    <w:bookmarkStart w:id="12" w:name="page13"/>
    <w:bookmarkEnd w:id="12"/>
    <w:p>
      <w:pPr>
        <w:spacing w:after="0" w:line="272" w:lineRule="auto"/>
        <w:rPr>
          <w:sz w:val="20"/>
          <w:szCs w:val="20"/>
          <w:color w:val="auto"/>
        </w:rPr>
      </w:pP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from and against any loss, claim, damage or liability, joint or several, and any action in respect thereof, to which that Indemnified Party may become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preliminary prospectus or “</w:t>
      </w:r>
      <w:r>
        <w:rPr>
          <w:rFonts w:ascii="Times New Roman" w:cs="Times New Roman" w:eastAsia="Times New Roman" w:hAnsi="Times New Roman"/>
          <w:sz w:val="14"/>
          <w:szCs w:val="14"/>
          <w:b w:val="1"/>
          <w:bCs w:val="1"/>
          <w:color w:val="auto"/>
        </w:rPr>
        <w:t>issuer free writing prospectus,</w:t>
      </w:r>
      <w:r>
        <w:rPr>
          <w:rFonts w:ascii="Times New Roman" w:cs="Times New Roman" w:eastAsia="Times New Roman" w:hAnsi="Times New Roman"/>
          <w:sz w:val="14"/>
          <w:szCs w:val="14"/>
          <w:color w:val="auto"/>
        </w:rPr>
        <w:t>” as defined in Commission Rule 433 (“</w:t>
      </w:r>
      <w:r>
        <w:rPr>
          <w:rFonts w:ascii="Times New Roman" w:cs="Times New Roman" w:eastAsia="Times New Roman" w:hAnsi="Times New Roman"/>
          <w:sz w:val="14"/>
          <w:szCs w:val="14"/>
          <w:b w:val="1"/>
          <w:bCs w:val="1"/>
          <w:color w:val="auto"/>
        </w:rPr>
        <w:t>Issuer FWP</w:t>
      </w:r>
      <w:r>
        <w:rPr>
          <w:rFonts w:ascii="Times New Roman" w:cs="Times New Roman" w:eastAsia="Times New Roman" w:hAnsi="Times New Roman"/>
          <w:sz w:val="14"/>
          <w:szCs w:val="14"/>
          <w:color w:val="auto"/>
        </w:rPr>
        <w:t>”), or arises out of, or is based upon, the omission or alleged omission to state therein a material fact required to be stated therein or necessary to make the statements therein not misleading, and shall reimburse each Indemnified Party for any legal and other expenses reasonably incurred by that Holder, Participating Broker-Dealer or controlling person in investigating or defending or preparing to defend against any such loss, claim, damage, liability or action as such expenses are incurred (but no more frequently than annually); provided, however, that (i) the Company and the Guarantors shall not be liable in any such case to the extent that such loss, claim, damage or liability arises out of or is based upon any untrue statement or alleged untrue statement or omission or alleged omission made in a Registration Statement or prospectus or in any amendment or supplement thereto or in any preliminary prospectus or Issuer FWP in reliance upon and in conformity with written information furnished to the Company and the Guarantors by or on behalf of such Holder or Participating Broker-Dealer specifically for inclusion therein and (ii) with respect to any untrue statement or omission or alleged untrue statement or omission made in any preliminary prospectus relating to a Shelf Registration Statement, the indemnity agreement contained in this subsection (a) shall not inure to the benefit of any Holder or Participating Broker-Dealer from whom the person asserting any such losses, claims, damages or liabilities purchased the Securities concerned, to the extent that a prospectus relating to such Securities was required to be delivered (including through satisfaction of the conditions of Commission Rule 172) by such Holder or Participating Broker-Dealer under the Securities Act in connection with such purchase and any such loss, claim, damage or liability of such Holder or Participating Broker-Dealer results from the fact that there was not conveyed to such person, at or prior to the time of the sale of such Securities to such person, an amended or supplemented prospectus or, if permitted by Section 3(d), an Issuer FWP correcting such untrue statement or omission or alleged untrue statement or omission if the Company and the Guarantors had previously furnished copies thereof to such Holder or Participating Broker -Dealer; provided further, however, that this indemnity agreement will be in addition to any liability which the Company and the Guarantors may otherwise have to such Indemnified Party.</w:t>
      </w:r>
    </w:p>
    <w:p>
      <w:pPr>
        <w:spacing w:after="0" w:line="200" w:lineRule="exact"/>
        <w:rPr>
          <w:sz w:val="20"/>
          <w:szCs w:val="20"/>
          <w:color w:val="auto"/>
        </w:rPr>
      </w:pPr>
    </w:p>
    <w:p>
      <w:pPr>
        <w:spacing w:after="0" w:line="301" w:lineRule="exact"/>
        <w:rPr>
          <w:sz w:val="20"/>
          <w:szCs w:val="20"/>
          <w:color w:val="auto"/>
        </w:rPr>
      </w:pPr>
    </w:p>
    <w:p>
      <w:pPr>
        <w:ind w:right="40" w:firstLine="294"/>
        <w:spacing w:after="0" w:line="237" w:lineRule="auto"/>
        <w:tabs>
          <w:tab w:leader="none" w:pos="58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of the Securities and each Participating Broker-Dealer, severally and not jointly, will indemnify and hold harmless the Company and the Guarantors, their respective directors, each of their respective officers who signed the applicable Registration Statement and any person who controls the Company or any Guarantor within the meaning of the Securities Act or the Exchange Act from and against any loss, claim, damage or liability, joint or several, and any action in respect thereof, to which the Company and the Guarantors, or any such director, officer or controlling person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Issuer FWP, or arises out of, or is based upon, the omission or alleged omission to state therein a material fact required to be stated therein or necessary to make the statements therein not misleading, and shall reimburse the Company and the Guarantors for any legal and other expenses reasonably incurred by the Company and the Guarantors, or any such director, officer or controlling person in investigating or defending or preparing to defend against any such loss, claim, damage, liability or action as such expenses are incurred (but no more frequently than annually), but in each case only to the extent that the untrue statement or alleged untrue statement or omission or alleged omission was made in reliance upon and in conformity with information furnished in writing to the Company and the Guarantors by such Holder or Participating Broker-Dealer specifically for inclusion therein. This indemnity agreement will be in addition to any liability which such Holder may otherwise have to the Company and the Guarantors or any of their respective directors, officers or controlling persons.</w:t>
      </w:r>
    </w:p>
    <w:p>
      <w:pPr>
        <w:spacing w:after="0" w:line="158" w:lineRule="exact"/>
        <w:rPr>
          <w:rFonts w:ascii="Times New Roman" w:cs="Times New Roman" w:eastAsia="Times New Roman" w:hAnsi="Times New Roman"/>
          <w:sz w:val="16"/>
          <w:szCs w:val="16"/>
          <w:color w:val="auto"/>
        </w:rPr>
      </w:pPr>
    </w:p>
    <w:p>
      <w:pPr>
        <w:ind w:right="60" w:firstLine="294"/>
        <w:spacing w:after="0" w:line="280" w:lineRule="auto"/>
        <w:tabs>
          <w:tab w:leader="none" w:pos="57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receipt by an indemnified party under this Section 5 of notice of any claim or the commencement of any action, the indemnified party shall, if a claim in respect thereof is to be made against the indemnifying party under this Paragraph 5, notify the indemnifying party in writing of the claim or the commencement of that action, provided that the failure to notify the indemnifying party shall not relieve it from any liability which it may have to an indemnified party under Section 5(a) or 5(b) except to the extent that it has been materially prejudiced (through the forfeiture of substantive rights or defenses) by such failure; and provided, further, that the failure to notify the indemnifying party shall not relieve it from any liability which it may have to an indemnified party otherwise than under Section 5(a) or 5(b). If any such claim or action shall be brought against an indemnified party, and it shall notify the indemnifying party thereof, the indemnifying party shall be entitled to</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5 for any legal or other expenses subsequently incurred by the indemnified party in connection with the defense thereof other than reasonable costs of investigation. If the indemnifying party shall not elect to assume the defense of such action, such indemnifying party will reimburse such indemnified party for the reasonable fees and expenses of any counsel retained by them. In the event that the parties to any such action (including impleaded parties) include both the Company and the Guarantors and one or more Holders or Participating Broker-Dealers and either (i) the indemnifying party or parties and indemnified party or parties mutually agree or (ii) representation of both the indemnifying party or parties and the indemnified party or parties by the same counsel is inappropriate under applicable standards of professional conduct or in the opinion of such counsel due to actual or potential differing interests between them, then the indemnifying party shall not have the right to assume the defense of such action on behalf of such indemnified party and will reimburse such indemnified party for the reasonable fees and expenses of any counsel retained by them and satisfactory to the indemnifying party, it being understood that the indemnifying party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Joint-Lead Dealer Managers (as defined in the Offering Memorandum) in the case of an action in which one or more Holders, Participating Broker- Dealers or controlling persons are indemnified parties and by the Company and the Guarantors in the case of an action in which the Company and the Guarantors or any of their respective directors, officers or controlling persons are indemnified parties. The indemnifying party or parties shall not be liable under this Agreement with respect to any settlement made by any indemnified party or parties without prior written consent by the indemnifying party or parties to such settlement.</w:t>
      </w:r>
    </w:p>
    <w:p>
      <w:pPr>
        <w:spacing w:after="0" w:line="324" w:lineRule="exact"/>
        <w:rPr>
          <w:sz w:val="20"/>
          <w:szCs w:val="20"/>
          <w:color w:val="auto"/>
        </w:rPr>
      </w:pPr>
    </w:p>
    <w:p>
      <w:pPr>
        <w:ind w:right="60" w:firstLine="294"/>
        <w:spacing w:after="0" w:line="236" w:lineRule="auto"/>
        <w:tabs>
          <w:tab w:leader="none" w:pos="5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indemnification provided for in this Section 5 shall for any reason be unavailable to an indemnified party under Section 5(a) or 5(b) hereof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in such proportion as is appropriate to reflect the relative benefits received by the Company and the Guarantors on the one hand and the Holders or Participating Broker-Dealers on the other hand from the exchange of the Securities, pursuant to the Registered Exchange Offer. If, however, this allocation is not permitted by applicable law, then each indemnifying party shall contribute to the amount paid or payable by such indemnified party as a result of such loss, claim, damage or liability, or action in respect thereof, in such proportion as shall be appropriate to reflect the relative benefits received by the Company and the Guarantors on the one hand and the Holders or Participating Broker-Dealers on the other hand from the exchange of the Securities, pursuant to the Registered Exchange Offer, and the relative fault of the Company and the Guarantors on the one hand and the Holders or Participating Broker-Dealers on the other hand with respect to the statements or omissions which resulted in such loss, claim, damage or liability, or action in respect thereof, as well as any other relevant equitable considerations. The relative fault shall be determined by reference to whether the untrue or alleged untrue statement of a material fact or omission or alleged omission to state a material fact relates to information supplied by the Company and the Guarantors or the Holders or Participating Broker-Dealers, the intent of the parties and their relative knowledge, access to information and opportunity to correct or prevent such statement or omission. The amount paid or payable by an indemnified party as a result of the loss, claim, damage or liability, or action in respect thereof, referred to above in this Section 5(d) shall be deemed to include, for purposes of this Section 5(d), any legal or other expenses reasonably incurred by such indemnified party in connection with investigating or defending any such action or claim. Notwithstanding the provisions of this Paragraph 9(d), no Holder of Securities or Participating Broker-Dealer shall be required to contribute any amount in excess of the amount by which the net proceeds received by such Holders or Participating Broker-Dealer from the sale of the Securities pursuant to a Registration Statement exceeds the amount of damages which such Holders or Participating Broker-Dealer have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62" w:lineRule="exact"/>
        <w:rPr>
          <w:rFonts w:ascii="Times New Roman" w:cs="Times New Roman" w:eastAsia="Times New Roman" w:hAnsi="Times New Roman"/>
          <w:sz w:val="16"/>
          <w:szCs w:val="16"/>
          <w:color w:val="auto"/>
        </w:rPr>
      </w:pPr>
    </w:p>
    <w:p>
      <w:pPr>
        <w:ind w:right="80" w:firstLine="294"/>
        <w:spacing w:after="0" w:line="259" w:lineRule="auto"/>
        <w:tabs>
          <w:tab w:leader="none" w:pos="57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agreements contained in this Section 5 shall survive the sale of the Securities pursuant to a Registration Statement and shall remain in full force and effect, regardless of any termination or cancellation of this Agreement or any investigation made by or on behalf of any indemnified party.</w:t>
      </w:r>
    </w:p>
    <w:p>
      <w:pPr>
        <w:sectPr>
          <w:pgSz w:w="11900" w:h="16840" w:orient="portrait"/>
          <w:cols w:equalWidth="0" w:num="1">
            <w:col w:w="10600"/>
          </w:cols>
          <w:pgMar w:left="660" w:top="555" w:right="640" w:bottom="14" w:gutter="0" w:footer="0" w:header="0"/>
        </w:sect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p>
    <w:p>
      <w:pPr>
        <w:sectPr>
          <w:pgSz w:w="11900" w:h="16840" w:orient="portrait"/>
          <w:cols w:equalWidth="0" w:num="1">
            <w:col w:w="10600"/>
          </w:cols>
          <w:pgMar w:left="660" w:top="555" w:right="640" w:bottom="14" w:gutter="0" w:footer="0" w:header="0"/>
          <w:type w:val="continuous"/>
        </w:sectPr>
      </w:pPr>
    </w:p>
    <w:bookmarkStart w:id="13" w:name="page14"/>
    <w:bookmarkEnd w:id="13"/>
    <w:p>
      <w:pPr>
        <w:ind w:left="380" w:hanging="230"/>
        <w:spacing w:after="0"/>
        <w:tabs>
          <w:tab w:leader="none" w:pos="380"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7620"/>
                    </a:xfrm>
                    <a:prstGeom prst="rect">
                      <a:avLst/>
                    </a:prstGeom>
                    <a:noFill/>
                  </pic:spPr>
                </pic:pic>
              </a:graphicData>
            </a:graphic>
          </wp:anchor>
        </w:drawing>
        <w:t>Additional Interest Under Certain Circumstances</w:t>
      </w:r>
    </w:p>
    <w:p>
      <w:pPr>
        <w:spacing w:after="0" w:line="178" w:lineRule="exact"/>
        <w:rPr>
          <w:rFonts w:ascii="Times New Roman" w:cs="Times New Roman" w:eastAsia="Times New Roman" w:hAnsi="Times New Roman"/>
          <w:sz w:val="16"/>
          <w:szCs w:val="16"/>
          <w:b w:val="1"/>
          <w:bCs w:val="1"/>
          <w:i w:val="1"/>
          <w:iCs w:val="1"/>
          <w:color w:val="auto"/>
        </w:rPr>
      </w:pPr>
    </w:p>
    <w:p>
      <w:pPr>
        <w:ind w:right="80" w:firstLine="294"/>
        <w:spacing w:after="0" w:line="262" w:lineRule="auto"/>
        <w:tabs>
          <w:tab w:leader="none" w:pos="578"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interest (the “</w:t>
      </w:r>
      <w:r>
        <w:rPr>
          <w:rFonts w:ascii="Times New Roman" w:cs="Times New Roman" w:eastAsia="Times New Roman" w:hAnsi="Times New Roman"/>
          <w:sz w:val="16"/>
          <w:szCs w:val="16"/>
          <w:b w:val="1"/>
          <w:bCs w:val="1"/>
          <w:color w:val="auto"/>
        </w:rPr>
        <w:t>Additional Interest</w:t>
      </w:r>
      <w:r>
        <w:rPr>
          <w:rFonts w:ascii="Times New Roman" w:cs="Times New Roman" w:eastAsia="Times New Roman" w:hAnsi="Times New Roman"/>
          <w:sz w:val="16"/>
          <w:szCs w:val="16"/>
          <w:color w:val="auto"/>
        </w:rPr>
        <w:t>”) with respect to the Initial Securities shall be assessed as follows if any of the following events occur (each such event in clauses (i) through (iv) below a “</w:t>
      </w:r>
      <w:r>
        <w:rPr>
          <w:rFonts w:ascii="Times New Roman" w:cs="Times New Roman" w:eastAsia="Times New Roman" w:hAnsi="Times New Roman"/>
          <w:sz w:val="16"/>
          <w:szCs w:val="16"/>
          <w:b w:val="1"/>
          <w:bCs w:val="1"/>
          <w:color w:val="auto"/>
        </w:rPr>
        <w:t>Registration Default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560" w:hanging="266"/>
        <w:spacing w:after="0"/>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Exchange Offer Registration Statement is not declared effective by the Commission on or prior to the 330th day after the Issue Date;</w:t>
      </w:r>
    </w:p>
    <w:p>
      <w:pPr>
        <w:spacing w:after="0" w:line="176" w:lineRule="exact"/>
        <w:rPr>
          <w:rFonts w:ascii="Times New Roman" w:cs="Times New Roman" w:eastAsia="Times New Roman" w:hAnsi="Times New Roman"/>
          <w:sz w:val="16"/>
          <w:szCs w:val="16"/>
          <w:color w:val="auto"/>
        </w:rPr>
      </w:pPr>
    </w:p>
    <w:p>
      <w:pPr>
        <w:ind w:right="120" w:firstLine="294"/>
        <w:spacing w:after="0" w:line="331" w:lineRule="auto"/>
        <w:tabs>
          <w:tab w:leader="none" w:pos="59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neither the Registered Exchange Offer is consummated within 360 days after the Issue Date nor, if required in lieu thereof, the Shelf Registration Statement has become effective within 270 days after the date, if any, on which the Company and the Guarantors became obligated to file the Shelf Registration Statement;</w:t>
      </w:r>
    </w:p>
    <w:p>
      <w:pPr>
        <w:spacing w:after="0" w:line="96" w:lineRule="exact"/>
        <w:rPr>
          <w:rFonts w:ascii="Times New Roman" w:cs="Times New Roman" w:eastAsia="Times New Roman" w:hAnsi="Times New Roman"/>
          <w:sz w:val="14"/>
          <w:szCs w:val="14"/>
          <w:color w:val="auto"/>
        </w:rPr>
      </w:pPr>
    </w:p>
    <w:p>
      <w:pPr>
        <w:ind w:right="420" w:firstLine="294"/>
        <w:spacing w:after="0" w:line="247" w:lineRule="auto"/>
        <w:tabs>
          <w:tab w:leader="none" w:pos="63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the Exchange Offer Registration Statement is declared effective such Registration Statement thereafter ceases to be effective or usable (except as permitted in paragraph (b) in connection with resales of Transfer Restricted Securities) prior to the consummation of the Registered Exchange Offer (unless such ineffectiveness is cured within the 330-day period described in Section 6(a)(i) above); or</w:t>
      </w:r>
    </w:p>
    <w:p>
      <w:pPr>
        <w:spacing w:after="0" w:line="152" w:lineRule="exact"/>
        <w:rPr>
          <w:rFonts w:ascii="Times New Roman" w:cs="Times New Roman" w:eastAsia="Times New Roman" w:hAnsi="Times New Roman"/>
          <w:sz w:val="16"/>
          <w:szCs w:val="16"/>
          <w:color w:val="auto"/>
        </w:rPr>
      </w:pPr>
    </w:p>
    <w:p>
      <w:pPr>
        <w:ind w:firstLine="294"/>
        <w:spacing w:after="0" w:line="238" w:lineRule="auto"/>
        <w:tabs>
          <w:tab w:leader="none" w:pos="63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the Shelf Registration Statement, if applicable, is declared (or becomes automatically) effective, and for a period time that exceeds 180 days in the aggregate in any 12-month period in which the Registration Statement is required to be effective (A) such Registration Statement thereafter ceases to be effective during the period required herein; or (B) such Registration Statement or the related prospectus ceases to be usable (except as permitted in paragraph (b)) in connection with resales of Transfer Restricted Securities during the periods specified herein because either (1) any event occurs as a result of which the related prospectus forming part of such Registration Statement would include any untrue statement of a material fact or omit to state any material fact necessary to make the statements therein in the light of the circumstances under which they were made not misleading, (2) it shall be necessary to amend such Registration Statement or supplement the related prospectus, to comply with the Securities Act or the Exchange Act or the respective rules thereunder, or (3) the Registration Statement has expired before a replacement Shelf Registration Statement has become effective.</w:t>
      </w:r>
    </w:p>
    <w:p>
      <w:pPr>
        <w:spacing w:after="0" w:line="161" w:lineRule="exact"/>
        <w:rPr>
          <w:sz w:val="20"/>
          <w:szCs w:val="20"/>
          <w:color w:val="auto"/>
        </w:rPr>
      </w:pPr>
    </w:p>
    <w:p>
      <w:pPr>
        <w:ind w:right="200" w:firstLine="288"/>
        <w:spacing w:after="0" w:line="247" w:lineRule="auto"/>
        <w:rPr>
          <w:sz w:val="20"/>
          <w:szCs w:val="20"/>
          <w:color w:val="auto"/>
        </w:rPr>
      </w:pPr>
      <w:r>
        <w:rPr>
          <w:rFonts w:ascii="Times New Roman" w:cs="Times New Roman" w:eastAsia="Times New Roman" w:hAnsi="Times New Roman"/>
          <w:sz w:val="16"/>
          <w:szCs w:val="16"/>
          <w:color w:val="auto"/>
        </w:rPr>
        <w:t>Additional Interest shall accrue on the Initial Securities over and above the interest set forth in the title of the Securities from and including the date on which any such Registration Default shall occur to but excluding the date on which all such Registration Defaults have been cured. Additional Interest shall accrue at a rate of 0.25% per annum while any Registration Default is continuing, until all Registration Defaults have been cured.</w:t>
      </w:r>
    </w:p>
    <w:p>
      <w:pPr>
        <w:spacing w:after="0" w:line="152" w:lineRule="exact"/>
        <w:rPr>
          <w:sz w:val="20"/>
          <w:szCs w:val="20"/>
          <w:color w:val="auto"/>
        </w:rPr>
      </w:pPr>
    </w:p>
    <w:p>
      <w:pPr>
        <w:ind w:right="40" w:firstLine="288"/>
        <w:spacing w:after="0" w:line="241" w:lineRule="auto"/>
        <w:rPr>
          <w:sz w:val="20"/>
          <w:szCs w:val="20"/>
          <w:color w:val="auto"/>
        </w:rPr>
      </w:pPr>
      <w:r>
        <w:rPr>
          <w:rFonts w:ascii="Times New Roman" w:cs="Times New Roman" w:eastAsia="Times New Roman" w:hAnsi="Times New Roman"/>
          <w:sz w:val="16"/>
          <w:szCs w:val="16"/>
          <w:color w:val="auto"/>
        </w:rPr>
        <w:t>Following the cure of all Registration Defaults, the accrual of Additional Interest on the Initial Securities will cease, and the interest rate will revert to the applicable original rate set forth in the title of the Securities. In no event shall the Company and the Guarantors be obligated to pay Additional Interest (i) for more than one Registration Default under this Section 6(a) at any one time, (ii) for a period of more than one year (or for such longer period as extended pursuant to Section 3(f)) from the Issue Date for any Registration Default referred to in Section 6(a)(iv)(B) with respect to a Registration Statement or (iii) on any Securities that, at the time of such Registration Default, are not Transfer Restricted Securities.</w:t>
      </w:r>
    </w:p>
    <w:p>
      <w:pPr>
        <w:spacing w:after="0" w:line="157" w:lineRule="exact"/>
        <w:rPr>
          <w:sz w:val="20"/>
          <w:szCs w:val="20"/>
          <w:color w:val="auto"/>
        </w:rPr>
      </w:pPr>
    </w:p>
    <w:p>
      <w:pPr>
        <w:ind w:right="60" w:firstLine="294"/>
        <w:spacing w:after="0" w:line="238" w:lineRule="auto"/>
        <w:tabs>
          <w:tab w:leader="none" w:pos="58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Registration Default referred to in Section 6(a)(iii) or Section 6(a)(iv)(B) hereof shall be deemed not to have occurred and be continuing in relation to a Registration Statement or the related prospectus if (i) such Registration Default has occurred solely as a result of (x) the filing of a post-effective amendment to such Registration Statement to incorporate annual audited financial information with respect to the Company and the Guarantors where such post-effective amendment is not yet effective and needs to be declared effective to permit Holders to use the related prospectus or (y) other material events with respect to the Company and the Guarantors that would need to be described in such Registration Statement or the related prospectus and (ii) in the case of clause (y), the Company and the Guarantors are proceeding promptly and in good faith to amend or supplement such Registration Statement and related prospectus to describe such events; provided, however, that in any case if such Registration Default occurs for a continuous period in excess of 30 days, Additional Interest shall be payable in accordance with the above paragraph from the day such Registration Default occurs until such Registration Default is cured.</w:t>
      </w:r>
    </w:p>
    <w:p>
      <w:pPr>
        <w:spacing w:after="0" w:line="160" w:lineRule="exact"/>
        <w:rPr>
          <w:rFonts w:ascii="Times New Roman" w:cs="Times New Roman" w:eastAsia="Times New Roman" w:hAnsi="Times New Roman"/>
          <w:sz w:val="16"/>
          <w:szCs w:val="16"/>
          <w:color w:val="auto"/>
        </w:rPr>
      </w:pPr>
    </w:p>
    <w:p>
      <w:pPr>
        <w:ind w:right="200" w:firstLine="294"/>
        <w:spacing w:after="0" w:line="247" w:lineRule="auto"/>
        <w:tabs>
          <w:tab w:leader="none" w:pos="57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amounts of Additional Interest due pursuant to clause (i), (ii), (iii) or (iv) of Section 6(a) above will be payable in cash on the regular interest payment dates with respect to the Initial Securities. The amount of Additional Interest will be determined by multiplying the applicable Additional Interest rate by the principal amount of the</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Initial Securities,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143" w:lineRule="exact"/>
        <w:rPr>
          <w:sz w:val="20"/>
          <w:szCs w:val="20"/>
          <w:color w:val="auto"/>
        </w:rPr>
      </w:pPr>
    </w:p>
    <w:p>
      <w:pPr>
        <w:ind w:right="440" w:firstLine="288"/>
        <w:spacing w:after="0" w:line="259" w:lineRule="auto"/>
        <w:rPr>
          <w:sz w:val="20"/>
          <w:szCs w:val="20"/>
          <w:color w:val="auto"/>
        </w:rPr>
      </w:pPr>
      <w:r>
        <w:rPr>
          <w:rFonts w:ascii="Times New Roman" w:cs="Times New Roman" w:eastAsia="Times New Roman" w:hAnsi="Times New Roman"/>
          <w:sz w:val="16"/>
          <w:szCs w:val="16"/>
          <w:color w:val="auto"/>
        </w:rPr>
        <w:t>Any amounts of Additional Interest due pursuant to clause (i), (ii), (iii) or (iv) of section 6(a) above will constitute liquated damages and will be the exclusive remedy, monetary or otherwise, available to any Holder with respect to any Registration Default.</w:t>
      </w:r>
    </w:p>
    <w:p>
      <w:pPr>
        <w:spacing w:after="0" w:line="141" w:lineRule="exact"/>
        <w:rPr>
          <w:sz w:val="20"/>
          <w:szCs w:val="20"/>
          <w:color w:val="auto"/>
        </w:rPr>
      </w:pPr>
    </w:p>
    <w:p>
      <w:pPr>
        <w:ind w:right="20" w:firstLine="294"/>
        <w:spacing w:after="0" w:line="279" w:lineRule="auto"/>
        <w:tabs>
          <w:tab w:leader="none" w:pos="587"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Restricted Securities</w:t>
      </w:r>
      <w:r>
        <w:rPr>
          <w:rFonts w:ascii="Times New Roman" w:cs="Times New Roman" w:eastAsia="Times New Roman" w:hAnsi="Times New Roman"/>
          <w:sz w:val="14"/>
          <w:szCs w:val="14"/>
          <w:color w:val="auto"/>
        </w:rPr>
        <w:t>” means each Security until (i) the date on which such Transfer Restricted Security has been exchanged by a person other than a broker-dealer for a freely transferable Exchange Security in the Registered Exchange Offer, (ii) following the exchange by a broker-dealer in the Registered Exchange Offer of an Initial Security for an Exchange Security, the date on which such Exchange Security is sold to a purchaser who receives from such broker-dealer on or prior to the date of such sale a copy of the prospectus contained in the Exchange Offer Registration Statement, (iii) the date on which such Initial Security has been effectively registered under the Securities Act and disposed of in accordance with the Shelf Registration Statement, (iv) the date on which such Initial Security is distributed to the public pursuant to Rule 144 under the Securities Act or (v) the earliest date that is no less than two years after the Issue Date on which such Security (except for Securities held by an affiliate of the Company or any Guarantor) may be resold in reliance on paragraph (b)(1) of Rule 144 under the Securities Act.</w:t>
      </w:r>
    </w:p>
    <w:p>
      <w:pPr>
        <w:spacing w:after="0" w:line="128" w:lineRule="exact"/>
        <w:rPr>
          <w:rFonts w:ascii="Times New Roman" w:cs="Times New Roman" w:eastAsia="Times New Roman" w:hAnsi="Times New Roman"/>
          <w:sz w:val="14"/>
          <w:szCs w:val="14"/>
          <w:color w:val="auto"/>
        </w:rPr>
      </w:pPr>
    </w:p>
    <w:p>
      <w:pPr>
        <w:ind w:left="380" w:hanging="230"/>
        <w:spacing w:after="0"/>
        <w:tabs>
          <w:tab w:leader="none" w:pos="380" w:val="left"/>
        </w:tabs>
        <w:numPr>
          <w:ilvl w:val="0"/>
          <w:numId w:val="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Rules 144 and 144A</w:t>
      </w:r>
    </w:p>
    <w:p>
      <w:pPr>
        <w:spacing w:after="0" w:line="180" w:lineRule="exact"/>
        <w:rPr>
          <w:sz w:val="20"/>
          <w:szCs w:val="20"/>
          <w:color w:val="auto"/>
        </w:rPr>
      </w:pPr>
    </w:p>
    <w:p>
      <w:pPr>
        <w:ind w:firstLine="288"/>
        <w:spacing w:after="0" w:line="238" w:lineRule="auto"/>
        <w:rPr>
          <w:sz w:val="20"/>
          <w:szCs w:val="20"/>
          <w:color w:val="auto"/>
        </w:rPr>
      </w:pPr>
      <w:r>
        <w:rPr>
          <w:rFonts w:ascii="Times New Roman" w:cs="Times New Roman" w:eastAsia="Times New Roman" w:hAnsi="Times New Roman"/>
          <w:sz w:val="16"/>
          <w:szCs w:val="16"/>
          <w:color w:val="auto"/>
        </w:rPr>
        <w:t>The Company and the Guarantors shall, to the extent they are required to do so under the Exchange Act, use their commercially reasonable efforts to file the reports required to be filed by them under the Exchange Act in a timely manner and, if at any time the Company and the Guarantors are not required to file such reports, they will, upon the request of any Holder of Initial Securities, use their commercially reasonable efforts to make publicly available other information so long as necessary to permit sales of their securities pursuant to Rules 144 and 144A. The Company and the Guarantors covenant that they will take such further action as any Holder of Initial Securities may reasonably request, all to the extent required from time to time to enable such Holder to sell Initial Securities without registration under the Securities Act within the limitation of the exemptions provided by Rules 144 and 144A (including the requirements of Rule 144A(d)(4)). Upon the request of any Holder of Initial Securities, the Company and the Guarantors shall deliver to such Holder a written statement as to whether they have complied with such requirements. Notwithstanding the foregoing, nothing in this Section 7 shall be deemed to require the Company and the Guarantors to register any of their respective securities pursuant to the Exchange Act.</w:t>
      </w:r>
    </w:p>
    <w:p>
      <w:pPr>
        <w:spacing w:after="0" w:line="154" w:lineRule="exact"/>
        <w:rPr>
          <w:sz w:val="20"/>
          <w:szCs w:val="20"/>
          <w:color w:val="auto"/>
        </w:rPr>
      </w:pPr>
    </w:p>
    <w:p>
      <w:pPr>
        <w:ind w:left="380" w:hanging="230"/>
        <w:spacing w:after="0"/>
        <w:tabs>
          <w:tab w:leader="none" w:pos="380" w:val="left"/>
        </w:tabs>
        <w:numPr>
          <w:ilvl w:val="0"/>
          <w:numId w:val="3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Miscellaneous</w:t>
      </w:r>
    </w:p>
    <w:p>
      <w:pPr>
        <w:spacing w:after="0" w:line="178" w:lineRule="exact"/>
        <w:rPr>
          <w:rFonts w:ascii="Times New Roman" w:cs="Times New Roman" w:eastAsia="Times New Roman" w:hAnsi="Times New Roman"/>
          <w:sz w:val="16"/>
          <w:szCs w:val="16"/>
          <w:b w:val="1"/>
          <w:bCs w:val="1"/>
          <w:i w:val="1"/>
          <w:iCs w:val="1"/>
          <w:color w:val="auto"/>
        </w:rPr>
      </w:pPr>
    </w:p>
    <w:p>
      <w:pPr>
        <w:ind w:right="100" w:firstLine="294"/>
        <w:spacing w:after="0" w:line="241" w:lineRule="auto"/>
        <w:tabs>
          <w:tab w:leader="none" w:pos="576"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Amendments and Waivers</w:t>
      </w:r>
      <w:r>
        <w:rPr>
          <w:rFonts w:ascii="Times New Roman" w:cs="Times New Roman" w:eastAsia="Times New Roman" w:hAnsi="Times New Roman"/>
          <w:sz w:val="16"/>
          <w:szCs w:val="16"/>
          <w:color w:val="auto"/>
        </w:rPr>
        <w:t>. The provisions of this Agreement may not be amended, modified or supplemented, and waivers or consents to departures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hereof may not be given, except by the Company and the Guarantors and the written consent of the Majority Holders of the Securities affected by such amendment, modification, supplement, waiver or consents. As used herein, “</w:t>
      </w:r>
      <w:r>
        <w:rPr>
          <w:rFonts w:ascii="Times New Roman" w:cs="Times New Roman" w:eastAsia="Times New Roman" w:hAnsi="Times New Roman"/>
          <w:sz w:val="16"/>
          <w:szCs w:val="16"/>
          <w:b w:val="1"/>
          <w:bCs w:val="1"/>
          <w:color w:val="auto"/>
        </w:rPr>
        <w:t>Majority Holders</w:t>
      </w:r>
      <w:r>
        <w:rPr>
          <w:rFonts w:ascii="Times New Roman" w:cs="Times New Roman" w:eastAsia="Times New Roman" w:hAnsi="Times New Roman"/>
          <w:sz w:val="16"/>
          <w:szCs w:val="16"/>
          <w:color w:val="auto"/>
        </w:rPr>
        <w:t>” means, as of any date, Holders of a majority of the aggregate principal amount of such Securities; provided that any Securities owned directly or indirectly by the Company and the Guarantors or any of their respective affiliates shall not be counted in determining whether the consent by the Holders was given.</w:t>
      </w:r>
    </w:p>
    <w:p>
      <w:pPr>
        <w:spacing w:after="0" w:line="156" w:lineRule="exact"/>
        <w:rPr>
          <w:rFonts w:ascii="Times New Roman" w:cs="Times New Roman" w:eastAsia="Times New Roman" w:hAnsi="Times New Roman"/>
          <w:sz w:val="16"/>
          <w:szCs w:val="16"/>
          <w:color w:val="auto"/>
        </w:rPr>
      </w:pPr>
    </w:p>
    <w:p>
      <w:pPr>
        <w:ind w:left="600" w:hanging="306"/>
        <w:spacing w:after="0"/>
        <w:tabs>
          <w:tab w:leader="none" w:pos="60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All notices and other communications provided for or permitted hereunder shall be made in writing by hand delivery, first-class mail, facsimile</w:t>
      </w:r>
    </w:p>
    <w:p>
      <w:pPr>
        <w:sectPr>
          <w:pgSz w:w="11900" w:h="16840" w:orient="portrait"/>
          <w:cols w:equalWidth="0" w:num="1">
            <w:col w:w="10580"/>
          </w:cols>
          <w:pgMar w:left="660" w:top="937" w:right="660" w:bottom="88"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transmission, email, or air courier which guarantees overnight delivery:</w:t>
      </w:r>
    </w:p>
    <w:p>
      <w:pPr>
        <w:spacing w:after="0" w:line="176" w:lineRule="exact"/>
        <w:rPr>
          <w:sz w:val="20"/>
          <w:szCs w:val="20"/>
          <w:color w:val="auto"/>
        </w:rPr>
      </w:pPr>
    </w:p>
    <w:p>
      <w:pPr>
        <w:ind w:left="600" w:hanging="306"/>
        <w:spacing w:after="0"/>
        <w:tabs>
          <w:tab w:leader="none" w:pos="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 Holder of the Securities, at the most current address given by such Holder to the Company and the Guarantors.</w:t>
      </w:r>
    </w:p>
    <w:p>
      <w:pPr>
        <w:spacing w:after="0" w:line="176" w:lineRule="exact"/>
        <w:rPr>
          <w:rFonts w:ascii="Times New Roman" w:cs="Times New Roman" w:eastAsia="Times New Roman" w:hAnsi="Times New Roman"/>
          <w:sz w:val="16"/>
          <w:szCs w:val="16"/>
          <w:color w:val="auto"/>
        </w:rPr>
      </w:pPr>
    </w:p>
    <w:p>
      <w:pPr>
        <w:ind w:left="600" w:hanging="306"/>
        <w:spacing w:after="0"/>
        <w:tabs>
          <w:tab w:leader="none" w:pos="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Dealer Managers: to the addresses listed on Schedule I</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with a copy to:</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Cahill Gordon &amp; Reindel LLP</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32 Old Slip</w:t>
      </w:r>
    </w:p>
    <w:p>
      <w:pPr>
        <w:ind w:left="580"/>
        <w:spacing w:after="0" w:line="234" w:lineRule="auto"/>
        <w:rPr>
          <w:sz w:val="20"/>
          <w:szCs w:val="20"/>
          <w:color w:val="auto"/>
        </w:rPr>
      </w:pPr>
      <w:r>
        <w:rPr>
          <w:rFonts w:ascii="Times New Roman" w:cs="Times New Roman" w:eastAsia="Times New Roman" w:hAnsi="Times New Roman"/>
          <w:sz w:val="16"/>
          <w:szCs w:val="16"/>
          <w:color w:val="auto"/>
        </w:rPr>
        <w:t>New York, New York 10005</w:t>
      </w:r>
    </w:p>
    <w:p>
      <w:pPr>
        <w:ind w:left="580"/>
        <w:spacing w:after="0" w:line="235" w:lineRule="auto"/>
        <w:rPr>
          <w:sz w:val="20"/>
          <w:szCs w:val="20"/>
          <w:color w:val="auto"/>
        </w:rPr>
      </w:pPr>
      <w:r>
        <w:rPr>
          <w:rFonts w:ascii="Times New Roman" w:cs="Times New Roman" w:eastAsia="Times New Roman" w:hAnsi="Times New Roman"/>
          <w:sz w:val="16"/>
          <w:szCs w:val="16"/>
          <w:color w:val="auto"/>
        </w:rPr>
        <w:t>Facsimile number: (212) 269-5420</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Attention: Michael Reddy, Esq.</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ind w:left="580" w:right="6000" w:hanging="286"/>
        <w:spacing w:after="0" w:line="469" w:lineRule="auto"/>
        <w:tabs>
          <w:tab w:leader="none" w:pos="59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and the Guarantors, at the following address: Comcast Corporation</w:t>
      </w:r>
    </w:p>
    <w:p>
      <w:pPr>
        <w:spacing w:after="0" w:line="1" w:lineRule="exact"/>
        <w:rPr>
          <w:rFonts w:ascii="Times New Roman" w:cs="Times New Roman" w:eastAsia="Times New Roman" w:hAnsi="Times New Roman"/>
          <w:sz w:val="16"/>
          <w:szCs w:val="16"/>
          <w:color w:val="auto"/>
        </w:rPr>
      </w:pPr>
    </w:p>
    <w:p>
      <w:pPr>
        <w:ind w:left="580" w:right="7800"/>
        <w:spacing w:after="0" w:line="27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One Comcast Center Philadelphia, Pennsylvania 19103 Facsimile number: (215) 286-7744</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Elizabeth Wideman and James McCue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with a copy to:</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450 Lexington Avenue</w:t>
      </w:r>
    </w:p>
    <w:p>
      <w:pPr>
        <w:ind w:left="580"/>
        <w:spacing w:after="0" w:line="234" w:lineRule="auto"/>
        <w:rPr>
          <w:sz w:val="20"/>
          <w:szCs w:val="20"/>
          <w:color w:val="auto"/>
        </w:rPr>
      </w:pPr>
      <w:r>
        <w:rPr>
          <w:rFonts w:ascii="Times New Roman" w:cs="Times New Roman" w:eastAsia="Times New Roman" w:hAnsi="Times New Roman"/>
          <w:sz w:val="16"/>
          <w:szCs w:val="16"/>
          <w:color w:val="auto"/>
        </w:rPr>
        <w:t>New York, New York 10017</w:t>
      </w:r>
    </w:p>
    <w:p>
      <w:pPr>
        <w:ind w:left="580"/>
        <w:spacing w:after="0" w:line="235" w:lineRule="auto"/>
        <w:rPr>
          <w:sz w:val="20"/>
          <w:szCs w:val="20"/>
          <w:color w:val="auto"/>
        </w:rPr>
      </w:pPr>
      <w:r>
        <w:rPr>
          <w:rFonts w:ascii="Times New Roman" w:cs="Times New Roman" w:eastAsia="Times New Roman" w:hAnsi="Times New Roman"/>
          <w:sz w:val="16"/>
          <w:szCs w:val="16"/>
          <w:color w:val="auto"/>
        </w:rPr>
        <w:t>Facsimile number: (212) 701-5077</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Attention: John B. Meade, Esq.</w:t>
      </w:r>
    </w:p>
    <w:p>
      <w:pPr>
        <w:spacing w:after="0" w:line="158" w:lineRule="exact"/>
        <w:rPr>
          <w:sz w:val="20"/>
          <w:szCs w:val="20"/>
          <w:color w:val="auto"/>
        </w:rPr>
      </w:pPr>
    </w:p>
    <w:p>
      <w:pPr>
        <w:ind w:right="20" w:firstLine="288"/>
        <w:spacing w:after="0" w:line="247" w:lineRule="auto"/>
        <w:rPr>
          <w:sz w:val="20"/>
          <w:szCs w:val="20"/>
          <w:color w:val="auto"/>
        </w:rPr>
      </w:pPr>
      <w:r>
        <w:rPr>
          <w:rFonts w:ascii="Times New Roman" w:cs="Times New Roman" w:eastAsia="Times New Roman" w:hAnsi="Times New Roman"/>
          <w:sz w:val="16"/>
          <w:szCs w:val="16"/>
          <w:color w:val="auto"/>
        </w:rPr>
        <w:t>All such notices and communications shall be deemed to have been duly given at the time delivered by hand, if personally delivered; three business days after being deposited in the mail, postage prepaid, if mailed; when receipt is acknowledged by recipient’s facsimile machine operator, if sent by facsimile transmission; and on the day delivered, if sent by overnight air courier guaranteeing next day delivery.</w:t>
      </w:r>
    </w:p>
    <w:p>
      <w:pPr>
        <w:spacing w:after="0" w:line="150" w:lineRule="exact"/>
        <w:rPr>
          <w:sz w:val="20"/>
          <w:szCs w:val="20"/>
          <w:color w:val="auto"/>
        </w:rPr>
      </w:pPr>
    </w:p>
    <w:p>
      <w:pPr>
        <w:ind w:right="300" w:firstLine="294"/>
        <w:spacing w:after="0" w:line="334" w:lineRule="auto"/>
        <w:tabs>
          <w:tab w:leader="none" w:pos="57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Inconsistent Agreements</w:t>
      </w:r>
      <w:r>
        <w:rPr>
          <w:rFonts w:ascii="Times New Roman" w:cs="Times New Roman" w:eastAsia="Times New Roman" w:hAnsi="Times New Roman"/>
          <w:sz w:val="14"/>
          <w:szCs w:val="14"/>
          <w:color w:val="auto"/>
        </w:rPr>
        <w:t>. The Company and the Guarantors have not, as of the date hereof, entered into, nor shall they, on or after the date hereof, enter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any agreement with respect to its securities that is inconsistent with the rights granted to the Holders herein or otherwise conflicts with the provisions hereof.</w:t>
      </w:r>
    </w:p>
    <w:p>
      <w:pPr>
        <w:spacing w:after="0" w:line="92" w:lineRule="exact"/>
        <w:rPr>
          <w:rFonts w:ascii="Times New Roman" w:cs="Times New Roman" w:eastAsia="Times New Roman" w:hAnsi="Times New Roman"/>
          <w:sz w:val="14"/>
          <w:szCs w:val="14"/>
          <w:color w:val="auto"/>
        </w:rPr>
      </w:pPr>
    </w:p>
    <w:p>
      <w:pPr>
        <w:ind w:right="100" w:firstLine="294"/>
        <w:spacing w:after="0" w:line="244" w:lineRule="auto"/>
        <w:tabs>
          <w:tab w:leader="none" w:pos="58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This Agreement shall be binding upon the successors, assigns and transferees of each of the parties, including, without limitation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need for an express assignment, subsequent Holders. If any transferee of any Holder shall acquire Securities in any manner, whether by operation of law or otherwise, such Holder shall be deemed to have agreed to be bound by and subject to all the terms of this Agreement, and by taking and holding such Securities such transferee shall be conclusively deemed to have agreed to be bound by and to perform all of the terms and provisions of this Agreement.</w:t>
      </w:r>
    </w:p>
    <w:p>
      <w:pPr>
        <w:spacing w:after="0" w:line="152" w:lineRule="exact"/>
        <w:rPr>
          <w:rFonts w:ascii="Times New Roman" w:cs="Times New Roman" w:eastAsia="Times New Roman" w:hAnsi="Times New Roman"/>
          <w:sz w:val="16"/>
          <w:szCs w:val="16"/>
          <w:color w:val="auto"/>
        </w:rPr>
      </w:pPr>
    </w:p>
    <w:p>
      <w:pPr>
        <w:ind w:right="80" w:firstLine="294"/>
        <w:spacing w:after="0" w:line="241" w:lineRule="auto"/>
        <w:tabs>
          <w:tab w:leader="none" w:pos="57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This Agreement may be executed in any number of counterparts and by the parties hereto in separate counterparts, each of which when 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executed shall be deemed to be an original and all of which taken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Headings</w:t>
      </w:r>
      <w:r>
        <w:rPr>
          <w:rFonts w:ascii="Times New Roman" w:cs="Times New Roman" w:eastAsia="Times New Roman" w:hAnsi="Times New Roman"/>
          <w:sz w:val="16"/>
          <w:szCs w:val="16"/>
          <w:color w:val="auto"/>
        </w:rPr>
        <w:t>. The headings in this Agreement are for convenience of reference only and shall not limit or otherwise affect the meaning hereof.</w:t>
      </w:r>
    </w:p>
    <w:p>
      <w:pPr>
        <w:spacing w:after="0" w:line="176" w:lineRule="exact"/>
        <w:rPr>
          <w:rFonts w:ascii="Times New Roman" w:cs="Times New Roman" w:eastAsia="Times New Roman" w:hAnsi="Times New Roman"/>
          <w:sz w:val="16"/>
          <w:szCs w:val="16"/>
          <w:color w:val="auto"/>
        </w:rPr>
      </w:pPr>
    </w:p>
    <w:p>
      <w:pPr>
        <w:ind w:right="280" w:firstLine="294"/>
        <w:spacing w:after="0" w:line="262" w:lineRule="auto"/>
        <w:tabs>
          <w:tab w:leader="none" w:pos="58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YORK WITHOUT REGARD TO PRINCIPLES OF CONFLICTS OF LAWS.</w:t>
      </w:r>
    </w:p>
    <w:p>
      <w:pPr>
        <w:spacing w:after="0" w:line="138" w:lineRule="exact"/>
        <w:rPr>
          <w:rFonts w:ascii="Times New Roman" w:cs="Times New Roman" w:eastAsia="Times New Roman" w:hAnsi="Times New Roman"/>
          <w:sz w:val="16"/>
          <w:szCs w:val="16"/>
          <w:color w:val="auto"/>
        </w:rPr>
      </w:pPr>
    </w:p>
    <w:p>
      <w:pPr>
        <w:ind w:right="100" w:firstLine="294"/>
        <w:spacing w:after="0" w:line="248" w:lineRule="auto"/>
        <w:tabs>
          <w:tab w:leader="none" w:pos="58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If any one or more of the provisions contained herein, or the application thereof in any circumstance, is held invalid, illegal or unenforceable,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validity, legality and enforceability of any such provision in every other respect and of the remaining provisions contained herein shall not be affected or impaired thereby.</w:t>
      </w:r>
    </w:p>
    <w:p>
      <w:pPr>
        <w:spacing w:after="0" w:line="149" w:lineRule="exact"/>
        <w:rPr>
          <w:rFonts w:ascii="Times New Roman" w:cs="Times New Roman" w:eastAsia="Times New Roman" w:hAnsi="Times New Roman"/>
          <w:sz w:val="16"/>
          <w:szCs w:val="16"/>
          <w:color w:val="auto"/>
        </w:rPr>
      </w:pPr>
    </w:p>
    <w:p>
      <w:pPr>
        <w:jc w:val="both"/>
        <w:ind w:firstLine="294"/>
        <w:spacing w:after="0" w:line="244" w:lineRule="auto"/>
        <w:tabs>
          <w:tab w:leader="none" w:pos="55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Securities Held by the Company and the Guarantors</w:t>
      </w:r>
      <w:r>
        <w:rPr>
          <w:rFonts w:ascii="Times New Roman" w:cs="Times New Roman" w:eastAsia="Times New Roman" w:hAnsi="Times New Roman"/>
          <w:sz w:val="16"/>
          <w:szCs w:val="16"/>
          <w:color w:val="auto"/>
        </w:rPr>
        <w:t>. Whenever the consent or approval of Holders of a specified percentage of principal amount of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required hereunder, Securities held by the Company and the Guarantors or their respective affiliates (other than subsequent Holders of Securities if such subsequent Holders are deemed to be affiliates solely by reason of their holdings of such Securities) shall not be counted in determining whether such consent or approval was given by the Holders of such required percentage.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60" w:lineRule="exact"/>
        <w:rPr>
          <w:sz w:val="20"/>
          <w:szCs w:val="20"/>
          <w:color w:val="auto"/>
        </w:rPr>
      </w:pPr>
    </w:p>
    <w:p>
      <w:pPr>
        <w:ind w:right="180" w:firstLine="288"/>
        <w:spacing w:after="0" w:line="247" w:lineRule="auto"/>
        <w:rPr>
          <w:sz w:val="20"/>
          <w:szCs w:val="20"/>
          <w:color w:val="auto"/>
        </w:rPr>
      </w:pPr>
      <w:r>
        <w:rPr>
          <w:rFonts w:ascii="Times New Roman" w:cs="Times New Roman" w:eastAsia="Times New Roman" w:hAnsi="Times New Roman"/>
          <w:sz w:val="16"/>
          <w:szCs w:val="16"/>
          <w:color w:val="auto"/>
        </w:rPr>
        <w:t>If the foregoing is in accordance with your understanding of our agreement, please sign and return to the Company and the Guarantors a counterpart hereof, whereupon this instrument, along with all counterparts, will become a binding agreement among the several Dealer Managers and the Company and the Guarantors in accordance with its terms.</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35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356" w:lineRule="exact"/>
        <w:rPr>
          <w:sz w:val="20"/>
          <w:szCs w:val="20"/>
          <w:color w:val="auto"/>
        </w:rPr>
      </w:pPr>
    </w:p>
    <w:tbl>
      <w:tblPr>
        <w:tblLayout w:type="fixed"/>
        <w:tblInd w:w="528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P. McCue</w:t>
            </w:r>
          </w:p>
        </w:tc>
      </w:tr>
      <w:tr>
        <w:trPr>
          <w:trHeight w:val="159"/>
        </w:trPr>
        <w:tc>
          <w:tcPr>
            <w:tcW w:w="540" w:type="dxa"/>
            <w:vAlign w:val="bottom"/>
          </w:tcPr>
          <w:p>
            <w:pPr>
              <w:spacing w:after="0"/>
              <w:rPr>
                <w:sz w:val="13"/>
                <w:szCs w:val="13"/>
                <w:color w:val="auto"/>
              </w:rPr>
            </w:pP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James P. McCue</w:t>
            </w:r>
          </w:p>
        </w:tc>
      </w:tr>
      <w:tr>
        <w:trPr>
          <w:trHeight w:val="203"/>
        </w:trPr>
        <w:tc>
          <w:tcPr>
            <w:tcW w:w="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 and Assistant Treasurer</w:t>
            </w:r>
          </w:p>
        </w:tc>
      </w:tr>
    </w:tbl>
    <w:p>
      <w:pPr>
        <w:sectPr>
          <w:pgSz w:w="11900" w:h="16840" w:orient="portrait"/>
          <w:cols w:equalWidth="0" w:num="1">
            <w:col w:w="10560"/>
          </w:cols>
          <w:pgMar w:left="660" w:top="557" w:right="680" w:bottom="319" w:gutter="0" w:footer="0" w:header="0"/>
        </w:sectPr>
      </w:pPr>
    </w:p>
    <w:bookmarkStart w:id="15" w:name="page16"/>
    <w:bookmarkEnd w:id="15"/>
    <w:p>
      <w:pPr>
        <w:ind w:left="5280"/>
        <w:spacing w:after="0"/>
        <w:rPr>
          <w:sz w:val="20"/>
          <w:szCs w:val="20"/>
          <w:color w:val="auto"/>
        </w:rPr>
      </w:pPr>
      <w:r>
        <w:rPr>
          <w:rFonts w:ascii="Times New Roman" w:cs="Times New Roman" w:eastAsia="Times New Roman" w:hAnsi="Times New Roman"/>
          <w:sz w:val="16"/>
          <w:szCs w:val="16"/>
          <w:color w:val="auto"/>
        </w:rPr>
        <w:t>COMCAST CABLE COMMUNICATIONS, LLC</w:t>
      </w:r>
    </w:p>
    <w:p>
      <w:pPr>
        <w:spacing w:after="0" w:line="356" w:lineRule="exact"/>
        <w:rPr>
          <w:sz w:val="20"/>
          <w:szCs w:val="20"/>
          <w:color w:val="auto"/>
        </w:rPr>
      </w:pPr>
    </w:p>
    <w:tbl>
      <w:tblPr>
        <w:tblLayout w:type="fixed"/>
        <w:tblInd w:w="528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P. McCue</w:t>
            </w:r>
          </w:p>
        </w:tc>
      </w:tr>
      <w:tr>
        <w:trPr>
          <w:trHeight w:val="159"/>
        </w:trPr>
        <w:tc>
          <w:tcPr>
            <w:tcW w:w="540" w:type="dxa"/>
            <w:vAlign w:val="bottom"/>
          </w:tcPr>
          <w:p>
            <w:pPr>
              <w:spacing w:after="0"/>
              <w:rPr>
                <w:sz w:val="13"/>
                <w:szCs w:val="13"/>
                <w:color w:val="auto"/>
              </w:rPr>
            </w:pP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James P. McCue</w:t>
            </w:r>
          </w:p>
        </w:tc>
      </w:tr>
      <w:tr>
        <w:trPr>
          <w:trHeight w:val="203"/>
        </w:trPr>
        <w:tc>
          <w:tcPr>
            <w:tcW w:w="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 and Assistant Treasurer</w:t>
            </w:r>
          </w:p>
        </w:tc>
      </w:tr>
      <w:tr>
        <w:trPr>
          <w:trHeight w:val="636"/>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NBCUNIVERSAL MEDIA, LLC</w:t>
            </w:r>
          </w:p>
        </w:tc>
      </w:tr>
      <w:tr>
        <w:trPr>
          <w:trHeight w:val="53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P. McCue</w:t>
            </w:r>
          </w:p>
        </w:tc>
      </w:tr>
      <w:tr>
        <w:trPr>
          <w:trHeight w:val="159"/>
        </w:trPr>
        <w:tc>
          <w:tcPr>
            <w:tcW w:w="540" w:type="dxa"/>
            <w:vAlign w:val="bottom"/>
          </w:tcPr>
          <w:p>
            <w:pPr>
              <w:spacing w:after="0"/>
              <w:rPr>
                <w:sz w:val="13"/>
                <w:szCs w:val="13"/>
                <w:color w:val="auto"/>
              </w:rPr>
            </w:pP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James P. McCue</w:t>
            </w:r>
          </w:p>
        </w:tc>
      </w:tr>
      <w:tr>
        <w:trPr>
          <w:trHeight w:val="203"/>
        </w:trPr>
        <w:tc>
          <w:tcPr>
            <w:tcW w:w="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 and Assistant Treasurer</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Registration Rights Agreement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67075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Registration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Agreement is hereby confirmed</w:t>
      </w:r>
    </w:p>
    <w:p>
      <w:pPr>
        <w:spacing w:after="0" w:line="234" w:lineRule="auto"/>
        <w:rPr>
          <w:sz w:val="20"/>
          <w:szCs w:val="20"/>
          <w:color w:val="auto"/>
        </w:rPr>
      </w:pPr>
      <w:r>
        <w:rPr>
          <w:rFonts w:ascii="Times New Roman" w:cs="Times New Roman" w:eastAsia="Times New Roman" w:hAnsi="Times New Roman"/>
          <w:sz w:val="16"/>
          <w:szCs w:val="16"/>
          <w:color w:val="auto"/>
        </w:rPr>
        <w:t>and accepted as of the date first</w:t>
      </w:r>
    </w:p>
    <w:p>
      <w:pPr>
        <w:spacing w:after="0" w:line="235" w:lineRule="auto"/>
        <w:rPr>
          <w:sz w:val="20"/>
          <w:szCs w:val="20"/>
          <w:color w:val="auto"/>
        </w:rPr>
      </w:pPr>
      <w:r>
        <w:rPr>
          <w:rFonts w:ascii="Times New Roman" w:cs="Times New Roman" w:eastAsia="Times New Roman" w:hAnsi="Times New Roman"/>
          <w:sz w:val="16"/>
          <w:szCs w:val="16"/>
          <w:color w:val="auto"/>
        </w:rPr>
        <w:t>above written by the undersigned Joint Lead Dealer</w:t>
      </w:r>
    </w:p>
    <w:p>
      <w:pPr>
        <w:spacing w:after="0" w:line="235" w:lineRule="auto"/>
        <w:rPr>
          <w:sz w:val="20"/>
          <w:szCs w:val="20"/>
          <w:color w:val="auto"/>
        </w:rPr>
      </w:pPr>
      <w:r>
        <w:rPr>
          <w:rFonts w:ascii="Times New Roman" w:cs="Times New Roman" w:eastAsia="Times New Roman" w:hAnsi="Times New Roman"/>
          <w:sz w:val="16"/>
          <w:szCs w:val="16"/>
          <w:color w:val="auto"/>
        </w:rPr>
        <w:t>Managers, on behalf of themselves and each Co-</w:t>
      </w:r>
    </w:p>
    <w:p>
      <w:pPr>
        <w:spacing w:after="0"/>
        <w:rPr>
          <w:sz w:val="20"/>
          <w:szCs w:val="20"/>
          <w:color w:val="auto"/>
        </w:rPr>
      </w:pPr>
      <w:r>
        <w:rPr>
          <w:rFonts w:ascii="Times New Roman" w:cs="Times New Roman" w:eastAsia="Times New Roman" w:hAnsi="Times New Roman"/>
          <w:sz w:val="16"/>
          <w:szCs w:val="16"/>
          <w:color w:val="auto"/>
        </w:rPr>
        <w:t>Dealer Manager pursuant to the Joinder Agreement.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DEUTSCHE BANK SECURITIES INC.</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Ryan E. Montgomery</w:t>
            </w:r>
          </w:p>
        </w:tc>
      </w:tr>
      <w:tr>
        <w:trPr>
          <w:trHeight w:val="159"/>
        </w:trPr>
        <w:tc>
          <w:tcPr>
            <w:tcW w:w="540" w:type="dxa"/>
            <w:vAlign w:val="bottom"/>
          </w:tcPr>
          <w:p>
            <w:pPr>
              <w:spacing w:after="0"/>
              <w:rPr>
                <w:sz w:val="13"/>
                <w:szCs w:val="13"/>
                <w:color w:val="auto"/>
              </w:rPr>
            </w:pPr>
          </w:p>
        </w:tc>
        <w:tc>
          <w:tcPr>
            <w:tcW w:w="37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Ryan E. Montgomery</w:t>
            </w:r>
          </w:p>
        </w:tc>
      </w:tr>
      <w:tr>
        <w:trPr>
          <w:trHeight w:val="203"/>
        </w:trPr>
        <w:tc>
          <w:tcPr>
            <w:tcW w:w="54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Title: Managing Director</w:t>
            </w:r>
          </w:p>
        </w:tc>
      </w:tr>
      <w:tr>
        <w:trPr>
          <w:trHeight w:val="53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Rita Ketkar</w:t>
            </w:r>
          </w:p>
        </w:tc>
      </w:tr>
      <w:tr>
        <w:trPr>
          <w:trHeight w:val="159"/>
        </w:trPr>
        <w:tc>
          <w:tcPr>
            <w:tcW w:w="540" w:type="dxa"/>
            <w:vAlign w:val="bottom"/>
          </w:tcPr>
          <w:p>
            <w:pPr>
              <w:spacing w:after="0"/>
              <w:rPr>
                <w:sz w:val="13"/>
                <w:szCs w:val="13"/>
                <w:color w:val="auto"/>
              </w:rPr>
            </w:pPr>
          </w:p>
        </w:tc>
        <w:tc>
          <w:tcPr>
            <w:tcW w:w="37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Rita Ketkar</w:t>
            </w:r>
          </w:p>
        </w:tc>
      </w:tr>
      <w:tr>
        <w:trPr>
          <w:trHeight w:val="203"/>
        </w:trPr>
        <w:tc>
          <w:tcPr>
            <w:tcW w:w="54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Title: Managing Director</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Registration Rights Agreement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67075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GOLDMAN SACHS &amp; CO. LLC</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Rost</w:t>
            </w:r>
          </w:p>
        </w:tc>
      </w:tr>
      <w:tr>
        <w:trPr>
          <w:trHeight w:val="159"/>
        </w:trPr>
        <w:tc>
          <w:tcPr>
            <w:tcW w:w="540" w:type="dxa"/>
            <w:vAlign w:val="bottom"/>
          </w:tcPr>
          <w:p>
            <w:pPr>
              <w:spacing w:after="0"/>
              <w:rPr>
                <w:sz w:val="13"/>
                <w:szCs w:val="13"/>
                <w:color w:val="auto"/>
              </w:rPr>
            </w:pPr>
          </w:p>
        </w:tc>
        <w:tc>
          <w:tcPr>
            <w:tcW w:w="37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 Michael Rost</w:t>
            </w:r>
          </w:p>
        </w:tc>
      </w:tr>
      <w:tr>
        <w:trPr>
          <w:trHeight w:val="203"/>
        </w:trPr>
        <w:tc>
          <w:tcPr>
            <w:tcW w:w="54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Title: Managing Director</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Registration Rights Agreement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67075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Dealer Managers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Deutsche Bank Securities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Columbus Circle</w:t>
      </w:r>
    </w:p>
    <w:p>
      <w:pPr>
        <w:spacing w:after="0"/>
        <w:rPr>
          <w:sz w:val="20"/>
          <w:szCs w:val="20"/>
          <w:color w:val="auto"/>
        </w:rPr>
      </w:pPr>
      <w:r>
        <w:rPr>
          <w:rFonts w:ascii="Times New Roman" w:cs="Times New Roman" w:eastAsia="Times New Roman" w:hAnsi="Times New Roman"/>
          <w:sz w:val="16"/>
          <w:szCs w:val="16"/>
          <w:color w:val="auto"/>
        </w:rPr>
        <w:t>New York, New York 10019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Goldman Sachs &amp; Co.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West Street</w:t>
      </w:r>
    </w:p>
    <w:p>
      <w:pPr>
        <w:spacing w:after="0"/>
        <w:rPr>
          <w:sz w:val="20"/>
          <w:szCs w:val="20"/>
          <w:color w:val="auto"/>
        </w:rPr>
      </w:pPr>
      <w:r>
        <w:rPr>
          <w:rFonts w:ascii="Times New Roman" w:cs="Times New Roman" w:eastAsia="Times New Roman" w:hAnsi="Times New Roman"/>
          <w:sz w:val="16"/>
          <w:szCs w:val="16"/>
          <w:color w:val="auto"/>
        </w:rPr>
        <w:t>New York, New York 10282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Co-Dealer Manager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295275</wp:posOffset>
            </wp:positionV>
            <wp:extent cx="67075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SCHEDULE II</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Pool 1 Notes</w:t>
      </w:r>
      <w:r>
        <w:rPr>
          <w:rFonts w:ascii="Times New Roman" w:cs="Times New Roman" w:eastAsia="Times New Roman" w:hAnsi="Times New Roman"/>
          <w:sz w:val="16"/>
          <w:szCs w:val="16"/>
          <w:b w:val="1"/>
          <w:bCs w:val="1"/>
          <w:color w:val="auto"/>
        </w:rPr>
        <w:t>:</w:t>
      </w:r>
    </w:p>
    <w:p>
      <w:pPr>
        <w:sectPr>
          <w:pgSz w:w="11900" w:h="16840" w:orient="portrait"/>
          <w:cols w:equalWidth="0" w:num="1">
            <w:col w:w="10580"/>
          </w:cols>
          <w:pgMar w:left="660" w:top="1013" w:right="660" w:bottom="330" w:gutter="0" w:footer="0" w:header="0"/>
        </w:sectPr>
      </w:pPr>
    </w:p>
    <w:bookmarkStart w:id="16" w:name="page17"/>
    <w:bookmarkEnd w:id="16"/>
    <w:tbl>
      <w:tblPr>
        <w:tblLayout w:type="fixed"/>
        <w:tblInd w:w="106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00" w:type="dxa"/>
            <w:vAlign w:val="bottom"/>
            <w:vMerge w:val="restart"/>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Principal Amount</w:t>
            </w:r>
          </w:p>
        </w:tc>
        <w:tc>
          <w:tcPr>
            <w:tcW w:w="192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8"/>
              </w:rPr>
              <w:t>Notes Exchanged For</w:t>
            </w:r>
          </w:p>
        </w:tc>
        <w:tc>
          <w:tcPr>
            <w:tcW w:w="0" w:type="dxa"/>
            <w:vAlign w:val="bottom"/>
          </w:tcPr>
          <w:p>
            <w:pPr>
              <w:spacing w:after="0"/>
              <w:rPr>
                <w:sz w:val="1"/>
                <w:szCs w:val="1"/>
                <w:color w:val="auto"/>
              </w:rPr>
            </w:pPr>
          </w:p>
        </w:tc>
      </w:tr>
      <w:tr>
        <w:trPr>
          <w:trHeight w:val="159"/>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Title of Security</w:t>
            </w:r>
          </w:p>
        </w:tc>
        <w:tc>
          <w:tcPr>
            <w:tcW w:w="2060" w:type="dxa"/>
            <w:vAlign w:val="bottom"/>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CUSIP Number</w:t>
            </w:r>
          </w:p>
        </w:tc>
        <w:tc>
          <w:tcPr>
            <w:tcW w:w="2100" w:type="dxa"/>
            <w:vAlign w:val="bottom"/>
            <w:vMerge w:val="continue"/>
          </w:tcPr>
          <w:p>
            <w:pPr>
              <w:spacing w:after="0"/>
              <w:rPr>
                <w:sz w:val="13"/>
                <w:szCs w:val="13"/>
                <w:color w:val="auto"/>
              </w:rPr>
            </w:pPr>
          </w:p>
        </w:tc>
        <w:tc>
          <w:tcPr>
            <w:tcW w:w="1920" w:type="dxa"/>
            <w:vAlign w:val="bottom"/>
          </w:tcPr>
          <w:p>
            <w:pPr>
              <w:jc w:val="center"/>
              <w:ind w:left="262"/>
              <w:spacing w:after="0" w:line="159" w:lineRule="exact"/>
              <w:rPr>
                <w:sz w:val="20"/>
                <w:szCs w:val="20"/>
                <w:color w:val="auto"/>
              </w:rPr>
            </w:pPr>
            <w:r>
              <w:rPr>
                <w:rFonts w:ascii="Times New Roman" w:cs="Times New Roman" w:eastAsia="Times New Roman" w:hAnsi="Times New Roman"/>
                <w:sz w:val="16"/>
                <w:szCs w:val="16"/>
                <w:b w:val="1"/>
                <w:bCs w:val="1"/>
                <w:color w:val="auto"/>
                <w:w w:val="97"/>
              </w:rPr>
              <w:t>Initial Securities ($mm)</w:t>
            </w:r>
          </w:p>
        </w:tc>
        <w:tc>
          <w:tcPr>
            <w:tcW w:w="0" w:type="dxa"/>
            <w:vAlign w:val="bottom"/>
          </w:tcPr>
          <w:p>
            <w:pPr>
              <w:spacing w:after="0"/>
              <w:rPr>
                <w:sz w:val="1"/>
                <w:szCs w:val="1"/>
                <w:color w:val="auto"/>
              </w:rPr>
            </w:pPr>
          </w:p>
        </w:tc>
      </w:tr>
      <w:tr>
        <w:trPr>
          <w:trHeight w:val="167"/>
        </w:trPr>
        <w:tc>
          <w:tcPr>
            <w:tcW w:w="204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2100" w:type="dxa"/>
            <w:vAlign w:val="bottom"/>
          </w:tcPr>
          <w:p>
            <w:pPr>
              <w:jc w:val="center"/>
              <w:ind w:left="42"/>
              <w:spacing w:after="0" w:line="167" w:lineRule="exact"/>
              <w:rPr>
                <w:sz w:val="20"/>
                <w:szCs w:val="20"/>
                <w:color w:val="auto"/>
              </w:rPr>
            </w:pPr>
            <w:r>
              <w:rPr>
                <w:rFonts w:ascii="Times New Roman" w:cs="Times New Roman" w:eastAsia="Times New Roman" w:hAnsi="Times New Roman"/>
                <w:sz w:val="16"/>
                <w:szCs w:val="16"/>
                <w:b w:val="1"/>
                <w:bCs w:val="1"/>
                <w:color w:val="auto"/>
                <w:w w:val="96"/>
              </w:rPr>
              <w:t>Outstanding ($mm)</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5.350% Notes due 2027</w:t>
            </w:r>
          </w:p>
        </w:tc>
        <w:tc>
          <w:tcPr>
            <w:tcW w:w="2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20030N EA5</w:t>
            </w:r>
          </w:p>
        </w:tc>
        <w:tc>
          <w:tcPr>
            <w:tcW w:w="210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$750,000,000</w:t>
            </w:r>
          </w:p>
        </w:tc>
        <w:tc>
          <w:tcPr>
            <w:tcW w:w="19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$79,663,000</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3.150% Notes due 2028</w:t>
            </w:r>
          </w:p>
        </w:tc>
        <w:tc>
          <w:tcPr>
            <w:tcW w:w="2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20030N CA7</w:t>
            </w:r>
          </w:p>
        </w:tc>
        <w:tc>
          <w:tcPr>
            <w:tcW w:w="210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$1,650,000,000</w:t>
            </w:r>
          </w:p>
        </w:tc>
        <w:tc>
          <w:tcPr>
            <w:tcW w:w="19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$226,822,000</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3.550% Notes due 2028</w:t>
            </w:r>
          </w:p>
        </w:tc>
        <w:tc>
          <w:tcPr>
            <w:tcW w:w="2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20030N CH2</w:t>
            </w:r>
          </w:p>
        </w:tc>
        <w:tc>
          <w:tcPr>
            <w:tcW w:w="210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$1,000,000,000</w:t>
            </w:r>
          </w:p>
        </w:tc>
        <w:tc>
          <w:tcPr>
            <w:tcW w:w="19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$130,203,000</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3.300% Notes due 2027</w:t>
            </w:r>
          </w:p>
        </w:tc>
        <w:tc>
          <w:tcPr>
            <w:tcW w:w="2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20030N DK4</w:t>
            </w:r>
          </w:p>
        </w:tc>
        <w:tc>
          <w:tcPr>
            <w:tcW w:w="210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$800,000,000</w:t>
            </w:r>
          </w:p>
        </w:tc>
        <w:tc>
          <w:tcPr>
            <w:tcW w:w="19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$133,867,000</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5.100% Notes due 2029</w:t>
            </w:r>
          </w:p>
        </w:tc>
        <w:tc>
          <w:tcPr>
            <w:tcW w:w="2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20030N EH0</w:t>
            </w:r>
          </w:p>
        </w:tc>
        <w:tc>
          <w:tcPr>
            <w:tcW w:w="210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$750,000,000</w:t>
            </w:r>
          </w:p>
        </w:tc>
        <w:tc>
          <w:tcPr>
            <w:tcW w:w="19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$119,714,000</w:t>
            </w:r>
          </w:p>
        </w:tc>
        <w:tc>
          <w:tcPr>
            <w:tcW w:w="0" w:type="dxa"/>
            <w:vAlign w:val="bottom"/>
          </w:tcPr>
          <w:p>
            <w:pPr>
              <w:spacing w:after="0"/>
              <w:rPr>
                <w:sz w:val="1"/>
                <w:szCs w:val="1"/>
                <w:color w:val="auto"/>
              </w:rPr>
            </w:pPr>
          </w:p>
        </w:tc>
      </w:tr>
      <w:tr>
        <w:trPr>
          <w:trHeight w:val="205"/>
        </w:trPr>
        <w:tc>
          <w:tcPr>
            <w:tcW w:w="2040" w:type="dxa"/>
            <w:vAlign w:val="bottom"/>
          </w:tcPr>
          <w:p>
            <w:pPr>
              <w:spacing w:after="0"/>
              <w:rPr>
                <w:sz w:val="17"/>
                <w:szCs w:val="17"/>
                <w:color w:val="auto"/>
              </w:rPr>
            </w:pPr>
          </w:p>
        </w:tc>
        <w:tc>
          <w:tcPr>
            <w:tcW w:w="206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0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$4,950,000,000</w:t>
            </w:r>
          </w:p>
        </w:tc>
        <w:tc>
          <w:tcPr>
            <w:tcW w:w="192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7"/>
              </w:rPr>
              <w:t>$690,269,000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321310</wp:posOffset>
            </wp:positionV>
            <wp:extent cx="67075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201" w:lineRule="exact"/>
        <w:rPr>
          <w:sz w:val="20"/>
          <w:szCs w:val="20"/>
          <w:color w:val="auto"/>
        </w:rPr>
      </w:pPr>
    </w:p>
    <w:p>
      <w:pPr>
        <w:ind w:right="40" w:firstLine="288"/>
        <w:spacing w:after="0" w:line="284" w:lineRule="auto"/>
        <w:rPr>
          <w:sz w:val="20"/>
          <w:szCs w:val="20"/>
          <w:color w:val="auto"/>
        </w:rPr>
      </w:pPr>
      <w:r>
        <w:rPr>
          <w:rFonts w:ascii="Times New Roman" w:cs="Times New Roman" w:eastAsia="Times New Roman" w:hAnsi="Times New Roman"/>
          <w:sz w:val="14"/>
          <w:szCs w:val="14"/>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by such broker-dealer as a result of market- making activities or other trading activities. The Company and the Guarantors have agreed that, for a period of 90 days after the Expiration Date (as defined herein), they will make this Prospectus available to any broker-dealer for use in connection with any such resale. See “</w:t>
      </w:r>
      <w:r>
        <w:rPr>
          <w:rFonts w:ascii="Times New Roman" w:cs="Times New Roman" w:eastAsia="Times New Roman" w:hAnsi="Times New Roman"/>
          <w:sz w:val="14"/>
          <w:szCs w:val="14"/>
          <w:b w:val="1"/>
          <w:bCs w:val="1"/>
          <w:color w:val="auto"/>
        </w:rPr>
        <w:t>Plan of Distribution.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67075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4"/>
          <w:szCs w:val="14"/>
          <w:b w:val="1"/>
          <w:bCs w:val="1"/>
          <w:color w:val="auto"/>
        </w:rPr>
        <w:t>ANNEX B</w:t>
      </w:r>
    </w:p>
    <w:p>
      <w:pPr>
        <w:spacing w:after="0" w:line="201" w:lineRule="exact"/>
        <w:rPr>
          <w:sz w:val="20"/>
          <w:szCs w:val="20"/>
          <w:color w:val="auto"/>
        </w:rPr>
      </w:pPr>
    </w:p>
    <w:p>
      <w:pPr>
        <w:ind w:right="280" w:firstLine="288"/>
        <w:spacing w:after="0" w:line="247" w:lineRule="auto"/>
        <w:rPr>
          <w:sz w:val="20"/>
          <w:szCs w:val="20"/>
          <w:color w:val="auto"/>
        </w:rPr>
      </w:pPr>
      <w:r>
        <w:rPr>
          <w:rFonts w:ascii="Times New Roman" w:cs="Times New Roman" w:eastAsia="Times New Roman" w:hAnsi="Times New Roman"/>
          <w:sz w:val="16"/>
          <w:szCs w:val="16"/>
          <w:color w:val="auto"/>
        </w:rPr>
        <w:t>Each broker -dealer that receives Exchange Securities for its own account in exchange for Securities, where such Initial Securities were acquired by such broker-dealer as a result of market-making activities or other trading activities, hereby acknowledges that it will deliver a prospectus in connection with any resale of such Exchange Securities. See “</w:t>
      </w:r>
      <w:r>
        <w:rPr>
          <w:rFonts w:ascii="Times New Roman" w:cs="Times New Roman" w:eastAsia="Times New Roman" w:hAnsi="Times New Roman"/>
          <w:sz w:val="16"/>
          <w:szCs w:val="16"/>
          <w:b w:val="1"/>
          <w:bCs w:val="1"/>
          <w:color w:val="auto"/>
        </w:rPr>
        <w:t>Plan of Distribution.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280035</wp:posOffset>
            </wp:positionV>
            <wp:extent cx="67075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ANNEX 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78" w:lineRule="exact"/>
        <w:rPr>
          <w:sz w:val="20"/>
          <w:szCs w:val="20"/>
          <w:color w:val="auto"/>
        </w:rPr>
      </w:pPr>
    </w:p>
    <w:p>
      <w:pPr>
        <w:ind w:right="60" w:firstLine="288"/>
        <w:spacing w:after="0" w:line="275" w:lineRule="auto"/>
        <w:rPr>
          <w:sz w:val="20"/>
          <w:szCs w:val="20"/>
          <w:color w:val="auto"/>
        </w:rPr>
      </w:pPr>
      <w:r>
        <w:rPr>
          <w:rFonts w:ascii="Times New Roman" w:cs="Times New Roman" w:eastAsia="Times New Roman" w:hAnsi="Times New Roman"/>
          <w:sz w:val="14"/>
          <w:szCs w:val="14"/>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as a result of market-making activities or other trading activities. The Company and the Guarantors have agreed that, for a period of 90 days after the Expiration Date, they will make this prospectus,</w:t>
      </w:r>
    </w:p>
    <w:p>
      <w:pPr>
        <w:spacing w:after="0"/>
        <w:tabs>
          <w:tab w:leader="none" w:pos="7960" w:val="left"/>
          <w:tab w:leader="none" w:pos="8400" w:val="left"/>
        </w:tabs>
        <w:rPr>
          <w:sz w:val="20"/>
          <w:szCs w:val="20"/>
          <w:color w:val="auto"/>
        </w:rPr>
      </w:pPr>
      <w:r>
        <w:rPr>
          <w:rFonts w:ascii="Times New Roman" w:cs="Times New Roman" w:eastAsia="Times New Roman" w:hAnsi="Times New Roman"/>
          <w:sz w:val="16"/>
          <w:szCs w:val="16"/>
          <w:color w:val="auto"/>
        </w:rPr>
        <w:t>as amended or supplemented, available to any broker-dealer for use in connection with any such resale. In addition, until</w:t>
      </w:r>
      <w:r>
        <w:rPr>
          <w:sz w:val="20"/>
          <w:szCs w:val="20"/>
          <w:color w:val="auto"/>
        </w:rPr>
        <w:tab/>
      </w:r>
      <w:r>
        <w:rPr>
          <w:rFonts w:ascii="Times New Roman" w:cs="Times New Roman" w:eastAsia="Times New Roman" w:hAnsi="Times New Roman"/>
          <w:sz w:val="16"/>
          <w:szCs w:val="16"/>
          <w:color w:val="auto"/>
        </w:rPr>
        <w:t>, 20[</w:t>
      </w:r>
      <w:r>
        <w:rPr>
          <w:sz w:val="20"/>
          <w:szCs w:val="20"/>
          <w:color w:val="auto"/>
        </w:rPr>
        <w:tab/>
      </w:r>
      <w:r>
        <w:rPr>
          <w:rFonts w:ascii="Times New Roman" w:cs="Times New Roman" w:eastAsia="Times New Roman" w:hAnsi="Times New Roman"/>
          <w:sz w:val="14"/>
          <w:szCs w:val="14"/>
          <w:color w:val="auto"/>
        </w:rPr>
        <w:t>], all dealers effecting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Exchange Securities may be required to deliver a prospectus.</w:t>
      </w:r>
      <w:r>
        <w:rPr>
          <w:rFonts w:ascii="Times New Roman" w:cs="Times New Roman" w:eastAsia="Times New Roman" w:hAnsi="Times New Roman"/>
          <w:sz w:val="13"/>
          <w:szCs w:val="13"/>
          <w:color w:val="auto"/>
        </w:rPr>
        <w:t>1</w:t>
      </w:r>
    </w:p>
    <w:p>
      <w:pPr>
        <w:spacing w:after="0" w:line="197" w:lineRule="exact"/>
        <w:rPr>
          <w:sz w:val="20"/>
          <w:szCs w:val="20"/>
          <w:color w:val="auto"/>
        </w:rPr>
      </w:pPr>
    </w:p>
    <w:p>
      <w:pPr>
        <w:ind w:right="20" w:firstLine="288"/>
        <w:spacing w:after="0" w:line="277" w:lineRule="auto"/>
        <w:rPr>
          <w:sz w:val="20"/>
          <w:szCs w:val="20"/>
          <w:color w:val="auto"/>
        </w:rPr>
      </w:pPr>
      <w:r>
        <w:rPr>
          <w:rFonts w:ascii="Times New Roman" w:cs="Times New Roman" w:eastAsia="Times New Roman" w:hAnsi="Times New Roman"/>
          <w:sz w:val="14"/>
          <w:szCs w:val="14"/>
          <w:color w:val="auto"/>
        </w:rPr>
        <w:t>The Company and the Guarantors will not receive any proceeds from any sale of Exchange Securities by broker-dealers. Exchange Securities received by broker-dealers for their own account pursuant to the Exchange Offer may be sold from time to time in one or more transactions in the over- 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 -dealer 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w:t>
      </w:r>
      <w:r>
        <w:rPr>
          <w:rFonts w:ascii="Times New Roman" w:cs="Times New Roman" w:eastAsia="Times New Roman" w:hAnsi="Times New Roman"/>
          <w:sz w:val="14"/>
          <w:szCs w:val="14"/>
          <w:b w:val="1"/>
          <w:bCs w:val="1"/>
          <w:color w:val="auto"/>
        </w:rPr>
        <w:t>underwriter</w:t>
      </w:r>
      <w:r>
        <w:rPr>
          <w:rFonts w:ascii="Times New Roman" w:cs="Times New Roman" w:eastAsia="Times New Roman" w:hAnsi="Times New Roman"/>
          <w:sz w:val="14"/>
          <w:szCs w:val="14"/>
          <w:color w:val="auto"/>
        </w:rPr>
        <w:t>” within the meaning of the Securities Act and any profit on any such resale of Exchange Securities and any commission or concessions received by any such persons may be deemed to be underwriting compensation under the Securities Act.</w:t>
      </w:r>
    </w:p>
    <w:p>
      <w:pPr>
        <w:spacing w:after="0" w:line="134" w:lineRule="exact"/>
        <w:rPr>
          <w:sz w:val="20"/>
          <w:szCs w:val="20"/>
          <w:color w:val="auto"/>
        </w:rPr>
      </w:pPr>
    </w:p>
    <w:p>
      <w:pPr>
        <w:ind w:right="100" w:firstLine="288"/>
        <w:spacing w:after="0" w:line="243" w:lineRule="auto"/>
        <w:rPr>
          <w:sz w:val="20"/>
          <w:szCs w:val="20"/>
          <w:color w:val="auto"/>
        </w:rPr>
      </w:pPr>
      <w:r>
        <w:rPr>
          <w:rFonts w:ascii="Times New Roman" w:cs="Times New Roman" w:eastAsia="Times New Roman" w:hAnsi="Times New Roman"/>
          <w:sz w:val="16"/>
          <w:szCs w:val="16"/>
          <w:color w:val="auto"/>
        </w:rPr>
        <w:t>For a period of 90 days after the Expiration Date the Company and the Guarantors will promptly send additional electronic copies of this Prospectus and any amendment or supplement to this Prospectus to any broker-dealer that requests such documents. The Company and the Guarantors have agreed to pay all expenses incident to the Exchange Offer other than commissions or concessions of any brokers or dealers and will indemnify the Holders of the Securities (including any broker-dealers) against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0058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5840" cy="7620"/>
                    </a:xfrm>
                    <a:prstGeom prst="rect">
                      <a:avLst/>
                    </a:prstGeom>
                    <a:noFill/>
                  </pic:spPr>
                </pic:pic>
              </a:graphicData>
            </a:graphic>
          </wp:anchor>
        </w:drawing>
      </w:r>
    </w:p>
    <w:p>
      <w:pPr>
        <w:spacing w:after="0" w:line="207" w:lineRule="exact"/>
        <w:rPr>
          <w:sz w:val="20"/>
          <w:szCs w:val="20"/>
          <w:color w:val="auto"/>
        </w:rPr>
      </w:pPr>
    </w:p>
    <w:p>
      <w:pPr>
        <w:ind w:left="400" w:hanging="106"/>
        <w:spacing w:after="0"/>
        <w:tabs>
          <w:tab w:leader="none" w:pos="400"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addition, the legend required by Item 502(e) of Regulation S-K will appear on the back cover page of the Exchange Offer prospectus,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67075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ANNEX D</w:t>
      </w:r>
    </w:p>
    <w:p>
      <w:pPr>
        <w:spacing w:after="0" w:line="178" w:lineRule="exact"/>
        <w:rPr>
          <w:sz w:val="20"/>
          <w:szCs w:val="20"/>
          <w:color w:val="auto"/>
        </w:rPr>
      </w:pPr>
    </w:p>
    <w:p>
      <w:pPr>
        <w:ind w:right="140" w:firstLine="294"/>
        <w:spacing w:after="0" w:line="259" w:lineRule="auto"/>
        <w:tabs>
          <w:tab w:leader="none" w:pos="549" w:val="left"/>
        </w:tabs>
        <w:numPr>
          <w:ilvl w:val="0"/>
          <w:numId w:val="43"/>
        </w:numPr>
        <w:rPr>
          <w:rFonts w:ascii="Wingdings" w:cs="Wingdings" w:eastAsia="Wingdings" w:hAnsi="Wingdings"/>
          <w:sz w:val="16"/>
          <w:szCs w:val="16"/>
          <w:color w:val="auto"/>
        </w:rPr>
      </w:pPr>
      <w:r>
        <w:rPr>
          <w:rFonts w:ascii="Times New Roman" w:cs="Times New Roman" w:eastAsia="Times New Roman" w:hAnsi="Times New Roman"/>
          <w:sz w:val="16"/>
          <w:szCs w:val="16"/>
          <w:color w:val="auto"/>
        </w:rPr>
        <w:t>CHECK HERE IF YOU ARE A BROKER-DEALER AND WISH TO RECEIVE 10 ADDITIONAL COPIES OF THE PROSPECTUS AND 10 COPIES OF ANY AMENDMENTS OR SUPPLEMENTS THERETO.</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Name: _____________________________________________________________________________________</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Address: ___________________________________________________________________________________</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w:t>
      </w:r>
    </w:p>
    <w:p>
      <w:pPr>
        <w:spacing w:after="0" w:line="35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If the undersigned is not a broker- dealer, the undersigned represents that it is not engaged in, and does not intend to engage in, a distribution of Exchange Securities. If the undersigned is a broker-dealer that will receive Exchange Securities for its own account in exchange for Initial Securities that were acquired as a result of market - making activities or other trading activities, it acknowledges that it will deliver a prospectus in connection with any resale of such Exchange Securities; however, by so acknowledging and by delivering a prospectus, the undersigned will not be deemed to admit that it is an “</w:t>
      </w:r>
      <w:r>
        <w:rPr>
          <w:rFonts w:ascii="Times New Roman" w:cs="Times New Roman" w:eastAsia="Times New Roman" w:hAnsi="Times New Roman"/>
          <w:sz w:val="14"/>
          <w:szCs w:val="14"/>
          <w:b w:val="1"/>
          <w:bCs w:val="1"/>
          <w:color w:val="auto"/>
        </w:rPr>
        <w:t>underwriter</w:t>
      </w:r>
      <w:r>
        <w:rPr>
          <w:rFonts w:ascii="Times New Roman" w:cs="Times New Roman" w:eastAsia="Times New Roman" w:hAnsi="Times New Roman"/>
          <w:sz w:val="14"/>
          <w:szCs w:val="14"/>
          <w:color w:val="auto"/>
        </w:rPr>
        <w:t>” within the meaning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262890</wp:posOffset>
            </wp:positionV>
            <wp:extent cx="67075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1" w:right="660" w:bottom="671" w:gutter="0" w:footer="0" w:header="0"/>
        </w:sectPr>
      </w:pPr>
    </w:p>
    <w:bookmarkStart w:id="17" w:name="page18"/>
    <w:bookmarkEnd w:id="17"/>
    <w:p>
      <w:pPr>
        <w:spacing w:after="0" w:line="20" w:lineRule="exact"/>
        <w:rPr>
          <w:sz w:val="20"/>
          <w:szCs w:val="20"/>
          <w:color w:val="auto"/>
        </w:rPr>
      </w:pPr>
    </w:p>
    <w:p>
      <w:pPr>
        <w:sectPr>
          <w:pgSz w:w="11900" w:h="16840" w:orient="portrait"/>
          <w:cols w:equalWidth="1" w:num="1" w:space="0"/>
          <w:pgMar w:left="1440" w:top="1440" w:right="1440" w:bottom="875" w:gutter="0" w:footer="0" w:header="0"/>
        </w:sectPr>
      </w:pPr>
    </w:p>
    <w:bookmarkStart w:id="18" w:name="page19"/>
    <w:bookmarkEnd w:id="1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lowerLetter"/>
      <w:start w:val="1"/>
    </w:lvl>
    <w:lvl w:ilvl="1">
      <w:lvlJc w:val="left"/>
      <w:lvlText w:val="(%2)"/>
      <w:numFmt w:val="lowerRoman"/>
      <w:start w:val="1"/>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lowerLetter"/>
      <w:start w:val="1"/>
    </w:lvl>
    <w:lvl w:ilvl="1">
      <w:lvlJc w:val="left"/>
      <w:lvlText w:val="(%2)"/>
      <w:numFmt w:val="lowerRoman"/>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3"/>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1"/>
    </w:lvl>
    <w:lvl w:ilvl="1">
      <w:lvlJc w:val="left"/>
      <w:lvlText w:val="(%2)"/>
      <w:numFmt w:val="lowerLetter"/>
      <w:start w:val="1"/>
    </w:lvl>
  </w:abstractNum>
  <w:abstractNum w:abstractNumId="21">
    <w:nsid w:val="22221A70"/>
    <w:multiLevelType w:val="hybridMultilevel"/>
    <w:lvl w:ilvl="0">
      <w:lvlJc w:val="left"/>
      <w:lvlText w:val="%1."/>
      <w:numFmt w:val="decimal"/>
      <w:start w:val="3"/>
    </w:lvl>
    <w:lvl w:ilvl="1">
      <w:lvlJc w:val="left"/>
      <w:lvlText w:val="%2"/>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1)"/>
      <w:numFmt w:val="lowerRoman"/>
      <w:start w:val="1"/>
    </w:lvl>
  </w:abstractNum>
  <w:abstractNum w:abstractNumId="25">
    <w:nsid w:val="419AC241"/>
    <w:multiLevelType w:val="hybridMultilevel"/>
    <w:lvl w:ilvl="0">
      <w:lvlJc w:val="left"/>
      <w:lvlText w:val="(%1)"/>
      <w:numFmt w:val="lowerRoman"/>
      <w:start w:val="2"/>
    </w:lvl>
  </w:abstractNum>
  <w:abstractNum w:abstractNumId="26">
    <w:nsid w:val="5577F8E1"/>
    <w:multiLevelType w:val="hybridMultilevel"/>
    <w:lvl w:ilvl="0">
      <w:lvlJc w:val="left"/>
      <w:lvlText w:val="(%1)"/>
      <w:numFmt w:val="lowerLetter"/>
      <w:start w:val="3"/>
    </w:lvl>
  </w:abstractNum>
  <w:abstractNum w:abstractNumId="27">
    <w:nsid w:val="440BADFC"/>
    <w:multiLevelType w:val="hybridMultilevel"/>
    <w:lvl w:ilvl="0">
      <w:lvlJc w:val="left"/>
      <w:lvlText w:val="%1"/>
      <w:numFmt w:val="decimal"/>
      <w:start w:val="1"/>
    </w:lvl>
    <w:lvl w:ilvl="1">
      <w:lvlJc w:val="left"/>
      <w:lvlText w:val="(%2)"/>
      <w:numFmt w:val="lowerLetter"/>
      <w:start w:val="7"/>
    </w:lvl>
  </w:abstractNum>
  <w:abstractNum w:abstractNumId="28">
    <w:nsid w:val="5072367"/>
    <w:multiLevelType w:val="hybridMultilevel"/>
    <w:lvl w:ilvl="0">
      <w:lvlJc w:val="left"/>
      <w:lvlText w:val="%1."/>
      <w:numFmt w:val="decimal"/>
      <w:start w:val="4"/>
    </w:lvl>
    <w:lvl w:ilvl="1">
      <w:lvlJc w:val="left"/>
      <w:lvlText w:val="%2"/>
      <w:numFmt w:val="lowerLetter"/>
      <w:start w:val="1"/>
    </w:lvl>
  </w:abstractNum>
  <w:abstractNum w:abstractNumId="29">
    <w:nsid w:val="3804823E"/>
    <w:multiLevelType w:val="hybridMultilevel"/>
    <w:lvl w:ilvl="0">
      <w:lvlJc w:val="left"/>
      <w:lvlText w:val="%1."/>
      <w:numFmt w:val="decimal"/>
      <w:start w:val="5"/>
    </w:lvl>
    <w:lvl w:ilvl="1">
      <w:lvlJc w:val="left"/>
      <w:lvlText w:val="(%2)"/>
      <w:numFmt w:val="lowerLetter"/>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4"/>
    </w:lvl>
  </w:abstractNum>
  <w:abstractNum w:abstractNumId="32">
    <w:nsid w:val="5C482A97"/>
    <w:multiLevelType w:val="hybridMultilevel"/>
    <w:lvl w:ilvl="0">
      <w:lvlJc w:val="left"/>
      <w:lvlText w:val="%1."/>
      <w:numFmt w:val="decimal"/>
      <w:start w:val="6"/>
    </w:lvl>
    <w:lvl w:ilvl="1">
      <w:lvlJc w:val="left"/>
      <w:lvlText w:val="(%2)"/>
      <w:numFmt w:val="lowerLetter"/>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lowerLetter"/>
      <w:start w:val="2"/>
    </w:lvl>
  </w:abstractNum>
  <w:abstractNum w:abstractNumId="35">
    <w:nsid w:val="51EAD36B"/>
    <w:multiLevelType w:val="hybridMultilevel"/>
    <w:lvl w:ilvl="0">
      <w:lvlJc w:val="left"/>
      <w:lvlText w:val="%1"/>
      <w:numFmt w:val="decimal"/>
      <w:start w:val="1"/>
    </w:lvl>
    <w:lvl w:ilvl="1">
      <w:lvlJc w:val="left"/>
      <w:lvlText w:val="(%2)"/>
      <w:numFmt w:val="lowerLetter"/>
      <w:start w:val="4"/>
    </w:lvl>
  </w:abstractNum>
  <w:abstractNum w:abstractNumId="36">
    <w:nsid w:val="2D517796"/>
    <w:multiLevelType w:val="hybridMultilevel"/>
    <w:lvl w:ilvl="0">
      <w:lvlJc w:val="left"/>
      <w:lvlText w:val="%1."/>
      <w:numFmt w:val="decimal"/>
      <w:start w:val="7"/>
    </w:lvl>
    <w:lvl w:ilvl="1">
      <w:lvlJc w:val="left"/>
      <w:lvlText w:val="%2"/>
      <w:numFmt w:val="lowerLetter"/>
      <w:start w:val="1"/>
    </w:lvl>
  </w:abstractNum>
  <w:abstractNum w:abstractNumId="37">
    <w:nsid w:val="580BD78F"/>
    <w:multiLevelType w:val="hybridMultilevel"/>
    <w:lvl w:ilvl="0">
      <w:lvlJc w:val="left"/>
      <w:lvlText w:val="%1."/>
      <w:numFmt w:val="decimal"/>
      <w:start w:val="8"/>
    </w:lvl>
    <w:lvl w:ilvl="1">
      <w:lvlJc w:val="left"/>
      <w:lvlText w:val="(%2)"/>
      <w:numFmt w:val="lowerLetter"/>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3"/>
    </w:lvl>
  </w:abstractNum>
  <w:abstractNum w:abstractNumId="40">
    <w:nsid w:val="70A64E2A"/>
    <w:multiLevelType w:val="hybridMultilevel"/>
    <w:lvl w:ilvl="0">
      <w:lvlJc w:val="left"/>
      <w:lvlText w:val="(%1)"/>
      <w:numFmt w:val="lowerLetter"/>
      <w:start w:val="3"/>
    </w:lvl>
  </w:abstractNum>
  <w:abstractNum w:abstractNumId="41">
    <w:nsid w:val="6A2342EC"/>
    <w:multiLevelType w:val="hybridMultilevel"/>
    <w:lvl w:ilvl="0">
      <w:lvlJc w:val="left"/>
      <w:lvlText w:val="1"/>
      <w:numFmt w:val="bullet"/>
      <w:start w:val="1"/>
    </w:lvl>
  </w:abstractNum>
  <w:abstractNum w:abstractNumId="42">
    <w:nsid w:val="2A487CB0"/>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2025-10-02T15:49:07Z</dcterms:created>
  <dcterms:modified xsi:type="dcterms:W3CDTF">2025-10-02T15:49:07Z</dcterms:modified>
</cp:coreProperties>
</file>