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6997065" cy="5735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73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(Middle)</w:t>
            </w:r>
          </w:p>
        </w:tc>
      </w:tr>
      <w:tr>
        <w:trPr>
          <w:trHeight w:val="262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Legal Officer,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7,935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34,178.38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4,389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29,789.38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03/04/2024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72,181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101,970.38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39,917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62,053.38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180,455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180,455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8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180,455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75,760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6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performance-based restricted stock units that vested 100% on the 3rd anniversary of the grant date and were subject to the achievement of performance conditions that were attained on the transaction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1, 2024, and the stock options vest as follows: 20% vests on the 1st, 2nd, 3rd, 4th and 5th anniversaries of the date of the grant.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2024-03-05T18:59:52Z</dcterms:created>
  <dcterms:modified xsi:type="dcterms:W3CDTF">2024-03-05T18:59:52Z</dcterms:modified>
</cp:coreProperties>
</file>