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13D/A</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11)*</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ION MEDIA NETWORKS, INC.</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46205A103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Richard Cotton, Executive Vice President and General Counsel</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NBC Universal,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30 Rockefeller Plaza, New York, NY 10112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664-7024</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June 8, 2007</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o</w:t>
      </w:r>
    </w:p>
    <w:p>
      <w:pPr>
        <w:spacing w:after="0" w:line="174"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 for other parties to whom copies are to be sent.</w:t>
      </w:r>
    </w:p>
    <w:p>
      <w:pPr>
        <w:spacing w:after="0" w:line="186" w:lineRule="exact"/>
        <w:rPr>
          <w:sz w:val="24"/>
          <w:szCs w:val="24"/>
          <w:color w:val="auto"/>
        </w:rPr>
      </w:pPr>
    </w:p>
    <w:p>
      <w:pPr>
        <w:ind w:left="180" w:hanging="172"/>
        <w:spacing w:after="0" w:line="268" w:lineRule="auto"/>
        <w:tabs>
          <w:tab w:leader="none" w:pos="1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1" w:name="page2"/>
    <w:bookmarkEnd w:id="1"/>
    <w:p>
      <w:pPr>
        <w:ind w:right="100" w:firstLine="972"/>
        <w:spacing w:after="0" w:line="290" w:lineRule="auto"/>
        <w:rPr>
          <w:sz w:val="20"/>
          <w:szCs w:val="20"/>
          <w:color w:val="auto"/>
        </w:rPr>
      </w:pPr>
      <w:r>
        <w:rPr>
          <w:rFonts w:ascii="Arial" w:cs="Arial" w:eastAsia="Arial" w:hAnsi="Arial"/>
          <w:sz w:val="16"/>
          <w:szCs w:val="16"/>
          <w:color w:val="auto"/>
        </w:rPr>
        <w:t>This Amendment No. 11 to Schedule 13D (“</w:t>
      </w:r>
      <w:r>
        <w:rPr>
          <w:rFonts w:ascii="Arial" w:cs="Arial" w:eastAsia="Arial" w:hAnsi="Arial"/>
          <w:sz w:val="16"/>
          <w:szCs w:val="16"/>
          <w:u w:val="single" w:color="auto"/>
          <w:color w:val="auto"/>
        </w:rPr>
        <w:t>Amendment No. 11</w:t>
      </w:r>
      <w:r>
        <w:rPr>
          <w:rFonts w:ascii="Arial" w:cs="Arial" w:eastAsia="Arial" w:hAnsi="Arial"/>
          <w:sz w:val="16"/>
          <w:szCs w:val="16"/>
          <w:color w:val="auto"/>
        </w:rPr>
        <w:t>”) amends the Schedule 13D filed on September 27, 1999 (the “</w:t>
      </w:r>
      <w:r>
        <w:rPr>
          <w:rFonts w:ascii="Arial" w:cs="Arial" w:eastAsia="Arial" w:hAnsi="Arial"/>
          <w:sz w:val="16"/>
          <w:szCs w:val="16"/>
          <w:u w:val="single" w:color="auto"/>
          <w:color w:val="auto"/>
        </w:rPr>
        <w:t>Initial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13D</w:t>
      </w:r>
      <w:r>
        <w:rPr>
          <w:rFonts w:ascii="Arial" w:cs="Arial" w:eastAsia="Arial" w:hAnsi="Arial"/>
          <w:sz w:val="16"/>
          <w:szCs w:val="16"/>
          <w:color w:val="auto"/>
        </w:rPr>
        <w:t>”), as amended by Amendment No. 1 filed on February 14, 2003, Amendment No. 2 filed on November 9, 2005, Amendment No. 3 filed on January 18, 2007, Amendment No. 4 filed on February 23, 2007, Amendment No. 5 filed on March 15, 2007, Amendment No. 6 filed on March 30, 2007, Amendment No. 7 filed on April 11, 2007, Amendment No. 8 filed on April 12, 2007, Amendment No. 9 filed on April 30, 2007 and Amendment No. 10 filed on May 8, 2007 (together with the Initial Schedule 13D, the “</w:t>
      </w:r>
      <w:r>
        <w:rPr>
          <w:rFonts w:ascii="Arial" w:cs="Arial" w:eastAsia="Arial" w:hAnsi="Arial"/>
          <w:sz w:val="16"/>
          <w:szCs w:val="16"/>
          <w:u w:val="single" w:color="auto"/>
          <w:color w:val="auto"/>
        </w:rPr>
        <w:t>Schedule 13D</w:t>
      </w:r>
      <w:r>
        <w:rPr>
          <w:rFonts w:ascii="Arial" w:cs="Arial" w:eastAsia="Arial" w:hAnsi="Arial"/>
          <w:sz w:val="16"/>
          <w:szCs w:val="16"/>
          <w:color w:val="auto"/>
        </w:rPr>
        <w:t>”), which relates to shares of Class A Common Stock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par value $0.001 per share, of ION Media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but not defined herein shall have the meanings attributed to them in the Schedule 13D. All items or responses not described herein remain as previously reported in the Schedule 13D.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Item 4 of the Schedule 13D is hereby amended and supplemented by adding the following immediately after the last paragraph thereof:</w:t>
      </w:r>
    </w:p>
    <w:p>
      <w:pPr>
        <w:spacing w:after="0" w:line="248" w:lineRule="exact"/>
        <w:rPr>
          <w:sz w:val="20"/>
          <w:szCs w:val="20"/>
          <w:color w:val="auto"/>
        </w:rPr>
      </w:pPr>
    </w:p>
    <w:p>
      <w:pPr>
        <w:ind w:right="260" w:firstLine="972"/>
        <w:spacing w:after="0" w:line="268" w:lineRule="auto"/>
        <w:rPr>
          <w:sz w:val="20"/>
          <w:szCs w:val="20"/>
          <w:color w:val="auto"/>
        </w:rPr>
      </w:pPr>
      <w:r>
        <w:rPr>
          <w:rFonts w:ascii="Arial" w:cs="Arial" w:eastAsia="Arial" w:hAnsi="Arial"/>
          <w:sz w:val="18"/>
          <w:szCs w:val="18"/>
          <w:color w:val="auto"/>
        </w:rPr>
        <w:t>“On June 8, 2007, the NBCU Entities, the Company and CM entered into an amendment to the Master Agreement (the “June 8 Amendment”), in order to clarify certain of their rights and obligations under the Master Agreement.</w:t>
      </w:r>
    </w:p>
    <w:p>
      <w:pPr>
        <w:spacing w:after="0" w:line="186" w:lineRule="exact"/>
        <w:rPr>
          <w:sz w:val="20"/>
          <w:szCs w:val="20"/>
          <w:color w:val="auto"/>
        </w:rPr>
      </w:pPr>
    </w:p>
    <w:p>
      <w:pPr>
        <w:ind w:right="200" w:firstLine="972"/>
        <w:spacing w:after="0" w:line="268" w:lineRule="auto"/>
        <w:rPr>
          <w:sz w:val="20"/>
          <w:szCs w:val="20"/>
          <w:color w:val="auto"/>
        </w:rPr>
      </w:pPr>
      <w:r>
        <w:rPr>
          <w:rFonts w:ascii="Arial" w:cs="Arial" w:eastAsia="Arial" w:hAnsi="Arial"/>
          <w:sz w:val="18"/>
          <w:szCs w:val="18"/>
          <w:color w:val="auto"/>
        </w:rPr>
        <w:t>This description of the June 8 Amendment is not complete and is subject to the terms of the June 6 Amendment, attached hereto as Exhibit 36 and incorporated herein by reference.</w:t>
      </w:r>
    </w:p>
    <w:p>
      <w:pPr>
        <w:spacing w:after="0" w:line="186" w:lineRule="exact"/>
        <w:rPr>
          <w:sz w:val="20"/>
          <w:szCs w:val="20"/>
          <w:color w:val="auto"/>
        </w:rPr>
      </w:pPr>
    </w:p>
    <w:p>
      <w:pPr>
        <w:ind w:right="60" w:firstLine="972"/>
        <w:spacing w:after="0" w:line="332" w:lineRule="auto"/>
        <w:rPr>
          <w:sz w:val="20"/>
          <w:szCs w:val="20"/>
          <w:color w:val="auto"/>
        </w:rPr>
      </w:pPr>
      <w:r>
        <w:rPr>
          <w:rFonts w:ascii="Arial" w:cs="Arial" w:eastAsia="Arial" w:hAnsi="Arial"/>
          <w:sz w:val="16"/>
          <w:szCs w:val="16"/>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318"/>
        </w:trPr>
        <w:tc>
          <w:tcPr>
            <w:tcW w:w="1600" w:type="dxa"/>
            <w:vAlign w:val="bottom"/>
          </w:tcPr>
          <w:p>
            <w:pPr>
              <w:ind w:left="360"/>
              <w:spacing w:after="0"/>
              <w:rPr>
                <w:sz w:val="20"/>
                <w:szCs w:val="20"/>
                <w:color w:val="auto"/>
              </w:rPr>
            </w:pPr>
            <w:r>
              <w:rPr>
                <w:rFonts w:ascii="Arial" w:cs="Arial" w:eastAsia="Arial" w:hAnsi="Arial"/>
                <w:sz w:val="18"/>
                <w:szCs w:val="18"/>
                <w:color w:val="auto"/>
              </w:rPr>
              <w:t>Exhibit 36</w:t>
            </w:r>
          </w:p>
        </w:tc>
        <w:tc>
          <w:tcPr>
            <w:tcW w:w="9840" w:type="dxa"/>
            <w:vAlign w:val="bottom"/>
          </w:tcPr>
          <w:p>
            <w:pPr>
              <w:ind w:left="360"/>
              <w:spacing w:after="0"/>
              <w:rPr>
                <w:sz w:val="20"/>
                <w:szCs w:val="20"/>
                <w:color w:val="auto"/>
              </w:rPr>
            </w:pPr>
            <w:r>
              <w:rPr>
                <w:rFonts w:ascii="Arial" w:cs="Arial" w:eastAsia="Arial" w:hAnsi="Arial"/>
                <w:sz w:val="18"/>
                <w:szCs w:val="18"/>
                <w:color w:val="auto"/>
              </w:rPr>
              <w:t>Amendment letter, dated June 8, 2007, from NBC Universal, Inc., NBC Palm Beach</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Investment I, Inc. and NBC Palm Beach Investment II, Inc. to ION Media Networks, Inc. and</w:t>
            </w:r>
          </w:p>
        </w:tc>
      </w:tr>
      <w:tr>
        <w:trPr>
          <w:trHeight w:val="222"/>
        </w:trPr>
        <w:tc>
          <w:tcPr>
            <w:tcW w:w="1600" w:type="dxa"/>
            <w:vAlign w:val="bottom"/>
          </w:tcPr>
          <w:p>
            <w:pPr>
              <w:spacing w:after="0"/>
              <w:rPr>
                <w:sz w:val="19"/>
                <w:szCs w:val="19"/>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CIG Media LLC</w:t>
            </w:r>
          </w:p>
        </w:tc>
      </w:tr>
      <w:tr>
        <w:trPr>
          <w:trHeight w:val="715"/>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GENERAL ELECTRIC COMPANY</w:t>
      </w:r>
    </w:p>
    <w:p>
      <w:pPr>
        <w:spacing w:after="0" w:line="252" w:lineRule="exact"/>
        <w:rPr>
          <w:sz w:val="20"/>
          <w:szCs w:val="20"/>
          <w:color w:val="auto"/>
        </w:rPr>
      </w:pPr>
    </w:p>
    <w:tbl>
      <w:tblPr>
        <w:tblLayout w:type="fixed"/>
        <w:tblInd w:w="680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Richard Cotton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860" w:type="dxa"/>
            <w:vAlign w:val="bottom"/>
          </w:tcPr>
          <w:p>
            <w:pPr>
              <w:ind w:left="100"/>
              <w:spacing w:after="0" w:line="203" w:lineRule="exact"/>
              <w:rPr>
                <w:sz w:val="20"/>
                <w:szCs w:val="20"/>
                <w:color w:val="auto"/>
              </w:rPr>
            </w:pPr>
            <w:r>
              <w:rPr>
                <w:rFonts w:ascii="Arial" w:cs="Arial" w:eastAsia="Arial" w:hAnsi="Arial"/>
                <w:sz w:val="18"/>
                <w:szCs w:val="18"/>
                <w:color w:val="auto"/>
              </w:rPr>
              <w:t>Richard Cotton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NATIONAL BROADCASTING COMPANY HOLDING, INC.</w:t>
      </w:r>
    </w:p>
    <w:p>
      <w:pPr>
        <w:spacing w:after="0" w:line="252" w:lineRule="exact"/>
        <w:rPr>
          <w:sz w:val="20"/>
          <w:szCs w:val="20"/>
          <w:color w:val="auto"/>
        </w:rPr>
      </w:pPr>
    </w:p>
    <w:tbl>
      <w:tblPr>
        <w:tblLayout w:type="fixed"/>
        <w:tblInd w:w="680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Richard Cotton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860" w:type="dxa"/>
            <w:vAlign w:val="bottom"/>
          </w:tcPr>
          <w:p>
            <w:pPr>
              <w:ind w:left="100"/>
              <w:spacing w:after="0" w:line="203" w:lineRule="exact"/>
              <w:rPr>
                <w:sz w:val="20"/>
                <w:szCs w:val="20"/>
                <w:color w:val="auto"/>
              </w:rPr>
            </w:pPr>
            <w:r>
              <w:rPr>
                <w:rFonts w:ascii="Arial" w:cs="Arial" w:eastAsia="Arial" w:hAnsi="Arial"/>
                <w:sz w:val="18"/>
                <w:szCs w:val="18"/>
                <w:color w:val="auto"/>
              </w:rPr>
              <w:t>Richard Cotton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r>
        <w:trPr>
          <w:trHeight w:val="945"/>
        </w:trPr>
        <w:tc>
          <w:tcPr>
            <w:tcW w:w="4620" w:type="dxa"/>
            <w:vAlign w:val="bottom"/>
            <w:gridSpan w:val="2"/>
          </w:tcPr>
          <w:p>
            <w:pPr>
              <w:spacing w:after="0"/>
              <w:rPr>
                <w:sz w:val="20"/>
                <w:szCs w:val="20"/>
                <w:color w:val="auto"/>
              </w:rPr>
            </w:pPr>
            <w:r>
              <w:rPr>
                <w:rFonts w:ascii="Arial" w:cs="Arial" w:eastAsia="Arial" w:hAnsi="Arial"/>
                <w:sz w:val="18"/>
                <w:szCs w:val="18"/>
                <w:color w:val="auto"/>
              </w:rPr>
              <w:t>NBC UNIVERSAL, INC.</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Richard Cotton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860" w:type="dxa"/>
            <w:vAlign w:val="bottom"/>
          </w:tcPr>
          <w:p>
            <w:pPr>
              <w:ind w:left="100"/>
              <w:spacing w:after="0" w:line="203" w:lineRule="exact"/>
              <w:rPr>
                <w:sz w:val="20"/>
                <w:szCs w:val="20"/>
                <w:color w:val="auto"/>
              </w:rPr>
            </w:pPr>
            <w:r>
              <w:rPr>
                <w:rFonts w:ascii="Arial" w:cs="Arial" w:eastAsia="Arial" w:hAnsi="Arial"/>
                <w:sz w:val="18"/>
                <w:szCs w:val="18"/>
                <w:color w:val="auto"/>
              </w:rPr>
              <w:t>Richard Cotton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60"/>
              <w:spacing w:after="0"/>
              <w:rPr>
                <w:sz w:val="20"/>
                <w:szCs w:val="20"/>
                <w:color w:val="auto"/>
              </w:rPr>
            </w:pPr>
            <w:r>
              <w:rPr>
                <w:rFonts w:ascii="Arial" w:cs="Arial" w:eastAsia="Arial" w:hAnsi="Arial"/>
                <w:sz w:val="18"/>
                <w:szCs w:val="18"/>
                <w:color w:val="auto"/>
                <w:w w:val="98"/>
              </w:rPr>
              <w:t>Executive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NBC PALM BEACH INVESTMENT I, INC.</w:t>
      </w:r>
    </w:p>
    <w:p>
      <w:pPr>
        <w:spacing w:after="0" w:line="252" w:lineRule="exact"/>
        <w:rPr>
          <w:sz w:val="20"/>
          <w:szCs w:val="20"/>
          <w:color w:val="auto"/>
        </w:rPr>
      </w:pPr>
    </w:p>
    <w:tbl>
      <w:tblPr>
        <w:tblLayout w:type="fixed"/>
        <w:tblInd w:w="680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right"/>
              <w:ind w:right="1992"/>
              <w:spacing w:after="0"/>
              <w:rPr>
                <w:sz w:val="20"/>
                <w:szCs w:val="20"/>
                <w:color w:val="auto"/>
              </w:rPr>
            </w:pPr>
            <w:r>
              <w:rPr>
                <w:rFonts w:ascii="Arial" w:cs="Arial" w:eastAsia="Arial" w:hAnsi="Arial"/>
                <w:sz w:val="18"/>
                <w:szCs w:val="18"/>
                <w:color w:val="auto"/>
              </w:rPr>
              <w:t>/s/ Richard Cotton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860" w:type="dxa"/>
            <w:vAlign w:val="bottom"/>
          </w:tcPr>
          <w:p>
            <w:pPr>
              <w:jc w:val="right"/>
              <w:ind w:right="2592"/>
              <w:spacing w:after="0" w:line="203" w:lineRule="exact"/>
              <w:rPr>
                <w:sz w:val="20"/>
                <w:szCs w:val="20"/>
                <w:color w:val="auto"/>
              </w:rPr>
            </w:pPr>
            <w:r>
              <w:rPr>
                <w:rFonts w:ascii="Arial" w:cs="Arial" w:eastAsia="Arial" w:hAnsi="Arial"/>
                <w:sz w:val="18"/>
                <w:szCs w:val="18"/>
                <w:color w:val="auto"/>
                <w:w w:val="96"/>
              </w:rPr>
              <w:t>Richard Cotton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jc w:val="right"/>
              <w:ind w:right="2592"/>
              <w:spacing w:after="0"/>
              <w:rPr>
                <w:sz w:val="20"/>
                <w:szCs w:val="20"/>
                <w:color w:val="auto"/>
              </w:rPr>
            </w:pPr>
            <w:r>
              <w:rPr>
                <w:rFonts w:ascii="Arial" w:cs="Arial" w:eastAsia="Arial" w:hAnsi="Arial"/>
                <w:sz w:val="18"/>
                <w:szCs w:val="18"/>
                <w:color w:val="auto"/>
                <w:w w:val="99"/>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NBC PALM BEACH INVESTMENT II, INC.</w:t>
      </w:r>
    </w:p>
    <w:p>
      <w:pPr>
        <w:spacing w:after="0" w:line="252" w:lineRule="exact"/>
        <w:rPr>
          <w:sz w:val="20"/>
          <w:szCs w:val="20"/>
          <w:color w:val="auto"/>
        </w:rPr>
      </w:pPr>
    </w:p>
    <w:tbl>
      <w:tblPr>
        <w:tblLayout w:type="fixed"/>
        <w:tblInd w:w="680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right"/>
              <w:ind w:right="1992"/>
              <w:spacing w:after="0"/>
              <w:rPr>
                <w:sz w:val="20"/>
                <w:szCs w:val="20"/>
                <w:color w:val="auto"/>
              </w:rPr>
            </w:pPr>
            <w:r>
              <w:rPr>
                <w:rFonts w:ascii="Arial" w:cs="Arial" w:eastAsia="Arial" w:hAnsi="Arial"/>
                <w:sz w:val="18"/>
                <w:szCs w:val="18"/>
                <w:color w:val="auto"/>
              </w:rPr>
              <w:t>/s/ Richard Cotton</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860" w:type="dxa"/>
            <w:vAlign w:val="bottom"/>
          </w:tcPr>
          <w:p>
            <w:pPr>
              <w:jc w:val="right"/>
              <w:ind w:right="2592"/>
              <w:spacing w:after="0" w:line="203" w:lineRule="exact"/>
              <w:rPr>
                <w:sz w:val="20"/>
                <w:szCs w:val="20"/>
                <w:color w:val="auto"/>
              </w:rPr>
            </w:pPr>
            <w:r>
              <w:rPr>
                <w:rFonts w:ascii="Arial" w:cs="Arial" w:eastAsia="Arial" w:hAnsi="Arial"/>
                <w:sz w:val="18"/>
                <w:szCs w:val="18"/>
                <w:color w:val="auto"/>
                <w:w w:val="96"/>
              </w:rPr>
              <w:t>Richard Cotton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jc w:val="right"/>
              <w:ind w:right="2592"/>
              <w:spacing w:after="0"/>
              <w:rPr>
                <w:sz w:val="20"/>
                <w:szCs w:val="20"/>
                <w:color w:val="auto"/>
              </w:rPr>
            </w:pPr>
            <w:r>
              <w:rPr>
                <w:rFonts w:ascii="Arial" w:cs="Arial" w:eastAsia="Arial" w:hAnsi="Arial"/>
                <w:sz w:val="18"/>
                <w:szCs w:val="18"/>
                <w:color w:val="auto"/>
                <w:w w:val="99"/>
              </w:rPr>
              <w:t>Vice President</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940" w:type="dxa"/>
            <w:vAlign w:val="bottom"/>
            <w:gridSpan w:val="3"/>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721"/>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4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561"/>
        </w:trPr>
        <w:tc>
          <w:tcPr>
            <w:tcW w:w="1240" w:type="dxa"/>
            <w:vAlign w:val="bottom"/>
          </w:tcPr>
          <w:p>
            <w:pPr>
              <w:spacing w:after="0"/>
              <w:rPr>
                <w:sz w:val="20"/>
                <w:szCs w:val="20"/>
                <w:color w:val="auto"/>
              </w:rPr>
            </w:pPr>
            <w:r>
              <w:rPr>
                <w:rFonts w:ascii="Arial" w:cs="Arial" w:eastAsia="Arial" w:hAnsi="Arial"/>
                <w:sz w:val="18"/>
                <w:szCs w:val="18"/>
                <w:color w:val="auto"/>
              </w:rPr>
              <w:t>Exhibit 36</w:t>
            </w:r>
          </w:p>
        </w:tc>
        <w:tc>
          <w:tcPr>
            <w:tcW w:w="6940" w:type="dxa"/>
            <w:vAlign w:val="bottom"/>
            <w:gridSpan w:val="3"/>
          </w:tcPr>
          <w:p>
            <w:pPr>
              <w:ind w:left="360"/>
              <w:spacing w:after="0"/>
              <w:rPr>
                <w:sz w:val="20"/>
                <w:szCs w:val="20"/>
                <w:color w:val="auto"/>
              </w:rPr>
            </w:pPr>
            <w:r>
              <w:rPr>
                <w:rFonts w:ascii="Arial" w:cs="Arial" w:eastAsia="Arial" w:hAnsi="Arial"/>
                <w:sz w:val="18"/>
                <w:szCs w:val="18"/>
                <w:color w:val="auto"/>
                <w:w w:val="98"/>
              </w:rPr>
              <w:t>Amendment letter, dated June 8, 2007, from NBC Universal, Inc., NBC Palm Beach</w:t>
            </w:r>
          </w:p>
        </w:tc>
      </w:tr>
      <w:tr>
        <w:trPr>
          <w:trHeight w:val="216"/>
        </w:trPr>
        <w:tc>
          <w:tcPr>
            <w:tcW w:w="1240" w:type="dxa"/>
            <w:vAlign w:val="bottom"/>
          </w:tcPr>
          <w:p>
            <w:pPr>
              <w:spacing w:after="0"/>
              <w:rPr>
                <w:sz w:val="18"/>
                <w:szCs w:val="18"/>
                <w:color w:val="auto"/>
              </w:rPr>
            </w:pPr>
          </w:p>
        </w:tc>
        <w:tc>
          <w:tcPr>
            <w:tcW w:w="6940" w:type="dxa"/>
            <w:vAlign w:val="bottom"/>
            <w:gridSpan w:val="3"/>
          </w:tcPr>
          <w:p>
            <w:pPr>
              <w:ind w:left="360"/>
              <w:spacing w:after="0"/>
              <w:rPr>
                <w:sz w:val="20"/>
                <w:szCs w:val="20"/>
                <w:color w:val="auto"/>
              </w:rPr>
            </w:pPr>
            <w:r>
              <w:rPr>
                <w:rFonts w:ascii="Arial" w:cs="Arial" w:eastAsia="Arial" w:hAnsi="Arial"/>
                <w:sz w:val="18"/>
                <w:szCs w:val="18"/>
                <w:color w:val="auto"/>
                <w:w w:val="89"/>
              </w:rPr>
              <w:t>Investment I, Inc. and NBC Palm Beach Investment II, Inc. to ION Media Networks, Inc. and</w:t>
            </w:r>
          </w:p>
        </w:tc>
      </w:tr>
      <w:tr>
        <w:trPr>
          <w:trHeight w:val="222"/>
        </w:trPr>
        <w:tc>
          <w:tcPr>
            <w:tcW w:w="1240" w:type="dxa"/>
            <w:vAlign w:val="bottom"/>
          </w:tcPr>
          <w:p>
            <w:pPr>
              <w:spacing w:after="0"/>
              <w:rPr>
                <w:sz w:val="19"/>
                <w:szCs w:val="19"/>
                <w:color w:val="auto"/>
              </w:rPr>
            </w:pPr>
          </w:p>
        </w:tc>
        <w:tc>
          <w:tcPr>
            <w:tcW w:w="6940" w:type="dxa"/>
            <w:vAlign w:val="bottom"/>
            <w:gridSpan w:val="3"/>
          </w:tcPr>
          <w:p>
            <w:pPr>
              <w:ind w:left="360"/>
              <w:spacing w:after="0"/>
              <w:rPr>
                <w:sz w:val="20"/>
                <w:szCs w:val="20"/>
                <w:color w:val="auto"/>
              </w:rPr>
            </w:pPr>
            <w:r>
              <w:rPr>
                <w:rFonts w:ascii="Arial" w:cs="Arial" w:eastAsia="Arial" w:hAnsi="Arial"/>
                <w:sz w:val="18"/>
                <w:szCs w:val="18"/>
                <w:color w:val="auto"/>
              </w:rPr>
              <w:t>CIG Media LLC</w:t>
            </w:r>
          </w:p>
        </w:tc>
      </w:tr>
    </w:tbl>
    <w:p>
      <w:pPr>
        <w:sectPr>
          <w:pgSz w:w="11900" w:h="16838" w:orient="portrait"/>
          <w:cols w:equalWidth="0" w:num="1">
            <w:col w:w="9859"/>
          </w:cols>
          <w:pgMar w:left="600" w:top="10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ION Media Networks,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 33401-6233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561-659-4122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561-655-9424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CIG 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131 S. Dearborn Street, 32nd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312-267-7628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Reference is hereby made to the Master Transaction Agreement, dated as of May 3, 2007 (the “</w:t>
      </w:r>
      <w:r>
        <w:rPr>
          <w:rFonts w:ascii="Arial" w:cs="Arial" w:eastAsia="Arial" w:hAnsi="Arial"/>
          <w:sz w:val="16"/>
          <w:szCs w:val="16"/>
          <w:u w:val="single" w:color="auto"/>
          <w:color w:val="auto"/>
        </w:rPr>
        <w:t>Master Agreement</w:t>
      </w:r>
      <w:r>
        <w:rPr>
          <w:rFonts w:ascii="Arial" w:cs="Arial" w:eastAsia="Arial" w:hAnsi="Arial"/>
          <w:sz w:val="16"/>
          <w:szCs w:val="16"/>
          <w:color w:val="auto"/>
        </w:rPr>
        <w:t>”), by and among ION Media Networks,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NBC Universal, Inc., a Delaware corporation (“</w:t>
      </w:r>
      <w:r>
        <w:rPr>
          <w:rFonts w:ascii="Arial" w:cs="Arial" w:eastAsia="Arial" w:hAnsi="Arial"/>
          <w:sz w:val="16"/>
          <w:szCs w:val="16"/>
          <w:u w:val="single" w:color="auto"/>
          <w:color w:val="auto"/>
        </w:rPr>
        <w:t>NBCU</w:t>
      </w:r>
      <w:r>
        <w:rPr>
          <w:rFonts w:ascii="Arial" w:cs="Arial" w:eastAsia="Arial" w:hAnsi="Arial"/>
          <w:sz w:val="16"/>
          <w:szCs w:val="16"/>
          <w:color w:val="auto"/>
        </w:rPr>
        <w:t>”), NBC Palm Beach Investment I, Inc., a California corporation (“</w:t>
      </w:r>
      <w:r>
        <w:rPr>
          <w:rFonts w:ascii="Arial" w:cs="Arial" w:eastAsia="Arial" w:hAnsi="Arial"/>
          <w:sz w:val="16"/>
          <w:szCs w:val="16"/>
          <w:u w:val="single" w:color="auto"/>
          <w:color w:val="auto"/>
        </w:rPr>
        <w:t>NBC Palm Beach I</w:t>
      </w:r>
      <w:r>
        <w:rPr>
          <w:rFonts w:ascii="Arial" w:cs="Arial" w:eastAsia="Arial" w:hAnsi="Arial"/>
          <w:sz w:val="16"/>
          <w:szCs w:val="16"/>
          <w:color w:val="auto"/>
        </w:rPr>
        <w:t>”), NBC Palm Beach Investment II, Inc., a California corporation (“</w:t>
      </w:r>
      <w:r>
        <w:rPr>
          <w:rFonts w:ascii="Arial" w:cs="Arial" w:eastAsia="Arial" w:hAnsi="Arial"/>
          <w:sz w:val="16"/>
          <w:szCs w:val="16"/>
          <w:u w:val="single" w:color="auto"/>
          <w:color w:val="auto"/>
        </w:rPr>
        <w:t>NBC Palm Beach II</w:t>
      </w:r>
      <w:r>
        <w:rPr>
          <w:rFonts w:ascii="Arial" w:cs="Arial" w:eastAsia="Arial" w:hAnsi="Arial"/>
          <w:sz w:val="16"/>
          <w:szCs w:val="16"/>
          <w:color w:val="auto"/>
        </w:rPr>
        <w:t>” and, together with NBCU and NBC Palm Beach I, the “</w:t>
      </w:r>
      <w:r>
        <w:rPr>
          <w:rFonts w:ascii="Arial" w:cs="Arial" w:eastAsia="Arial" w:hAnsi="Arial"/>
          <w:sz w:val="16"/>
          <w:szCs w:val="16"/>
          <w:u w:val="single" w:color="auto"/>
          <w:color w:val="auto"/>
        </w:rPr>
        <w:t>NBCU Entities</w:t>
      </w:r>
      <w:r>
        <w:rPr>
          <w:rFonts w:ascii="Arial" w:cs="Arial" w:eastAsia="Arial" w:hAnsi="Arial"/>
          <w:sz w:val="16"/>
          <w:szCs w:val="16"/>
          <w:color w:val="auto"/>
        </w:rPr>
        <w:t>”), and CIG Media LLC, a Delaware limited liability company (“</w:t>
      </w:r>
      <w:r>
        <w:rPr>
          <w:rFonts w:ascii="Arial" w:cs="Arial" w:eastAsia="Arial" w:hAnsi="Arial"/>
          <w:sz w:val="16"/>
          <w:szCs w:val="16"/>
          <w:u w:val="single" w:color="auto"/>
          <w:color w:val="auto"/>
        </w:rPr>
        <w:t>CIG Media</w:t>
      </w:r>
      <w:r>
        <w:rPr>
          <w:rFonts w:ascii="Arial" w:cs="Arial" w:eastAsia="Arial" w:hAnsi="Arial"/>
          <w:sz w:val="16"/>
          <w:szCs w:val="16"/>
          <w:color w:val="auto"/>
        </w:rPr>
        <w:t>”). All capitalized terms used but not otherwise defined herein shall have the meanings given to them in the Master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parties to the Master Agreement wish to clarify their rights and obligations by amending the Master Agreement as set forth in this letter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of the Master Agreement, the Company, the NBCU Entities and CIG Media hereby amend the Master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9" w:lineRule="exact"/>
        <w:rPr>
          <w:sz w:val="20"/>
          <w:szCs w:val="20"/>
          <w:color w:val="auto"/>
        </w:rPr>
      </w:pPr>
    </w:p>
    <w:p>
      <w:pPr>
        <w:ind w:right="200" w:firstLine="656"/>
        <w:spacing w:after="0" w:line="268"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definition of “Series C Convertible Preferred Certificate of Designation”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Master Agreement is hereby amended by deleting such definition in its entirety and replacing it with the following:</w:t>
      </w:r>
    </w:p>
    <w:p>
      <w:pPr>
        <w:spacing w:after="0" w:line="186"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Convertible Preferred Certificate of Designation</w:t>
      </w:r>
      <w:r>
        <w:rPr>
          <w:rFonts w:ascii="Arial" w:cs="Arial" w:eastAsia="Arial" w:hAnsi="Arial"/>
          <w:sz w:val="16"/>
          <w:szCs w:val="16"/>
          <w:color w:val="auto"/>
        </w:rPr>
        <w:t>’” means the Certificate of Designation of Series C Convertible Preferred to be executed and filed with the Secretary of State of the State of Delaware immediately following the Exchange Offer which shall have become effective and shall be in full force and effect upon filing with the Secretary of State of the State of Delaware, in the form of Exhibit J-1 attached hereto, in the event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is 50% or less successful, and in the form of Exhibit J-2 attached hereto, in the event the Exchange Offer is more than 50% successful.”</w:t>
      </w:r>
    </w:p>
    <w:p>
      <w:pPr>
        <w:spacing w:after="0" w:line="225"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of the Master Agreement is hereby amended by deleting the last sentence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in its entirety and replacing it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19"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“In order for shares of Senior Preferred Stock to be validly tendered, each holder of Senior Preferred Stock who tenders in the Exchange Offer shall tender all but not less than all of the Senior Preferred Stock such holder owns.”</w:t>
      </w:r>
    </w:p>
    <w:p>
      <w:pPr>
        <w:spacing w:after="0" w:line="186" w:lineRule="exact"/>
        <w:rPr>
          <w:sz w:val="20"/>
          <w:szCs w:val="20"/>
          <w:color w:val="auto"/>
        </w:rPr>
      </w:pPr>
    </w:p>
    <w:p>
      <w:pPr>
        <w:ind w:left="1320" w:hanging="664"/>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of the Master Agreement is hereby amended by deleting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in its entirety and replacing it with the following:</w:t>
      </w:r>
    </w:p>
    <w:p>
      <w:pPr>
        <w:spacing w:after="0" w:line="24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of Series F Non-Convertible Preferred</w:t>
      </w:r>
      <w:r>
        <w:rPr>
          <w:rFonts w:ascii="Arial" w:cs="Arial" w:eastAsia="Arial" w:hAnsi="Arial"/>
          <w:sz w:val="16"/>
          <w:szCs w:val="16"/>
          <w:color w:val="auto"/>
        </w:rPr>
        <w:t>. Promptly following the Exchange Offer Closing or immediately prior to the Contingent Exchange, as applicable, CIG shall surrender and deliver to the Company (a) one or more certificates representing $95,584,689 aggregate stated liquidation preference of Series F Non-Convertible Preferred in exchange for $95,584,689 aggregate stated liquidation preference of (i) Series A-2 Preferred Stock, or (ii) in the case of a Minority Exchange or the Exchange Offer Expiration, Series C Preferred Stock and (b) one or more certificates representing $114,415,311 aggregate stated liquidation preference of Series F Non-Convertible Preferred in exchange for $200,000,000 aggregate stated liquidation preference of Series E-2 Convertible Preferred. Immediately following receipt of such certificates representing an aggregate stated liquidation preference of $210,000,000 of Series F Non-Convertible Preferred Stock surrendered by CIG, the Company shall cancel such certificates and issue to CIG certificates representing $95,584,689 aggregate stated liquidation preference of (i) Series A-2 Preferred Stock, or (ii) in the case of a Minority Exchange or the Exchange Offer Expiration, Series C Preferred Stock and $200,000,000 aggregate stated liquidation preference of Series E-2 Convertible Preferred, respectively.”</w:t>
      </w:r>
    </w:p>
    <w:p>
      <w:pPr>
        <w:spacing w:after="0" w:line="174"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Section 10.14(a)</w:t>
      </w:r>
      <w:r>
        <w:rPr>
          <w:rFonts w:ascii="Arial" w:cs="Arial" w:eastAsia="Arial" w:hAnsi="Arial"/>
          <w:sz w:val="16"/>
          <w:szCs w:val="16"/>
          <w:color w:val="auto"/>
        </w:rPr>
        <w:t xml:space="preserve"> of the Master Agreement is hereby amended by deleting </w:t>
      </w:r>
      <w:r>
        <w:rPr>
          <w:rFonts w:ascii="Arial" w:cs="Arial" w:eastAsia="Arial" w:hAnsi="Arial"/>
          <w:sz w:val="16"/>
          <w:szCs w:val="16"/>
          <w:u w:val="single" w:color="auto"/>
          <w:color w:val="auto"/>
        </w:rPr>
        <w:t>Section 10.14(a)</w:t>
      </w:r>
      <w:r>
        <w:rPr>
          <w:rFonts w:ascii="Arial" w:cs="Arial" w:eastAsia="Arial" w:hAnsi="Arial"/>
          <w:sz w:val="16"/>
          <w:szCs w:val="16"/>
          <w:color w:val="auto"/>
        </w:rPr>
        <w:t xml:space="preserve"> in its entirety and replacing it with the following:</w:t>
      </w:r>
    </w:p>
    <w:p>
      <w:pPr>
        <w:spacing w:after="0" w:line="248" w:lineRule="exact"/>
        <w:rPr>
          <w:sz w:val="20"/>
          <w:szCs w:val="20"/>
          <w:color w:val="auto"/>
        </w:rPr>
      </w:pPr>
    </w:p>
    <w:p>
      <w:pPr>
        <w:jc w:val="both"/>
        <w:ind w:right="180" w:firstLine="648"/>
        <w:spacing w:after="0" w:line="298" w:lineRule="auto"/>
        <w:rPr>
          <w:sz w:val="20"/>
          <w:szCs w:val="20"/>
          <w:color w:val="auto"/>
        </w:rPr>
      </w:pPr>
      <w:r>
        <w:rPr>
          <w:rFonts w:ascii="Arial" w:cs="Arial" w:eastAsia="Arial" w:hAnsi="Arial"/>
          <w:sz w:val="16"/>
          <w:szCs w:val="16"/>
          <w:color w:val="auto"/>
        </w:rPr>
        <w:t>“In the event the Call Closing does not occur on or prior to the Call Deadline (as defined in the Call Agreement) or the FCC Approval is denied, NBC Palm Beach I shall deliver to CIG one or more notes representing an aggregate principal amount of Series B Convertible Subordinated Debt held by NBC Palm Beach I after giving effect to Section 10.12, if any, in exchange for one or more certificates representing an equal aggregate stated liquidation preference of the Series A-2 Preferred Stock or Series C Preferred Stock, as the case may be, that CIG received pursuant to Section 10.11.”</w:t>
      </w:r>
    </w:p>
    <w:p>
      <w:pPr>
        <w:spacing w:after="0" w:line="167" w:lineRule="exact"/>
        <w:rPr>
          <w:sz w:val="20"/>
          <w:szCs w:val="20"/>
          <w:color w:val="auto"/>
        </w:rPr>
      </w:pPr>
    </w:p>
    <w:p>
      <w:pPr>
        <w:ind w:firstLine="656"/>
        <w:spacing w:after="0" w:line="256" w:lineRule="auto"/>
        <w:tabs>
          <w:tab w:leader="none" w:pos="1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shall be governed by the laws of the State of New York. This Amendment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 This Amendment may only be modified, amended or supplemented by written instrument duly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ind w:left="664" w:hanging="664"/>
        <w:spacing w:after="0"/>
        <w:tabs>
          <w:tab w:leader="none" w:pos="664"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set forth in this Amendment, the Master Agreement shall remain in full force and effect.</w:t>
      </w:r>
    </w:p>
    <w:p>
      <w:pPr>
        <w:sectPr>
          <w:pgSz w:w="11900" w:h="16838" w:orient="portrait"/>
          <w:cols w:equalWidth="0" w:num="1">
            <w:col w:w="9563"/>
          </w:cols>
          <w:pgMar w:left="896" w:top="13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144"/>
        <w:spacing w:after="0"/>
        <w:rPr>
          <w:sz w:val="20"/>
          <w:szCs w:val="20"/>
          <w:color w:val="auto"/>
        </w:rPr>
      </w:pPr>
      <w:r>
        <w:rPr>
          <w:rFonts w:ascii="Arial" w:cs="Arial" w:eastAsia="Arial" w:hAnsi="Arial"/>
          <w:sz w:val="15"/>
          <w:szCs w:val="15"/>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309245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63"/>
          </w:cols>
          <w:pgMar w:left="896" w:top="131" w:right="1440" w:bottom="144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5"/>
          <w:szCs w:val="15"/>
          <w:color w:val="auto"/>
        </w:rPr>
        <w:t>Please acknowledge your agreement to and acceptance of the terms of this Amendment by countersigning and returning the enclosed copy of this letter.</w:t>
      </w:r>
    </w:p>
    <w:p>
      <w:pPr>
        <w:spacing w:after="0" w:line="26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VERY TRULY YOURS,</w:t>
      </w:r>
    </w:p>
    <w:p>
      <w:pPr>
        <w:spacing w:after="0" w:line="30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NBC UNIVERSAL, INC.</w:t>
      </w:r>
    </w:p>
    <w:p>
      <w:pPr>
        <w:spacing w:after="0" w:line="171" w:lineRule="exact"/>
        <w:rPr>
          <w:sz w:val="20"/>
          <w:szCs w:val="20"/>
          <w:color w:val="auto"/>
        </w:rPr>
      </w:pPr>
    </w:p>
    <w:tbl>
      <w:tblPr>
        <w:tblLayout w:type="fixed"/>
        <w:tblInd w:w="5880" w:type="dxa"/>
        <w:tblCellMar>
          <w:top w:w="0" w:type="dxa"/>
          <w:left w:w="0" w:type="dxa"/>
          <w:bottom w:w="0" w:type="dxa"/>
          <w:right w:w="0" w:type="dxa"/>
        </w:tblCellMar>
      </w:tblPr>
      <w:tr>
        <w:trPr>
          <w:trHeight w:val="223"/>
        </w:trPr>
        <w:tc>
          <w:tcPr>
            <w:tcW w:w="880" w:type="dxa"/>
            <w:vAlign w:val="bottom"/>
            <w:gridSpan w:val="2"/>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60"/>
              <w:spacing w:after="0"/>
              <w:rPr>
                <w:sz w:val="20"/>
                <w:szCs w:val="20"/>
                <w:color w:val="auto"/>
              </w:rPr>
            </w:pPr>
            <w:r>
              <w:rPr>
                <w:rFonts w:ascii="Arial" w:cs="Arial" w:eastAsia="Arial" w:hAnsi="Arial"/>
                <w:sz w:val="18"/>
                <w:szCs w:val="18"/>
                <w:color w:val="auto"/>
              </w:rPr>
              <w:t>/s/ Richard Cotton</w:t>
            </w:r>
          </w:p>
        </w:tc>
      </w:tr>
      <w:tr>
        <w:trPr>
          <w:trHeight w:val="202"/>
        </w:trPr>
        <w:tc>
          <w:tcPr>
            <w:tcW w:w="360" w:type="dxa"/>
            <w:vAlign w:val="bottom"/>
          </w:tcPr>
          <w:p>
            <w:pPr>
              <w:spacing w:after="0"/>
              <w:rPr>
                <w:sz w:val="17"/>
                <w:szCs w:val="17"/>
                <w:color w:val="auto"/>
              </w:rPr>
            </w:pPr>
          </w:p>
        </w:tc>
        <w:tc>
          <w:tcPr>
            <w:tcW w:w="5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w w:val="90"/>
              </w:rPr>
              <w:t>Name:</w:t>
            </w:r>
          </w:p>
        </w:tc>
        <w:tc>
          <w:tcPr>
            <w:tcW w:w="266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rPr>
              <w:t>Richard Cotton</w:t>
            </w:r>
          </w:p>
        </w:tc>
      </w:tr>
      <w:tr>
        <w:trPr>
          <w:trHeight w:val="216"/>
        </w:trPr>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Title:</w:t>
            </w:r>
          </w:p>
        </w:tc>
        <w:tc>
          <w:tcPr>
            <w:tcW w:w="2660" w:type="dxa"/>
            <w:vAlign w:val="bottom"/>
          </w:tcPr>
          <w:p>
            <w:pPr>
              <w:ind w:left="60"/>
              <w:spacing w:after="0"/>
              <w:rPr>
                <w:sz w:val="20"/>
                <w:szCs w:val="20"/>
                <w:color w:val="auto"/>
              </w:rPr>
            </w:pPr>
            <w:r>
              <w:rPr>
                <w:rFonts w:ascii="Arial" w:cs="Arial" w:eastAsia="Arial" w:hAnsi="Arial"/>
                <w:sz w:val="18"/>
                <w:szCs w:val="18"/>
                <w:color w:val="auto"/>
              </w:rPr>
              <w:t>Executive Vice President</w:t>
            </w:r>
          </w:p>
        </w:tc>
      </w:tr>
      <w:tr>
        <w:trPr>
          <w:trHeight w:val="222"/>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auto"/>
              </w:rPr>
              <w:t>and General Counsel</w:t>
            </w:r>
          </w:p>
        </w:tc>
      </w:tr>
    </w:tbl>
    <w:p>
      <w:pPr>
        <w:spacing w:after="0" w:line="2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NBC PALM BEACH INVESTMENT I, INC.</w:t>
      </w:r>
    </w:p>
    <w:p>
      <w:pPr>
        <w:spacing w:after="0" w:line="171" w:lineRule="exact"/>
        <w:rPr>
          <w:sz w:val="20"/>
          <w:szCs w:val="20"/>
          <w:color w:val="auto"/>
        </w:rPr>
      </w:pPr>
    </w:p>
    <w:tbl>
      <w:tblPr>
        <w:tblLayout w:type="fixed"/>
        <w:tblInd w:w="5920" w:type="dxa"/>
        <w:tblCellMar>
          <w:top w:w="0" w:type="dxa"/>
          <w:left w:w="0" w:type="dxa"/>
          <w:bottom w:w="0" w:type="dxa"/>
          <w:right w:w="0" w:type="dxa"/>
        </w:tblCellMar>
      </w:tblPr>
      <w:tr>
        <w:trPr>
          <w:trHeight w:val="223"/>
        </w:trPr>
        <w:tc>
          <w:tcPr>
            <w:tcW w:w="860" w:type="dxa"/>
            <w:vAlign w:val="bottom"/>
            <w:gridSpan w:val="2"/>
          </w:tcPr>
          <w:p>
            <w:pPr>
              <w:spacing w:after="0"/>
              <w:rPr>
                <w:sz w:val="20"/>
                <w:szCs w:val="20"/>
                <w:color w:val="auto"/>
              </w:rPr>
            </w:pPr>
            <w:r>
              <w:rPr>
                <w:rFonts w:ascii="Arial" w:cs="Arial" w:eastAsia="Arial" w:hAnsi="Arial"/>
                <w:sz w:val="18"/>
                <w:szCs w:val="18"/>
                <w:color w:val="auto"/>
              </w:rPr>
              <w:t>By:</w:t>
            </w:r>
          </w:p>
        </w:tc>
        <w:tc>
          <w:tcPr>
            <w:tcW w:w="2640" w:type="dxa"/>
            <w:vAlign w:val="bottom"/>
          </w:tcPr>
          <w:p>
            <w:pPr>
              <w:ind w:left="60"/>
              <w:spacing w:after="0"/>
              <w:rPr>
                <w:sz w:val="20"/>
                <w:szCs w:val="20"/>
                <w:color w:val="auto"/>
              </w:rPr>
            </w:pPr>
            <w:r>
              <w:rPr>
                <w:rFonts w:ascii="Arial" w:cs="Arial" w:eastAsia="Arial" w:hAnsi="Arial"/>
                <w:sz w:val="18"/>
                <w:szCs w:val="18"/>
                <w:color w:val="auto"/>
              </w:rPr>
              <w:t>/s/ Richard Cotton</w:t>
            </w:r>
          </w:p>
        </w:tc>
      </w:tr>
      <w:tr>
        <w:trPr>
          <w:trHeight w:val="202"/>
        </w:trPr>
        <w:tc>
          <w:tcPr>
            <w:tcW w:w="320" w:type="dxa"/>
            <w:vAlign w:val="bottom"/>
          </w:tcPr>
          <w:p>
            <w:pPr>
              <w:spacing w:after="0"/>
              <w:rPr>
                <w:sz w:val="17"/>
                <w:szCs w:val="17"/>
                <w:color w:val="auto"/>
              </w:rPr>
            </w:pPr>
          </w:p>
        </w:tc>
        <w:tc>
          <w:tcPr>
            <w:tcW w:w="5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w w:val="94"/>
              </w:rPr>
              <w:t>Name:</w:t>
            </w:r>
          </w:p>
        </w:tc>
        <w:tc>
          <w:tcPr>
            <w:tcW w:w="264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rPr>
              <w:t>Richard Cotton</w:t>
            </w:r>
          </w:p>
        </w:tc>
      </w:tr>
      <w:tr>
        <w:trPr>
          <w:trHeight w:val="222"/>
        </w:trPr>
        <w:tc>
          <w:tcPr>
            <w:tcW w:w="3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Title:</w:t>
            </w:r>
          </w:p>
        </w:tc>
        <w:tc>
          <w:tcPr>
            <w:tcW w:w="264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NBC PALM BEACH INVESTMENT II, INC.</w:t>
      </w:r>
    </w:p>
    <w:p>
      <w:pPr>
        <w:spacing w:after="0" w:line="171" w:lineRule="exact"/>
        <w:rPr>
          <w:sz w:val="20"/>
          <w:szCs w:val="20"/>
          <w:color w:val="auto"/>
        </w:rPr>
      </w:pPr>
    </w:p>
    <w:tbl>
      <w:tblPr>
        <w:tblLayout w:type="fixed"/>
        <w:tblInd w:w="5920" w:type="dxa"/>
        <w:tblCellMar>
          <w:top w:w="0" w:type="dxa"/>
          <w:left w:w="0" w:type="dxa"/>
          <w:bottom w:w="0" w:type="dxa"/>
          <w:right w:w="0" w:type="dxa"/>
        </w:tblCellMar>
      </w:tblPr>
      <w:tr>
        <w:trPr>
          <w:trHeight w:val="223"/>
        </w:trPr>
        <w:tc>
          <w:tcPr>
            <w:tcW w:w="860" w:type="dxa"/>
            <w:vAlign w:val="bottom"/>
            <w:gridSpan w:val="2"/>
          </w:tcPr>
          <w:p>
            <w:pPr>
              <w:spacing w:after="0"/>
              <w:rPr>
                <w:sz w:val="20"/>
                <w:szCs w:val="20"/>
                <w:color w:val="auto"/>
              </w:rPr>
            </w:pPr>
            <w:r>
              <w:rPr>
                <w:rFonts w:ascii="Arial" w:cs="Arial" w:eastAsia="Arial" w:hAnsi="Arial"/>
                <w:sz w:val="18"/>
                <w:szCs w:val="18"/>
                <w:color w:val="auto"/>
              </w:rPr>
              <w:t>By:</w:t>
            </w:r>
          </w:p>
        </w:tc>
        <w:tc>
          <w:tcPr>
            <w:tcW w:w="2640" w:type="dxa"/>
            <w:vAlign w:val="bottom"/>
          </w:tcPr>
          <w:p>
            <w:pPr>
              <w:ind w:left="60"/>
              <w:spacing w:after="0"/>
              <w:rPr>
                <w:sz w:val="20"/>
                <w:szCs w:val="20"/>
                <w:color w:val="auto"/>
              </w:rPr>
            </w:pPr>
            <w:r>
              <w:rPr>
                <w:rFonts w:ascii="Arial" w:cs="Arial" w:eastAsia="Arial" w:hAnsi="Arial"/>
                <w:sz w:val="18"/>
                <w:szCs w:val="18"/>
                <w:color w:val="auto"/>
              </w:rPr>
              <w:t>/s/ Richard Cotton</w:t>
            </w:r>
          </w:p>
        </w:tc>
      </w:tr>
      <w:tr>
        <w:trPr>
          <w:trHeight w:val="202"/>
        </w:trPr>
        <w:tc>
          <w:tcPr>
            <w:tcW w:w="340" w:type="dxa"/>
            <w:vAlign w:val="bottom"/>
          </w:tcPr>
          <w:p>
            <w:pPr>
              <w:spacing w:after="0"/>
              <w:rPr>
                <w:sz w:val="17"/>
                <w:szCs w:val="17"/>
                <w:color w:val="auto"/>
              </w:rPr>
            </w:pPr>
          </w:p>
        </w:tc>
        <w:tc>
          <w:tcPr>
            <w:tcW w:w="5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4"/>
              </w:rPr>
              <w:t>Name:</w:t>
            </w:r>
          </w:p>
        </w:tc>
        <w:tc>
          <w:tcPr>
            <w:tcW w:w="264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rPr>
              <w:t>Richard Cotton</w:t>
            </w:r>
          </w:p>
        </w:tc>
      </w:tr>
      <w:tr>
        <w:trPr>
          <w:trHeight w:val="222"/>
        </w:trPr>
        <w:tc>
          <w:tcPr>
            <w:tcW w:w="34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64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as of June 8, 2007:</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ION MEDIA NETWORKS, INC.</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2980" w:type="dxa"/>
            <w:vAlign w:val="bottom"/>
          </w:tcPr>
          <w:p>
            <w:pPr>
              <w:ind w:left="120"/>
              <w:spacing w:after="0"/>
              <w:rPr>
                <w:sz w:val="20"/>
                <w:szCs w:val="20"/>
                <w:color w:val="auto"/>
              </w:rPr>
            </w:pPr>
            <w:r>
              <w:rPr>
                <w:rFonts w:ascii="Arial" w:cs="Arial" w:eastAsia="Arial" w:hAnsi="Arial"/>
                <w:sz w:val="18"/>
                <w:szCs w:val="18"/>
                <w:color w:val="auto"/>
              </w:rPr>
              <w:t>/s/ Richard Garcia</w:t>
            </w:r>
          </w:p>
        </w:tc>
      </w:tr>
      <w:tr>
        <w:trPr>
          <w:trHeight w:val="202"/>
        </w:trPr>
        <w:tc>
          <w:tcPr>
            <w:tcW w:w="440" w:type="dxa"/>
            <w:vAlign w:val="bottom"/>
          </w:tcPr>
          <w:p>
            <w:pPr>
              <w:spacing w:after="0"/>
              <w:rPr>
                <w:sz w:val="17"/>
                <w:szCs w:val="17"/>
                <w:color w:val="auto"/>
              </w:rPr>
            </w:pPr>
          </w:p>
        </w:tc>
        <w:tc>
          <w:tcPr>
            <w:tcW w:w="5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w:t>
            </w:r>
          </w:p>
        </w:tc>
        <w:tc>
          <w:tcPr>
            <w:tcW w:w="29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Richard Garcia</w:t>
            </w:r>
          </w:p>
        </w:tc>
      </w:tr>
      <w:tr>
        <w:trPr>
          <w:trHeight w:val="216"/>
        </w:trPr>
        <w:tc>
          <w:tcPr>
            <w:tcW w:w="100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2980" w:type="dxa"/>
            <w:vAlign w:val="bottom"/>
          </w:tcPr>
          <w:p>
            <w:pPr>
              <w:ind w:left="120"/>
              <w:spacing w:after="0"/>
              <w:rPr>
                <w:sz w:val="20"/>
                <w:szCs w:val="20"/>
                <w:color w:val="auto"/>
              </w:rPr>
            </w:pPr>
            <w:r>
              <w:rPr>
                <w:rFonts w:ascii="Arial" w:cs="Arial" w:eastAsia="Arial" w:hAnsi="Arial"/>
                <w:sz w:val="18"/>
                <w:szCs w:val="18"/>
                <w:color w:val="auto"/>
              </w:rPr>
              <w:t>Senior Vice President and</w:t>
            </w:r>
          </w:p>
        </w:tc>
      </w:tr>
      <w:tr>
        <w:trPr>
          <w:trHeight w:val="222"/>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CIG MEDIA LLC</w:t>
      </w:r>
    </w:p>
    <w:p>
      <w:pPr>
        <w:spacing w:after="0" w:line="15"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Citadel Limited Partnership,</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Citadel Investment Group, L.L.C.,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its General Partner</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By:</w:t>
            </w:r>
          </w:p>
        </w:tc>
        <w:tc>
          <w:tcPr>
            <w:tcW w:w="3020" w:type="dxa"/>
            <w:vAlign w:val="bottom"/>
          </w:tcPr>
          <w:p>
            <w:pPr>
              <w:ind w:left="80"/>
              <w:spacing w:after="0"/>
              <w:rPr>
                <w:sz w:val="20"/>
                <w:szCs w:val="20"/>
                <w:color w:val="auto"/>
              </w:rPr>
            </w:pPr>
            <w:r>
              <w:rPr>
                <w:rFonts w:ascii="Arial" w:cs="Arial" w:eastAsia="Arial" w:hAnsi="Arial"/>
                <w:sz w:val="18"/>
                <w:szCs w:val="18"/>
                <w:color w:val="auto"/>
              </w:rPr>
              <w:t>/s/ Matthew Hinerfeld</w:t>
            </w:r>
          </w:p>
        </w:tc>
      </w:tr>
      <w:tr>
        <w:trPr>
          <w:trHeight w:val="202"/>
        </w:trPr>
        <w:tc>
          <w:tcPr>
            <w:tcW w:w="400" w:type="dxa"/>
            <w:vAlign w:val="bottom"/>
          </w:tcPr>
          <w:p>
            <w:pPr>
              <w:spacing w:after="0"/>
              <w:rPr>
                <w:sz w:val="17"/>
                <w:szCs w:val="17"/>
                <w:color w:val="auto"/>
              </w:rPr>
            </w:pPr>
          </w:p>
        </w:tc>
        <w:tc>
          <w:tcPr>
            <w:tcW w:w="5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w:t>
            </w:r>
          </w:p>
        </w:tc>
        <w:tc>
          <w:tcPr>
            <w:tcW w:w="302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Matthew Hinerfeld</w:t>
            </w:r>
          </w:p>
        </w:tc>
      </w:tr>
      <w:tr>
        <w:trPr>
          <w:trHeight w:val="216"/>
        </w:trPr>
        <w:tc>
          <w:tcPr>
            <w:tcW w:w="960" w:type="dxa"/>
            <w:vAlign w:val="bottom"/>
            <w:gridSpan w:val="2"/>
          </w:tcPr>
          <w:p>
            <w:pPr>
              <w:ind w:left="400"/>
              <w:spacing w:after="0"/>
              <w:rPr>
                <w:sz w:val="20"/>
                <w:szCs w:val="20"/>
                <w:color w:val="auto"/>
              </w:rPr>
            </w:pPr>
            <w:r>
              <w:rPr>
                <w:rFonts w:ascii="Arial" w:cs="Arial" w:eastAsia="Arial" w:hAnsi="Arial"/>
                <w:sz w:val="18"/>
                <w:szCs w:val="18"/>
                <w:color w:val="auto"/>
              </w:rPr>
              <w:t>Title:</w:t>
            </w:r>
          </w:p>
        </w:tc>
        <w:tc>
          <w:tcPr>
            <w:tcW w:w="3020" w:type="dxa"/>
            <w:vAlign w:val="bottom"/>
          </w:tcPr>
          <w:p>
            <w:pPr>
              <w:ind w:left="80"/>
              <w:spacing w:after="0"/>
              <w:rPr>
                <w:sz w:val="20"/>
                <w:szCs w:val="20"/>
                <w:color w:val="auto"/>
              </w:rPr>
            </w:pPr>
            <w:r>
              <w:rPr>
                <w:rFonts w:ascii="Arial" w:cs="Arial" w:eastAsia="Arial" w:hAnsi="Arial"/>
                <w:sz w:val="18"/>
                <w:szCs w:val="18"/>
                <w:color w:val="auto"/>
              </w:rPr>
              <w:t>Managing Director &amp;</w:t>
            </w: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Deputy General Counsel</w:t>
            </w:r>
          </w:p>
        </w:tc>
      </w:tr>
    </w:tbl>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[Signature Page to Amendment]</w:t>
      </w:r>
    </w:p>
    <w:sectPr>
      <w:pgSz w:w="11900" w:h="16838" w:orient="portrait"/>
      <w:cols w:equalWidth="0" w:num="1">
        <w:col w:w="11300"/>
      </w:cols>
      <w:pgMar w:left="240" w:top="56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2019-12-16T10:20:29Z</dcterms:created>
  <dcterms:modified xsi:type="dcterms:W3CDTF">2019-12-16T10:20:29Z</dcterms:modified>
</cp:coreProperties>
</file>