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Reid Thomas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Officer,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01/02/2024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918"/>
        <w:gridCol w:w="440"/>
        <w:gridCol w:w="836"/>
        <w:gridCol w:w="1262"/>
        <w:gridCol w:w="981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9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01/02/2024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11,700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30,684.38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01/02/2024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4,441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43.67</w:t>
            </w:r>
            <w:r>
              <w:rPr/>
              <w:t xml:space="preserve"> 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26,243.38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58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921"/>
        <w:gridCol w:w="906"/>
        <w:gridCol w:w="801"/>
        <w:gridCol w:w="891"/>
        <w:gridCol w:w="9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8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9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01/02/2024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1,101.46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1,101.46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43.67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2,520.18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01/02/2024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11,700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11,700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83,695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share of phantom stock represents the economic equivalent to one share of Class A common stock. Phantom shares have been deferred under our deferred compensation plans, may be transferred into alternative investments under the terms of our deferred compensation plans and settle in cash.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cash settlement of shares of phantom stock on the scheduled distribution date under, and in accordance with the terms of, our deferred compensation plans.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stock unit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restricted stock units were automatically converted to shares of Class A common stock on the transaction date pursuant to a previously deferred stock award.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01/04/2024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71223" TargetMode="External"/><Relationship Id="rId4" Type="http://schemas.openxmlformats.org/officeDocument/2006/relationships/hyperlink" Target="http://www.sec.gov/cgi-bin/browse-edgar?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716</Words>
  <Characters>3894</Characters>
  <CharactersWithSpaces>4523</CharactersWithSpaces>
  <Paragraphs>131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