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88"/>
              </w:rPr>
              <w:t>Pennsylvania</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27-0000798</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2002 RESTRICTED STOCK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2003 STOCK OPTION PLAN</w:t>
      </w:r>
    </w:p>
    <w:p>
      <w:pPr>
        <w:spacing w:after="0" w:line="9" w:lineRule="exact"/>
        <w:rPr>
          <w:sz w:val="24"/>
          <w:szCs w:val="24"/>
          <w:color w:val="auto"/>
        </w:rPr>
      </w:pPr>
    </w:p>
    <w:p>
      <w:pPr>
        <w:jc w:val="center"/>
        <w:ind w:left="260" w:right="2640"/>
        <w:spacing w:after="0" w:line="230" w:lineRule="auto"/>
        <w:rPr>
          <w:sz w:val="20"/>
          <w:szCs w:val="20"/>
          <w:color w:val="auto"/>
        </w:rPr>
      </w:pPr>
      <w:r>
        <w:rPr>
          <w:rFonts w:ascii="Arial" w:cs="Arial" w:eastAsia="Arial" w:hAnsi="Arial"/>
          <w:sz w:val="18"/>
          <w:szCs w:val="18"/>
          <w:b w:val="1"/>
          <w:bCs w:val="1"/>
          <w:color w:val="auto"/>
        </w:rPr>
        <w:t xml:space="preserve">COMCAST CORPORATION 2002 EMPLOYEE STOCK PURCHASE PLAN COMCAST-NBCUNIVERSAL 2011 EMPLOYEE STOCK PURCHASE PLAN </w:t>
      </w:r>
      <w:r>
        <w:rPr>
          <w:rFonts w:ascii="Arial" w:cs="Arial" w:eastAsia="Arial" w:hAnsi="Arial"/>
          <w:sz w:val="14"/>
          <w:szCs w:val="14"/>
          <w:b w:val="1"/>
          <w:bCs w:val="1"/>
          <w:color w:val="auto"/>
        </w:rPr>
        <w:t>(Full title of the plan)</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19103-2838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2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Pr>
          <w:p>
            <w:pPr>
              <w:spacing w:after="0"/>
              <w:rPr>
                <w:sz w:val="24"/>
                <w:szCs w:val="24"/>
                <w:color w:val="auto"/>
              </w:rPr>
            </w:pPr>
          </w:p>
        </w:tc>
        <w:tc>
          <w:tcPr>
            <w:tcW w:w="414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Pr>
          <w:p>
            <w:pPr>
              <w:spacing w:after="0"/>
              <w:rPr>
                <w:sz w:val="24"/>
                <w:szCs w:val="24"/>
                <w:color w:val="auto"/>
              </w:rPr>
            </w:pPr>
          </w:p>
        </w:tc>
        <w:tc>
          <w:tcPr>
            <w:tcW w:w="414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 (2)</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2"/>
              </w:rPr>
              <w:t>per share (3)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offering price(3)</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2"/>
              </w:rPr>
              <w:t>registration fee(3)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159,000,000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89"/>
              </w:rPr>
              <w:t>$66.985</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0"/>
              </w:rPr>
              <w:t>$10,650,615,000</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$1,072,516.93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40" w:hanging="452"/>
        <w:spacing w:after="0" w:line="28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registers the issuance of 159,000,000 shares of Class A Common Stock (the “Class A Common Stock”) of Comcast Corporation (the “Registrant”), par value $0.01, 37,500,000 of which are issuable pursuant to the Comcast Corporation 2002 Restricted Stock Plan, as amended and restated, 99,000,000 of which are issuable pursuant to the Comcast Corporation 2003 Stock Option Plan, as amended and restated, 15,000,000 of which are issuable pursuant to the Comcast Corporation 2002 Employee Stock Purchase Plan, as amended and restated, and 7,500,000 of which are issuable pursuant to the Comcast-NBCUniversal 2011 Employee Stock Purchase Plan, as amended and restated (collectively, the “Plans”).</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securities as may result from anti-dilution adjustments under the Plans and which may hereinafter be offered or issued to prevent dilution resulting from stock splits, stock dividends, recapitalizations or certain other capital adjustments.</w:t>
      </w:r>
    </w:p>
    <w:p>
      <w:pPr>
        <w:spacing w:after="0" w:line="1" w:lineRule="exact"/>
        <w:rPr>
          <w:rFonts w:ascii="Arial" w:cs="Arial" w:eastAsia="Arial" w:hAnsi="Arial"/>
          <w:sz w:val="18"/>
          <w:szCs w:val="18"/>
          <w:color w:val="auto"/>
        </w:rPr>
      </w:pPr>
    </w:p>
    <w:p>
      <w:pPr>
        <w:ind w:left="460" w:right="40" w:hanging="452"/>
        <w:spacing w:after="0" w:line="270"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pursuant to paragraphs (c) and (h) of Rule 457 of the Securities Act of 1933, as amended, solely for the purpose of calculating the registration fee on the basis of the high and low sales prices of shares of Class A Common Stock on the Nasdaq National Market on July 21, 2016. Pursuant to Rule 457(p) under the Securities Act, the $644,556.34 remaining of the relevant portion of the registration fees previously paid with respect to unsold securities registered on Registration Statement File No. 333-199741, initially filed on October 31, 2014 by Midwest Cable, Inc., a wholly owned subsidiary of Comcast Corporation, is being carried forward and is being applied to the registration fee of $1,072,516.93 in connection with this offering. The balance of the registration fee of $427,960.59 has been separately paid with respect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left="47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Comcast Corporation 2002 Restricted Stock Plan</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Pursuant to General Instruction E of Form S-8, this registration statement on Form S-8 (this “Registration Statement”) is being filed in order to register an additional 37,500,000 shares of the Registrant’s Class A Common Stock, par value $0.01 per share, which are securities of the same class and relate to the same employee benefit plan, the Comcast Corporation 2002 Restricted Stock Plan, as amended and restated, as those shares registered on the Registrant’s registration statements on Form S-8 previously filed with the Securities and Exchange Commission (the “Commission”) on November 19, 2002 (Registration No. 333-101295, as amended by post-effective amendment no. 1 filed on December 4, 2002), December 4, 2002 (Registration No. 333-101645), April 8, 2003 (Registration No. 333-104385), March 1, 2005 (Registration No. 333-123059), January 4, 2006 (Registration No. 333-130847), May 16, 2008 (Registration No. 333-150976), August 21, 2009 (Registration No. 333-161468) and May 23, 2011 (Registration No. 333-174416), all of which are hereby incorporated by reference.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Comcast Corporation 2003 Stock Option Plan</w:t>
      </w:r>
    </w:p>
    <w:p>
      <w:pPr>
        <w:spacing w:after="0" w:line="11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Pursuant to General Instruction E of Form S-8, this Registration Statement is also being filed in order to register an additional 99,000,000 shares of the Registrant’s Class A Common Stock, par value $0.01 per share, which are securities of the same class and relate to the same employee benefit plan, the Comcast Corporation 2003 Stock Option Plan, as amended and restated, as those shares registered on the Registrant’s registration statements on Form S-8 previously filed with the Commission on April 8, 2003 (Registration No. 333-104385), May 16, 2008 (Registration No. 333-150976), August 21, 2009 (Registration No. 333-161468) and May 23, 2011 (Registration No. 333-174416), all of which are hereby incorporated by 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Comcast Corporation 2002 Employee Stock Purchase Plan</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Pursuant to General Instruction E of Form S-8, this Registration Statement is also being filed in order to register an additional 15,000,000 shares of the Registrant’s Class A Common Stock, par value $0.01 per share, which are securities of the same class and relate to the same employee benefit plan, the Comcast Corporation 2002 Employee Stock Purchase Plan, as amended and restated, as those shares registered on the Registrant’s registration statements on Form S-8 previously filed with the Commission on November 19, 2002 (Registration No. 333-101295, as amended by post-effective amendment no. 1 filed on December 4, 2002), December 4, 2002 (Registration No. 333-101645), January 4, 2006 (Registration No. 333-130844), August 21, 2009 (Registration No. 333-161468) and August 2, 2012 (Registration No. 333-183008), all of which are hereby incorporated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Comcast-NBCUniversal 2011 Employee Stock Purchase Plan</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Pursuant to General Instruction E of Form S-8, this Registration Statement is also being filed in order to register an additional 7,500,000 shares of the Registrant’s Class A Common Stock, par value $0.01 per share, which are securities of the same class and relate to the same employee benefit plan, the Comcast-NBCUniversal 2011 Employee Stock Purchase Plan, as amended and restated, as those shares registered on the Registrant’s registration statements on Form S-8 previously filed with the Commission on May 23, 2011 (Registration No. 333-174417) and August 2, 2012 (Registration No. 333-183008), all of which are hereby incorporated by reference.</w:t>
      </w:r>
    </w:p>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 (regarding validity)</w:t>
      </w:r>
    </w:p>
    <w:p>
      <w:pPr>
        <w:spacing w:after="0" w:line="11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 (regarding ERISA)</w:t>
      </w:r>
    </w:p>
    <w:p>
      <w:pPr>
        <w:spacing w:after="0" w:line="11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(contained in the signature pages hereto)</w:t>
      </w:r>
    </w:p>
    <w:p>
      <w:pPr>
        <w:sectPr>
          <w:pgSz w:w="11900" w:h="16838" w:orient="portrait"/>
          <w:cols w:equalWidth="0" w:num="1">
            <w:col w:w="10219"/>
          </w:cols>
          <w:pgMar w:left="240" w:top="270" w:right="1440"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July 28,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R. Block, Executive Vice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each of Brian L. Roberts, Michael J. Cavanagh, David L. Cohen, Arthur R. Block and Lawrence J. Salva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92"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2920" w:type="dxa"/>
            <w:vAlign w:val="bottom"/>
          </w:tcPr>
          <w:p>
            <w:pPr>
              <w:jc w:val="center"/>
              <w:ind w:right="1271"/>
              <w:spacing w:after="0"/>
              <w:rPr>
                <w:sz w:val="20"/>
                <w:szCs w:val="20"/>
                <w:color w:val="auto"/>
              </w:rPr>
            </w:pPr>
            <w:r>
              <w:rPr>
                <w:rFonts w:ascii="Arial" w:cs="Arial" w:eastAsia="Arial" w:hAnsi="Arial"/>
                <w:sz w:val="14"/>
                <w:szCs w:val="14"/>
                <w:b w:val="1"/>
                <w:bCs w:val="1"/>
                <w:color w:val="auto"/>
                <w:w w:val="92"/>
              </w:rPr>
              <w:t>Signature</w:t>
            </w:r>
          </w:p>
        </w:tc>
        <w:tc>
          <w:tcPr>
            <w:tcW w:w="4960" w:type="dxa"/>
            <w:vAlign w:val="bottom"/>
          </w:tcPr>
          <w:p>
            <w:pPr>
              <w:jc w:val="center"/>
              <w:ind w:left="232"/>
              <w:spacing w:after="0"/>
              <w:rPr>
                <w:sz w:val="20"/>
                <w:szCs w:val="20"/>
                <w:color w:val="auto"/>
              </w:rPr>
            </w:pPr>
            <w:r>
              <w:rPr>
                <w:rFonts w:ascii="Arial" w:cs="Arial" w:eastAsia="Arial" w:hAnsi="Arial"/>
                <w:sz w:val="14"/>
                <w:szCs w:val="14"/>
                <w:b w:val="1"/>
                <w:bCs w:val="1"/>
                <w:color w:val="auto"/>
                <w:w w:val="97"/>
              </w:rPr>
              <w:t>Title</w:t>
            </w:r>
          </w:p>
        </w:tc>
        <w:tc>
          <w:tcPr>
            <w:tcW w:w="1800" w:type="dxa"/>
            <w:vAlign w:val="bottom"/>
          </w:tcPr>
          <w:p>
            <w:pPr>
              <w:jc w:val="center"/>
              <w:ind w:left="73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3"/>
              </w:rPr>
              <w:t>/s/</w:t>
            </w:r>
          </w:p>
        </w:tc>
        <w:tc>
          <w:tcPr>
            <w:tcW w:w="292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92"/>
              </w:rPr>
              <w:t>Brian L. Roberts</w:t>
            </w:r>
          </w:p>
        </w:tc>
        <w:tc>
          <w:tcPr>
            <w:tcW w:w="4960" w:type="dxa"/>
            <w:vAlign w:val="bottom"/>
          </w:tcPr>
          <w:p>
            <w:pPr>
              <w:jc w:val="center"/>
              <w:ind w:left="232"/>
              <w:spacing w:after="0"/>
              <w:rPr>
                <w:sz w:val="20"/>
                <w:szCs w:val="20"/>
                <w:color w:val="auto"/>
              </w:rPr>
            </w:pPr>
            <w:r>
              <w:rPr>
                <w:rFonts w:ascii="Arial" w:cs="Arial" w:eastAsia="Arial" w:hAnsi="Arial"/>
                <w:sz w:val="18"/>
                <w:szCs w:val="18"/>
                <w:color w:val="auto"/>
                <w:w w:val="92"/>
              </w:rPr>
              <w:t>Chairman and CEO; Director</w:t>
            </w:r>
          </w:p>
        </w:tc>
        <w:tc>
          <w:tcPr>
            <w:tcW w:w="1800" w:type="dxa"/>
            <w:vAlign w:val="bottom"/>
          </w:tcPr>
          <w:p>
            <w:pPr>
              <w:jc w:val="center"/>
              <w:ind w:left="733"/>
              <w:spacing w:after="0"/>
              <w:rPr>
                <w:sz w:val="20"/>
                <w:szCs w:val="20"/>
                <w:color w:val="auto"/>
              </w:rPr>
            </w:pPr>
            <w:r>
              <w:rPr>
                <w:rFonts w:ascii="Arial" w:cs="Arial" w:eastAsia="Arial" w:hAnsi="Arial"/>
                <w:sz w:val="18"/>
                <w:szCs w:val="18"/>
                <w:color w:val="auto"/>
                <w:w w:val="91"/>
              </w:rPr>
              <w:t>July 28,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2"/>
              </w:rPr>
              <w:t>Brian L. Roberts</w:t>
            </w:r>
          </w:p>
        </w:tc>
        <w:tc>
          <w:tcPr>
            <w:tcW w:w="4960" w:type="dxa"/>
            <w:vAlign w:val="bottom"/>
          </w:tcPr>
          <w:p>
            <w:pPr>
              <w:jc w:val="center"/>
              <w:ind w:left="252"/>
              <w:spacing w:after="0"/>
              <w:rPr>
                <w:sz w:val="20"/>
                <w:szCs w:val="20"/>
                <w:color w:val="auto"/>
              </w:rPr>
            </w:pPr>
            <w:r>
              <w:rPr>
                <w:rFonts w:ascii="Arial" w:cs="Arial" w:eastAsia="Arial" w:hAnsi="Arial"/>
                <w:sz w:val="18"/>
                <w:szCs w:val="18"/>
                <w:color w:val="auto"/>
                <w:w w:val="94"/>
              </w:rPr>
              <w:t>(Principal Executive Officer)</w:t>
            </w:r>
          </w:p>
        </w:tc>
        <w:tc>
          <w:tcPr>
            <w:tcW w:w="180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90"/>
              </w:rPr>
              <w:t>Michael J. Cavanagh</w:t>
            </w:r>
          </w:p>
        </w:tc>
        <w:tc>
          <w:tcPr>
            <w:tcW w:w="4960" w:type="dxa"/>
            <w:vAlign w:val="bottom"/>
          </w:tcPr>
          <w:p>
            <w:pPr>
              <w:jc w:val="center"/>
              <w:ind w:left="252"/>
              <w:spacing w:after="0"/>
              <w:rPr>
                <w:sz w:val="20"/>
                <w:szCs w:val="20"/>
                <w:color w:val="auto"/>
              </w:rPr>
            </w:pPr>
            <w:r>
              <w:rPr>
                <w:rFonts w:ascii="Arial" w:cs="Arial" w:eastAsia="Arial" w:hAnsi="Arial"/>
                <w:sz w:val="18"/>
                <w:szCs w:val="18"/>
                <w:color w:val="auto"/>
                <w:w w:val="90"/>
              </w:rPr>
              <w:t>Senior Executive Vice President and CFO</w:t>
            </w:r>
          </w:p>
        </w:tc>
        <w:tc>
          <w:tcPr>
            <w:tcW w:w="1800" w:type="dxa"/>
            <w:vAlign w:val="bottom"/>
          </w:tcPr>
          <w:p>
            <w:pPr>
              <w:jc w:val="center"/>
              <w:ind w:left="733"/>
              <w:spacing w:after="0"/>
              <w:rPr>
                <w:sz w:val="20"/>
                <w:szCs w:val="20"/>
                <w:color w:val="auto"/>
              </w:rPr>
            </w:pPr>
            <w:r>
              <w:rPr>
                <w:rFonts w:ascii="Arial" w:cs="Arial" w:eastAsia="Arial" w:hAnsi="Arial"/>
                <w:sz w:val="18"/>
                <w:szCs w:val="18"/>
                <w:color w:val="auto"/>
                <w:w w:val="91"/>
              </w:rPr>
              <w:t>July 28,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0"/>
              </w:rPr>
              <w:t>Michael J. Cavanagh</w:t>
            </w:r>
          </w:p>
        </w:tc>
        <w:tc>
          <w:tcPr>
            <w:tcW w:w="4960" w:type="dxa"/>
            <w:vAlign w:val="bottom"/>
          </w:tcPr>
          <w:p>
            <w:pPr>
              <w:jc w:val="center"/>
              <w:ind w:left="232"/>
              <w:spacing w:after="0"/>
              <w:rPr>
                <w:sz w:val="20"/>
                <w:szCs w:val="20"/>
                <w:color w:val="auto"/>
              </w:rPr>
            </w:pPr>
            <w:r>
              <w:rPr>
                <w:rFonts w:ascii="Arial" w:cs="Arial" w:eastAsia="Arial" w:hAnsi="Arial"/>
                <w:sz w:val="18"/>
                <w:szCs w:val="18"/>
                <w:color w:val="auto"/>
                <w:w w:val="94"/>
              </w:rPr>
              <w:t>(Principal Financial Officer)</w:t>
            </w:r>
          </w:p>
        </w:tc>
        <w:tc>
          <w:tcPr>
            <w:tcW w:w="180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89"/>
              </w:rPr>
              <w:t>Lawrence J. Salva</w:t>
            </w:r>
          </w:p>
        </w:tc>
        <w:tc>
          <w:tcPr>
            <w:tcW w:w="4960" w:type="dxa"/>
            <w:vAlign w:val="bottom"/>
          </w:tcPr>
          <w:p>
            <w:pPr>
              <w:jc w:val="center"/>
              <w:ind w:left="232"/>
              <w:spacing w:after="0"/>
              <w:rPr>
                <w:sz w:val="20"/>
                <w:szCs w:val="20"/>
                <w:color w:val="auto"/>
              </w:rPr>
            </w:pPr>
            <w:r>
              <w:rPr>
                <w:rFonts w:ascii="Arial" w:cs="Arial" w:eastAsia="Arial" w:hAnsi="Arial"/>
                <w:sz w:val="18"/>
                <w:szCs w:val="18"/>
                <w:color w:val="auto"/>
                <w:w w:val="90"/>
              </w:rPr>
              <w:t>Executive Vice President and</w:t>
            </w:r>
          </w:p>
        </w:tc>
        <w:tc>
          <w:tcPr>
            <w:tcW w:w="1800" w:type="dxa"/>
            <w:vAlign w:val="bottom"/>
          </w:tcPr>
          <w:p>
            <w:pPr>
              <w:jc w:val="center"/>
              <w:ind w:left="733"/>
              <w:spacing w:after="0"/>
              <w:rPr>
                <w:sz w:val="20"/>
                <w:szCs w:val="20"/>
                <w:color w:val="auto"/>
              </w:rPr>
            </w:pPr>
            <w:r>
              <w:rPr>
                <w:rFonts w:ascii="Arial" w:cs="Arial" w:eastAsia="Arial" w:hAnsi="Arial"/>
                <w:sz w:val="18"/>
                <w:szCs w:val="18"/>
                <w:color w:val="auto"/>
                <w:w w:val="91"/>
              </w:rPr>
              <w:t>July 28, 2016</w:t>
            </w:r>
          </w:p>
        </w:tc>
      </w:tr>
      <w:tr>
        <w:trPr>
          <w:trHeight w:val="209"/>
        </w:trPr>
        <w:tc>
          <w:tcPr>
            <w:tcW w:w="1360" w:type="dxa"/>
            <w:vAlign w:val="bottom"/>
          </w:tcPr>
          <w:p>
            <w:pPr>
              <w:spacing w:after="0"/>
              <w:rPr>
                <w:sz w:val="18"/>
                <w:szCs w:val="18"/>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89"/>
              </w:rPr>
              <w:t>Lawrence J. Salva</w:t>
            </w:r>
          </w:p>
        </w:tc>
        <w:tc>
          <w:tcPr>
            <w:tcW w:w="4960" w:type="dxa"/>
            <w:vAlign w:val="bottom"/>
          </w:tcPr>
          <w:p>
            <w:pPr>
              <w:jc w:val="center"/>
              <w:ind w:left="232"/>
              <w:spacing w:after="0"/>
              <w:rPr>
                <w:sz w:val="20"/>
                <w:szCs w:val="20"/>
                <w:color w:val="auto"/>
              </w:rPr>
            </w:pPr>
            <w:r>
              <w:rPr>
                <w:rFonts w:ascii="Arial" w:cs="Arial" w:eastAsia="Arial" w:hAnsi="Arial"/>
                <w:sz w:val="18"/>
                <w:szCs w:val="18"/>
                <w:color w:val="auto"/>
                <w:w w:val="94"/>
              </w:rPr>
              <w:t>Chief Accounting Officer</w:t>
            </w:r>
          </w:p>
        </w:tc>
        <w:tc>
          <w:tcPr>
            <w:tcW w:w="180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960" w:type="dxa"/>
            <w:vAlign w:val="bottom"/>
          </w:tcPr>
          <w:p>
            <w:pPr>
              <w:jc w:val="center"/>
              <w:ind w:left="252"/>
              <w:spacing w:after="0"/>
              <w:rPr>
                <w:sz w:val="20"/>
                <w:szCs w:val="20"/>
                <w:color w:val="auto"/>
              </w:rPr>
            </w:pPr>
            <w:r>
              <w:rPr>
                <w:rFonts w:ascii="Arial" w:cs="Arial" w:eastAsia="Arial" w:hAnsi="Arial"/>
                <w:sz w:val="18"/>
                <w:szCs w:val="18"/>
                <w:color w:val="auto"/>
                <w:w w:val="95"/>
              </w:rPr>
              <w:t>(Principal Accounting Officer)</w:t>
            </w:r>
          </w:p>
        </w:tc>
        <w:tc>
          <w:tcPr>
            <w:tcW w:w="180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90"/>
              </w:rPr>
              <w:t>Kenneth J. Bacon</w:t>
            </w:r>
          </w:p>
        </w:tc>
        <w:tc>
          <w:tcPr>
            <w:tcW w:w="4960" w:type="dxa"/>
            <w:vAlign w:val="bottom"/>
          </w:tcPr>
          <w:p>
            <w:pPr>
              <w:jc w:val="center"/>
              <w:ind w:left="232"/>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ind w:left="733"/>
              <w:spacing w:after="0"/>
              <w:rPr>
                <w:sz w:val="20"/>
                <w:szCs w:val="20"/>
                <w:color w:val="auto"/>
              </w:rPr>
            </w:pPr>
            <w:r>
              <w:rPr>
                <w:rFonts w:ascii="Arial" w:cs="Arial" w:eastAsia="Arial" w:hAnsi="Arial"/>
                <w:sz w:val="18"/>
                <w:szCs w:val="18"/>
                <w:color w:val="auto"/>
                <w:w w:val="91"/>
              </w:rPr>
              <w:t>July 28,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0"/>
              </w:rPr>
              <w:t>Kenneth J. Bacon</w:t>
            </w:r>
          </w:p>
        </w:tc>
        <w:tc>
          <w:tcPr>
            <w:tcW w:w="49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3"/>
              </w:rPr>
              <w:t>/s/</w:t>
            </w:r>
          </w:p>
        </w:tc>
        <w:tc>
          <w:tcPr>
            <w:tcW w:w="2920" w:type="dxa"/>
            <w:vAlign w:val="bottom"/>
            <w:tcBorders>
              <w:bottom w:val="single" w:sz="8" w:color="auto"/>
            </w:tcBorders>
          </w:tcPr>
          <w:p>
            <w:pPr>
              <w:jc w:val="center"/>
              <w:ind w:right="1291"/>
              <w:spacing w:after="0"/>
              <w:rPr>
                <w:sz w:val="20"/>
                <w:szCs w:val="20"/>
                <w:color w:val="auto"/>
              </w:rPr>
            </w:pPr>
            <w:r>
              <w:rPr>
                <w:rFonts w:ascii="Arial" w:cs="Arial" w:eastAsia="Arial" w:hAnsi="Arial"/>
                <w:sz w:val="18"/>
                <w:szCs w:val="18"/>
                <w:color w:val="auto"/>
                <w:w w:val="93"/>
              </w:rPr>
              <w:t>Madeline S. Bell</w:t>
            </w:r>
          </w:p>
        </w:tc>
        <w:tc>
          <w:tcPr>
            <w:tcW w:w="4960" w:type="dxa"/>
            <w:vAlign w:val="bottom"/>
          </w:tcPr>
          <w:p>
            <w:pPr>
              <w:jc w:val="center"/>
              <w:ind w:left="232"/>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ind w:left="733"/>
              <w:spacing w:after="0"/>
              <w:rPr>
                <w:sz w:val="20"/>
                <w:szCs w:val="20"/>
                <w:color w:val="auto"/>
              </w:rPr>
            </w:pPr>
            <w:r>
              <w:rPr>
                <w:rFonts w:ascii="Arial" w:cs="Arial" w:eastAsia="Arial" w:hAnsi="Arial"/>
                <w:sz w:val="18"/>
                <w:szCs w:val="18"/>
                <w:color w:val="auto"/>
                <w:w w:val="91"/>
              </w:rPr>
              <w:t>July 28,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2"/>
              </w:rPr>
              <w:t>Madeline S. Bell</w:t>
            </w:r>
          </w:p>
        </w:tc>
        <w:tc>
          <w:tcPr>
            <w:tcW w:w="49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tcPr>
          <w:p>
            <w:pPr>
              <w:jc w:val="center"/>
              <w:ind w:right="1291"/>
              <w:spacing w:after="0"/>
              <w:rPr>
                <w:sz w:val="20"/>
                <w:szCs w:val="20"/>
                <w:color w:val="auto"/>
              </w:rPr>
            </w:pPr>
            <w:r>
              <w:rPr>
                <w:rFonts w:ascii="Arial" w:cs="Arial" w:eastAsia="Arial" w:hAnsi="Arial"/>
                <w:sz w:val="18"/>
                <w:szCs w:val="18"/>
                <w:color w:val="auto"/>
                <w:w w:val="93"/>
              </w:rPr>
              <w:t>Sheldon M. Bonovitz</w:t>
            </w:r>
          </w:p>
        </w:tc>
        <w:tc>
          <w:tcPr>
            <w:tcW w:w="4960" w:type="dxa"/>
            <w:vAlign w:val="bottom"/>
          </w:tcPr>
          <w:p>
            <w:pPr>
              <w:jc w:val="center"/>
              <w:ind w:left="232"/>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ind w:left="733"/>
              <w:spacing w:after="0"/>
              <w:rPr>
                <w:sz w:val="20"/>
                <w:szCs w:val="20"/>
                <w:color w:val="auto"/>
              </w:rPr>
            </w:pPr>
            <w:r>
              <w:rPr>
                <w:rFonts w:ascii="Arial" w:cs="Arial" w:eastAsia="Arial" w:hAnsi="Arial"/>
                <w:sz w:val="18"/>
                <w:szCs w:val="18"/>
                <w:color w:val="auto"/>
                <w:w w:val="91"/>
              </w:rPr>
              <w:t>July 28,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4"/>
              </w:rPr>
              <w:t>Sheldon M. Bonovitz</w:t>
            </w:r>
          </w:p>
        </w:tc>
        <w:tc>
          <w:tcPr>
            <w:tcW w:w="496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ectPr>
          <w:pgSz w:w="11900" w:h="16838" w:orient="portrait"/>
          <w:cols w:equalWidth="0" w:num="1">
            <w:col w:w="11360"/>
          </w:cols>
          <w:pgMar w:left="240" w:top="270" w:right="2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jc w:val="center"/>
              <w:ind w:right="1352"/>
              <w:spacing w:after="0"/>
              <w:rPr>
                <w:sz w:val="20"/>
                <w:szCs w:val="20"/>
                <w:color w:val="auto"/>
              </w:rPr>
            </w:pPr>
            <w:r>
              <w:rPr>
                <w:rFonts w:ascii="Arial" w:cs="Arial" w:eastAsia="Arial" w:hAnsi="Arial"/>
                <w:sz w:val="14"/>
                <w:szCs w:val="14"/>
                <w:b w:val="1"/>
                <w:bCs w:val="1"/>
                <w:color w:val="auto"/>
                <w:w w:val="92"/>
              </w:rPr>
              <w:t>Signature</w:t>
            </w:r>
          </w:p>
        </w:tc>
        <w:tc>
          <w:tcPr>
            <w:tcW w:w="4360" w:type="dxa"/>
            <w:vAlign w:val="bottom"/>
          </w:tcPr>
          <w:p>
            <w:pPr>
              <w:jc w:val="center"/>
              <w:ind w:left="832"/>
              <w:spacing w:after="0"/>
              <w:rPr>
                <w:sz w:val="20"/>
                <w:szCs w:val="20"/>
                <w:color w:val="auto"/>
              </w:rPr>
            </w:pPr>
            <w:r>
              <w:rPr>
                <w:rFonts w:ascii="Arial" w:cs="Arial" w:eastAsia="Arial" w:hAnsi="Arial"/>
                <w:sz w:val="14"/>
                <w:szCs w:val="14"/>
                <w:b w:val="1"/>
                <w:bCs w:val="1"/>
                <w:color w:val="auto"/>
                <w:w w:val="97"/>
              </w:rPr>
              <w:t>Title</w:t>
            </w:r>
          </w:p>
        </w:tc>
        <w:tc>
          <w:tcPr>
            <w:tcW w:w="2400" w:type="dxa"/>
            <w:vAlign w:val="bottom"/>
          </w:tcPr>
          <w:p>
            <w:pPr>
              <w:jc w:val="center"/>
              <w:ind w:left="13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3"/>
              </w:rPr>
              <w:t>/s/</w:t>
            </w:r>
          </w:p>
        </w:tc>
        <w:tc>
          <w:tcPr>
            <w:tcW w:w="2840" w:type="dxa"/>
            <w:vAlign w:val="bottom"/>
            <w:tcBorders>
              <w:bottom w:val="single" w:sz="8" w:color="auto"/>
            </w:tcBorders>
          </w:tcPr>
          <w:p>
            <w:pPr>
              <w:jc w:val="center"/>
              <w:ind w:right="1352"/>
              <w:spacing w:after="0"/>
              <w:rPr>
                <w:sz w:val="20"/>
                <w:szCs w:val="20"/>
                <w:color w:val="auto"/>
              </w:rPr>
            </w:pPr>
            <w:r>
              <w:rPr>
                <w:rFonts w:ascii="Arial" w:cs="Arial" w:eastAsia="Arial" w:hAnsi="Arial"/>
                <w:sz w:val="18"/>
                <w:szCs w:val="18"/>
                <w:color w:val="auto"/>
                <w:w w:val="91"/>
              </w:rPr>
              <w:t>Edward Breen</w:t>
            </w:r>
          </w:p>
        </w:tc>
        <w:tc>
          <w:tcPr>
            <w:tcW w:w="4360" w:type="dxa"/>
            <w:vAlign w:val="bottom"/>
          </w:tcPr>
          <w:p>
            <w:pPr>
              <w:jc w:val="center"/>
              <w:ind w:left="832"/>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28, 2016</w:t>
            </w:r>
          </w:p>
        </w:tc>
      </w:tr>
      <w:tr>
        <w:trPr>
          <w:trHeight w:val="224"/>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jc w:val="center"/>
              <w:ind w:right="1352"/>
              <w:spacing w:after="0"/>
              <w:rPr>
                <w:sz w:val="20"/>
                <w:szCs w:val="20"/>
                <w:color w:val="auto"/>
              </w:rPr>
            </w:pPr>
            <w:r>
              <w:rPr>
                <w:rFonts w:ascii="Arial" w:cs="Arial" w:eastAsia="Arial" w:hAnsi="Arial"/>
                <w:sz w:val="18"/>
                <w:szCs w:val="18"/>
                <w:color w:val="auto"/>
                <w:w w:val="91"/>
              </w:rPr>
              <w:t>Edward Breen</w:t>
            </w:r>
          </w:p>
        </w:tc>
        <w:tc>
          <w:tcPr>
            <w:tcW w:w="43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372"/>
              <w:spacing w:after="0"/>
              <w:rPr>
                <w:sz w:val="20"/>
                <w:szCs w:val="20"/>
                <w:color w:val="auto"/>
              </w:rPr>
            </w:pPr>
            <w:r>
              <w:rPr>
                <w:rFonts w:ascii="Arial" w:cs="Arial" w:eastAsia="Arial" w:hAnsi="Arial"/>
                <w:sz w:val="18"/>
                <w:szCs w:val="18"/>
                <w:color w:val="auto"/>
                <w:w w:val="89"/>
              </w:rPr>
              <w:t>Joseph J. Collins</w:t>
            </w:r>
          </w:p>
        </w:tc>
        <w:tc>
          <w:tcPr>
            <w:tcW w:w="4360" w:type="dxa"/>
            <w:vAlign w:val="bottom"/>
          </w:tcPr>
          <w:p>
            <w:pPr>
              <w:jc w:val="center"/>
              <w:ind w:left="832"/>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28, 2016</w:t>
            </w:r>
          </w:p>
        </w:tc>
      </w:tr>
      <w:tr>
        <w:trPr>
          <w:trHeight w:val="224"/>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jc w:val="center"/>
              <w:ind w:right="1352"/>
              <w:spacing w:after="0"/>
              <w:rPr>
                <w:sz w:val="20"/>
                <w:szCs w:val="20"/>
                <w:color w:val="auto"/>
              </w:rPr>
            </w:pPr>
            <w:r>
              <w:rPr>
                <w:rFonts w:ascii="Arial" w:cs="Arial" w:eastAsia="Arial" w:hAnsi="Arial"/>
                <w:sz w:val="18"/>
                <w:szCs w:val="18"/>
                <w:color w:val="auto"/>
                <w:w w:val="88"/>
              </w:rPr>
              <w:t>Joseph J. Collins</w:t>
            </w:r>
          </w:p>
        </w:tc>
        <w:tc>
          <w:tcPr>
            <w:tcW w:w="43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144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372"/>
              <w:spacing w:after="0"/>
              <w:rPr>
                <w:sz w:val="20"/>
                <w:szCs w:val="20"/>
                <w:color w:val="auto"/>
              </w:rPr>
            </w:pPr>
            <w:r>
              <w:rPr>
                <w:rFonts w:ascii="Arial" w:cs="Arial" w:eastAsia="Arial" w:hAnsi="Arial"/>
                <w:sz w:val="18"/>
                <w:szCs w:val="18"/>
                <w:color w:val="auto"/>
                <w:w w:val="91"/>
              </w:rPr>
              <w:t>Gerald L. Hassell</w:t>
            </w:r>
          </w:p>
        </w:tc>
        <w:tc>
          <w:tcPr>
            <w:tcW w:w="4360" w:type="dxa"/>
            <w:vAlign w:val="bottom"/>
          </w:tcPr>
          <w:p>
            <w:pPr>
              <w:jc w:val="center"/>
              <w:ind w:left="832"/>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28, 2016</w:t>
            </w:r>
          </w:p>
        </w:tc>
      </w:tr>
      <w:tr>
        <w:trPr>
          <w:trHeight w:val="224"/>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jc w:val="center"/>
              <w:ind w:right="1352"/>
              <w:spacing w:after="0"/>
              <w:rPr>
                <w:sz w:val="20"/>
                <w:szCs w:val="20"/>
                <w:color w:val="auto"/>
              </w:rPr>
            </w:pPr>
            <w:r>
              <w:rPr>
                <w:rFonts w:ascii="Arial" w:cs="Arial" w:eastAsia="Arial" w:hAnsi="Arial"/>
                <w:sz w:val="18"/>
                <w:szCs w:val="18"/>
                <w:color w:val="auto"/>
                <w:w w:val="92"/>
              </w:rPr>
              <w:t>Gerald L. Hassell</w:t>
            </w:r>
          </w:p>
        </w:tc>
        <w:tc>
          <w:tcPr>
            <w:tcW w:w="43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3"/>
              </w:rPr>
              <w:t>/s/</w:t>
            </w:r>
          </w:p>
        </w:tc>
        <w:tc>
          <w:tcPr>
            <w:tcW w:w="3120" w:type="dxa"/>
            <w:vAlign w:val="bottom"/>
            <w:tcBorders>
              <w:bottom w:val="single" w:sz="8" w:color="auto"/>
            </w:tcBorders>
            <w:gridSpan w:val="2"/>
          </w:tcPr>
          <w:p>
            <w:pPr>
              <w:jc w:val="center"/>
              <w:ind w:right="1072"/>
              <w:spacing w:after="0"/>
              <w:rPr>
                <w:sz w:val="20"/>
                <w:szCs w:val="20"/>
                <w:color w:val="auto"/>
              </w:rPr>
            </w:pPr>
            <w:r>
              <w:rPr>
                <w:rFonts w:ascii="Arial" w:cs="Arial" w:eastAsia="Arial" w:hAnsi="Arial"/>
                <w:sz w:val="18"/>
                <w:szCs w:val="18"/>
                <w:color w:val="auto"/>
                <w:w w:val="93"/>
              </w:rPr>
              <w:t>Jeffrey A. Honickman</w:t>
            </w:r>
          </w:p>
        </w:tc>
        <w:tc>
          <w:tcPr>
            <w:tcW w:w="4360" w:type="dxa"/>
            <w:vAlign w:val="bottom"/>
          </w:tcPr>
          <w:p>
            <w:pPr>
              <w:jc w:val="center"/>
              <w:ind w:left="832"/>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28, 2016</w:t>
            </w:r>
          </w:p>
        </w:tc>
      </w:tr>
      <w:tr>
        <w:trPr>
          <w:trHeight w:val="224"/>
        </w:trPr>
        <w:tc>
          <w:tcPr>
            <w:tcW w:w="1160" w:type="dxa"/>
            <w:vAlign w:val="bottom"/>
          </w:tcPr>
          <w:p>
            <w:pPr>
              <w:spacing w:after="0"/>
              <w:rPr>
                <w:sz w:val="19"/>
                <w:szCs w:val="19"/>
                <w:color w:val="auto"/>
              </w:rPr>
            </w:pPr>
          </w:p>
        </w:tc>
        <w:tc>
          <w:tcPr>
            <w:tcW w:w="3120" w:type="dxa"/>
            <w:vAlign w:val="bottom"/>
            <w:gridSpan w:val="2"/>
          </w:tcPr>
          <w:p>
            <w:pPr>
              <w:jc w:val="center"/>
              <w:ind w:right="1072"/>
              <w:spacing w:after="0"/>
              <w:rPr>
                <w:sz w:val="20"/>
                <w:szCs w:val="20"/>
                <w:color w:val="auto"/>
              </w:rPr>
            </w:pPr>
            <w:r>
              <w:rPr>
                <w:rFonts w:ascii="Arial" w:cs="Arial" w:eastAsia="Arial" w:hAnsi="Arial"/>
                <w:sz w:val="18"/>
                <w:szCs w:val="18"/>
                <w:color w:val="auto"/>
                <w:w w:val="93"/>
              </w:rPr>
              <w:t>Jeffrey A. Honickman</w:t>
            </w:r>
          </w:p>
        </w:tc>
        <w:tc>
          <w:tcPr>
            <w:tcW w:w="43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144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372"/>
              <w:spacing w:after="0"/>
              <w:rPr>
                <w:sz w:val="20"/>
                <w:szCs w:val="20"/>
                <w:color w:val="auto"/>
              </w:rPr>
            </w:pPr>
            <w:r>
              <w:rPr>
                <w:rFonts w:ascii="Arial" w:cs="Arial" w:eastAsia="Arial" w:hAnsi="Arial"/>
                <w:sz w:val="18"/>
                <w:szCs w:val="18"/>
                <w:color w:val="auto"/>
                <w:w w:val="90"/>
              </w:rPr>
              <w:t>Eduardo G. Mestre</w:t>
            </w:r>
          </w:p>
        </w:tc>
        <w:tc>
          <w:tcPr>
            <w:tcW w:w="4360" w:type="dxa"/>
            <w:vAlign w:val="bottom"/>
          </w:tcPr>
          <w:p>
            <w:pPr>
              <w:jc w:val="center"/>
              <w:ind w:left="832"/>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28, 2016</w:t>
            </w:r>
          </w:p>
        </w:tc>
      </w:tr>
      <w:tr>
        <w:trPr>
          <w:trHeight w:val="224"/>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jc w:val="center"/>
              <w:ind w:right="1352"/>
              <w:spacing w:after="0"/>
              <w:rPr>
                <w:sz w:val="20"/>
                <w:szCs w:val="20"/>
                <w:color w:val="auto"/>
              </w:rPr>
            </w:pPr>
            <w:r>
              <w:rPr>
                <w:rFonts w:ascii="Arial" w:cs="Arial" w:eastAsia="Arial" w:hAnsi="Arial"/>
                <w:sz w:val="18"/>
                <w:szCs w:val="18"/>
                <w:color w:val="auto"/>
                <w:w w:val="89"/>
              </w:rPr>
              <w:t>Eduardo G. Mestre</w:t>
            </w:r>
          </w:p>
        </w:tc>
        <w:tc>
          <w:tcPr>
            <w:tcW w:w="43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3"/>
              </w:rPr>
              <w:t>/s/</w:t>
            </w:r>
          </w:p>
        </w:tc>
        <w:tc>
          <w:tcPr>
            <w:tcW w:w="3120" w:type="dxa"/>
            <w:vAlign w:val="bottom"/>
            <w:tcBorders>
              <w:bottom w:val="single" w:sz="8" w:color="auto"/>
            </w:tcBorders>
            <w:gridSpan w:val="2"/>
          </w:tcPr>
          <w:p>
            <w:pPr>
              <w:jc w:val="center"/>
              <w:ind w:right="1072"/>
              <w:spacing w:after="0"/>
              <w:rPr>
                <w:sz w:val="20"/>
                <w:szCs w:val="20"/>
                <w:color w:val="auto"/>
              </w:rPr>
            </w:pPr>
            <w:r>
              <w:rPr>
                <w:rFonts w:ascii="Arial" w:cs="Arial" w:eastAsia="Arial" w:hAnsi="Arial"/>
                <w:sz w:val="18"/>
                <w:szCs w:val="18"/>
                <w:color w:val="auto"/>
                <w:w w:val="89"/>
              </w:rPr>
              <w:t>Johnathan A. Rodgers</w:t>
            </w:r>
          </w:p>
        </w:tc>
        <w:tc>
          <w:tcPr>
            <w:tcW w:w="4360" w:type="dxa"/>
            <w:vAlign w:val="bottom"/>
          </w:tcPr>
          <w:p>
            <w:pPr>
              <w:jc w:val="center"/>
              <w:ind w:left="832"/>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28, 2016</w:t>
            </w:r>
          </w:p>
        </w:tc>
      </w:tr>
      <w:tr>
        <w:trPr>
          <w:trHeight w:val="224"/>
        </w:trPr>
        <w:tc>
          <w:tcPr>
            <w:tcW w:w="1160" w:type="dxa"/>
            <w:vAlign w:val="bottom"/>
          </w:tcPr>
          <w:p>
            <w:pPr>
              <w:spacing w:after="0"/>
              <w:rPr>
                <w:sz w:val="19"/>
                <w:szCs w:val="19"/>
                <w:color w:val="auto"/>
              </w:rPr>
            </w:pPr>
          </w:p>
        </w:tc>
        <w:tc>
          <w:tcPr>
            <w:tcW w:w="3120" w:type="dxa"/>
            <w:vAlign w:val="bottom"/>
            <w:gridSpan w:val="2"/>
          </w:tcPr>
          <w:p>
            <w:pPr>
              <w:jc w:val="center"/>
              <w:ind w:right="1072"/>
              <w:spacing w:after="0"/>
              <w:rPr>
                <w:sz w:val="20"/>
                <w:szCs w:val="20"/>
                <w:color w:val="auto"/>
              </w:rPr>
            </w:pPr>
            <w:r>
              <w:rPr>
                <w:rFonts w:ascii="Arial" w:cs="Arial" w:eastAsia="Arial" w:hAnsi="Arial"/>
                <w:sz w:val="18"/>
                <w:szCs w:val="18"/>
                <w:color w:val="auto"/>
                <w:w w:val="89"/>
              </w:rPr>
              <w:t>Johnathan A. Rodgers</w:t>
            </w:r>
          </w:p>
        </w:tc>
        <w:tc>
          <w:tcPr>
            <w:tcW w:w="43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352"/>
              <w:spacing w:after="0"/>
              <w:rPr>
                <w:sz w:val="20"/>
                <w:szCs w:val="20"/>
                <w:color w:val="auto"/>
              </w:rPr>
            </w:pPr>
            <w:r>
              <w:rPr>
                <w:rFonts w:ascii="Arial" w:cs="Arial" w:eastAsia="Arial" w:hAnsi="Arial"/>
                <w:sz w:val="18"/>
                <w:szCs w:val="18"/>
                <w:color w:val="auto"/>
                <w:w w:val="92"/>
              </w:rPr>
              <w:t>Dr. Judith Rodin</w:t>
            </w:r>
          </w:p>
        </w:tc>
        <w:tc>
          <w:tcPr>
            <w:tcW w:w="4360" w:type="dxa"/>
            <w:vAlign w:val="bottom"/>
          </w:tcPr>
          <w:p>
            <w:pPr>
              <w:jc w:val="center"/>
              <w:ind w:left="832"/>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28, 2016</w:t>
            </w:r>
          </w:p>
        </w:tc>
      </w:tr>
      <w:tr>
        <w:trPr>
          <w:trHeight w:val="224"/>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jc w:val="center"/>
              <w:ind w:right="1352"/>
              <w:spacing w:after="0"/>
              <w:rPr>
                <w:sz w:val="20"/>
                <w:szCs w:val="20"/>
                <w:color w:val="auto"/>
              </w:rPr>
            </w:pPr>
            <w:r>
              <w:rPr>
                <w:rFonts w:ascii="Arial" w:cs="Arial" w:eastAsia="Arial" w:hAnsi="Arial"/>
                <w:sz w:val="18"/>
                <w:szCs w:val="18"/>
                <w:color w:val="auto"/>
                <w:w w:val="92"/>
              </w:rPr>
              <w:t>Dr. Judith Rodin</w:t>
            </w:r>
          </w:p>
        </w:tc>
        <w:tc>
          <w:tcPr>
            <w:tcW w:w="436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ectPr>
          <w:pgSz w:w="11900" w:h="16838" w:orient="portrait"/>
          <w:cols w:equalWidth="0" w:num="1">
            <w:col w:w="11040"/>
          </w:cols>
          <w:pgMar w:left="240" w:top="265" w:right="6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32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jc w:val="right"/>
              <w:spacing w:after="0"/>
              <w:rPr>
                <w:sz w:val="20"/>
                <w:szCs w:val="20"/>
                <w:color w:val="auto"/>
              </w:rPr>
            </w:pPr>
            <w:r>
              <w:rPr>
                <w:rFonts w:ascii="Arial" w:cs="Arial" w:eastAsia="Arial" w:hAnsi="Arial"/>
                <w:sz w:val="14"/>
                <w:szCs w:val="14"/>
                <w:color w:val="auto"/>
              </w:rPr>
              <w:t>Exhibit</w:t>
            </w:r>
          </w:p>
        </w:tc>
        <w:tc>
          <w:tcPr>
            <w:tcW w:w="5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480" w:type="dxa"/>
            <w:vAlign w:val="bottom"/>
          </w:tcPr>
          <w:p>
            <w:pPr>
              <w:jc w:val="right"/>
              <w:spacing w:after="0"/>
              <w:rPr>
                <w:sz w:val="20"/>
                <w:szCs w:val="20"/>
                <w:color w:val="auto"/>
              </w:rPr>
            </w:pPr>
            <w:r>
              <w:rPr>
                <w:rFonts w:ascii="Arial" w:cs="Arial" w:eastAsia="Arial" w:hAnsi="Arial"/>
                <w:sz w:val="14"/>
                <w:szCs w:val="14"/>
                <w:color w:val="auto"/>
                <w:w w:val="92"/>
              </w:rPr>
              <w:t>Number</w:t>
            </w:r>
          </w:p>
        </w:tc>
        <w:tc>
          <w:tcPr>
            <w:tcW w:w="51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6"/>
              </w:rPr>
              <w:t>Exhibit Description</w:t>
            </w:r>
          </w:p>
        </w:tc>
      </w:tr>
      <w:tr>
        <w:trPr>
          <w:trHeight w:val="318"/>
        </w:trPr>
        <w:tc>
          <w:tcPr>
            <w:tcW w:w="4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5.1</w:t>
            </w:r>
          </w:p>
        </w:tc>
        <w:tc>
          <w:tcPr>
            <w:tcW w:w="5180" w:type="dxa"/>
            <w:vAlign w:val="bottom"/>
          </w:tcPr>
          <w:p>
            <w:pPr>
              <w:ind w:left="560"/>
              <w:spacing w:after="0"/>
              <w:rPr>
                <w:sz w:val="20"/>
                <w:szCs w:val="20"/>
                <w:color w:val="auto"/>
              </w:rPr>
            </w:pPr>
            <w:r>
              <w:rPr>
                <w:rFonts w:ascii="Arial" w:cs="Arial" w:eastAsia="Arial" w:hAnsi="Arial"/>
                <w:sz w:val="18"/>
                <w:szCs w:val="18"/>
                <w:color w:val="auto"/>
              </w:rPr>
              <w:t>Opinion of Pepper Hamilton LLP (regarding validity)</w:t>
            </w: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5.2</w:t>
            </w:r>
          </w:p>
        </w:tc>
        <w:tc>
          <w:tcPr>
            <w:tcW w:w="6320" w:type="dxa"/>
            <w:vAlign w:val="bottom"/>
            <w:gridSpan w:val="3"/>
          </w:tcPr>
          <w:p>
            <w:pPr>
              <w:ind w:left="560"/>
              <w:spacing w:after="0"/>
              <w:rPr>
                <w:sz w:val="20"/>
                <w:szCs w:val="20"/>
                <w:color w:val="auto"/>
              </w:rPr>
            </w:pPr>
            <w:r>
              <w:rPr>
                <w:rFonts w:ascii="Arial" w:cs="Arial" w:eastAsia="Arial" w:hAnsi="Arial"/>
                <w:sz w:val="18"/>
                <w:szCs w:val="18"/>
                <w:color w:val="auto"/>
              </w:rPr>
              <w:t>Opinion of Pepper Hamilton LLP (regarding ERISA)</w:t>
            </w:r>
          </w:p>
        </w:tc>
      </w:tr>
      <w:tr>
        <w:trPr>
          <w:trHeight w:val="324"/>
        </w:trPr>
        <w:tc>
          <w:tcPr>
            <w:tcW w:w="480" w:type="dxa"/>
            <w:vAlign w:val="bottom"/>
          </w:tcPr>
          <w:p>
            <w:pPr>
              <w:jc w:val="right"/>
              <w:ind w:right="75"/>
              <w:spacing w:after="0"/>
              <w:rPr>
                <w:sz w:val="20"/>
                <w:szCs w:val="20"/>
                <w:color w:val="auto"/>
              </w:rPr>
            </w:pPr>
            <w:r>
              <w:rPr>
                <w:rFonts w:ascii="Arial" w:cs="Arial" w:eastAsia="Arial" w:hAnsi="Arial"/>
                <w:sz w:val="18"/>
                <w:szCs w:val="18"/>
                <w:color w:val="auto"/>
                <w:w w:val="85"/>
              </w:rPr>
              <w:t>23.1</w:t>
            </w:r>
          </w:p>
        </w:tc>
        <w:tc>
          <w:tcPr>
            <w:tcW w:w="6320" w:type="dxa"/>
            <w:vAlign w:val="bottom"/>
            <w:gridSpan w:val="3"/>
          </w:tcPr>
          <w:p>
            <w:pPr>
              <w:ind w:left="56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480" w:type="dxa"/>
            <w:vAlign w:val="bottom"/>
          </w:tcPr>
          <w:p>
            <w:pPr>
              <w:jc w:val="right"/>
              <w:ind w:right="75"/>
              <w:spacing w:after="0"/>
              <w:rPr>
                <w:sz w:val="20"/>
                <w:szCs w:val="20"/>
                <w:color w:val="auto"/>
              </w:rPr>
            </w:pPr>
            <w:r>
              <w:rPr>
                <w:rFonts w:ascii="Arial" w:cs="Arial" w:eastAsia="Arial" w:hAnsi="Arial"/>
                <w:sz w:val="18"/>
                <w:szCs w:val="18"/>
                <w:color w:val="auto"/>
                <w:w w:val="85"/>
              </w:rPr>
              <w:t>23.2</w:t>
            </w:r>
          </w:p>
        </w:tc>
        <w:tc>
          <w:tcPr>
            <w:tcW w:w="6320" w:type="dxa"/>
            <w:vAlign w:val="bottom"/>
            <w:gridSpan w:val="3"/>
          </w:tcPr>
          <w:p>
            <w:pPr>
              <w:ind w:left="560"/>
              <w:spacing w:after="0"/>
              <w:rPr>
                <w:sz w:val="20"/>
                <w:szCs w:val="20"/>
                <w:color w:val="auto"/>
              </w:rPr>
            </w:pPr>
            <w:r>
              <w:rPr>
                <w:rFonts w:ascii="Arial" w:cs="Arial" w:eastAsia="Arial" w:hAnsi="Arial"/>
                <w:sz w:val="18"/>
                <w:szCs w:val="18"/>
                <w:color w:val="auto"/>
              </w:rPr>
              <w:t>Consent of Pepper Hamilton LLP (contained in Exhibits 5.1 and 5.2)</w:t>
            </w:r>
          </w:p>
        </w:tc>
      </w:tr>
      <w:tr>
        <w:trPr>
          <w:trHeight w:val="324"/>
        </w:trPr>
        <w:tc>
          <w:tcPr>
            <w:tcW w:w="480" w:type="dxa"/>
            <w:vAlign w:val="bottom"/>
          </w:tcPr>
          <w:p>
            <w:pPr>
              <w:jc w:val="right"/>
              <w:ind w:right="75"/>
              <w:spacing w:after="0"/>
              <w:rPr>
                <w:sz w:val="20"/>
                <w:szCs w:val="20"/>
                <w:color w:val="auto"/>
              </w:rPr>
            </w:pPr>
            <w:r>
              <w:rPr>
                <w:rFonts w:ascii="Arial" w:cs="Arial" w:eastAsia="Arial" w:hAnsi="Arial"/>
                <w:sz w:val="18"/>
                <w:szCs w:val="18"/>
                <w:color w:val="auto"/>
                <w:w w:val="85"/>
              </w:rPr>
              <w:t>24.1</w:t>
            </w:r>
          </w:p>
        </w:tc>
        <w:tc>
          <w:tcPr>
            <w:tcW w:w="6320" w:type="dxa"/>
            <w:vAlign w:val="bottom"/>
            <w:gridSpan w:val="3"/>
          </w:tcPr>
          <w:p>
            <w:pPr>
              <w:ind w:left="560"/>
              <w:spacing w:after="0"/>
              <w:rPr>
                <w:sz w:val="20"/>
                <w:szCs w:val="20"/>
                <w:color w:val="auto"/>
              </w:rPr>
            </w:pPr>
            <w:r>
              <w:rPr>
                <w:rFonts w:ascii="Arial" w:cs="Arial" w:eastAsia="Arial" w:hAnsi="Arial"/>
                <w:sz w:val="18"/>
                <w:szCs w:val="18"/>
                <w:color w:val="auto"/>
              </w:rPr>
              <w:t>Power of Attorney (contained in the signature pages hereto)</w:t>
            </w:r>
          </w:p>
        </w:tc>
      </w:tr>
    </w:tbl>
    <w:p>
      <w:pPr>
        <w:sectPr>
          <w:pgSz w:w="11900" w:h="16838" w:orient="portrait"/>
          <w:cols w:equalWidth="0" w:num="1">
            <w:col w:w="10219"/>
          </w:cols>
          <w:pgMar w:left="240" w:top="27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1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81"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The Registration Statement relates to 159,000,000 shares of Class A Common Stock, par value $0.01, of the Company (the “Shares”), 37,500,000 of which may be issued by the Company pursuant to the Comcast Corporation 2002 Restricted Stock Plan, as amended and restated (the “Restricted Stock Plan”), 99,000,000 of which may be issued by the Company pursuant to the Comcast Corporation 2003 Stock Option Plan, as amended and restated (the “Stock Option Plan”), 15,000,000 of which may be issued by the Company pursuant to the Comcast Corporation 2002 Employee Stock Purchase Plan, as amended and restated (the “2002 Employee Stock Purchase Plan”) and 7,500,000 of which may be issued by the Company pursuant to the Comcast-NBCUniversal 2011 Employee Stock Purchase Plan (the “2011 Employee Stock Purchase Plan”, and together with the Restricted Stock Plan, the Stock Option Plan and the 2002 Employee Stock Purchase Plan, the “Plans”).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and restated, the Company’s By-laws, as amended and restated, the Plans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the foregoing, we are of the opinion that the Shares, when issued in accordance with the terms of the Plans,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1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Comcast Corporation 2002 Restricted Stock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served as counsel to Comcast Corporation, a Pennsylvania Corporation (the “Company”), in connection with the registration by the Company of 159,000,000 shares of Class A Common Stock, par value $0.01 (the “Shares”), on Form S-8 with the Securities and Exchange Commission (the “Commission”). Of the total Shares registered, 37,500,000 may be issued pursuant to the Company’s 2002 Restricted Stock Plan, as amended and restated (the “Restricted Stock Plan”). Unless otherwise defined herein, capitalized terms used herein shall have the meanings assigned to them in the Registration Statement.</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Restricted Stock Plan document states that the Restricted Stock Plan was established to permit eligible employees and non-employee directors to defer the receipt of compensation otherwise payable to such outside directors and eligible employees in accordance with the terms of the Restricted Stock Plan. The Restricted Stock Plan is unfunded and states that it is maintained primarily for the purpose of providing deferred compensation to outside directors and to a select group of management or highly compensated employees. For the purpose of this opinion, we have assumed that (1) the Restricted Stock Plan was duly adopted by the Company on December 19, 1990 and amended and restated, effective as of February 22, 2016 in its current form, and (2) the deferral provisions of the Restricted Stock Plan are maintained primarily for the purpose of providing the opportunity to defer the receipt of shares upon the vesting of awards of restricted stock and restricted stock units and to convert the right to receive shares to the right to receive the cash value of the shares to non-employee directors and a select group of management or highly compensated employees.</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By its express terms, the Restricted Stock Plan potentially results in a deferral of income by employees for periods extending to the termination of covered employment or beyond. Accordingly, the Restricted Stock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Restricted Stock Plan is subject to parts 1 and 5 of Title I of ERISA, but not to any other provisions of ERISA.</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Restricted Stock Plan is not designed or operated with the purpose of satisfying the requirements for qualification under section 401(a) of the Internal Revenue Code of 1986, as amended.</w:t>
      </w:r>
    </w:p>
    <w:p>
      <w:pPr>
        <w:spacing w:after="0" w:line="170"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Parts 1 and 5 of Title 1 of ERISA do not impose any specific written requirements on non-qualified deferred compensation arrangements such as the Restricted Stock Plan as a condition to compliance with the applicable provisions of ERISA. Further, the operation of the Restricted Stock Plan pursuant to the written provisions of the Restricted Stock Plan will not cause the Restricted Stock Plan to fail to comply with parts 1 or 5 of Title 5 of ERISA.</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Restricted Stock Plan comply with the requirements of ERISA pertaining to such provisions.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5, 2016,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28,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2019-12-07T15:39:01Z</dcterms:created>
  <dcterms:modified xsi:type="dcterms:W3CDTF">2019-12-07T15:39:01Z</dcterms:modified>
</cp:coreProperties>
</file>