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24,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182245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2540" w:type="dxa"/>
            <w:vAlign w:val="bottom"/>
          </w:tcPr>
          <w:p>
            <w:pPr>
              <w:spacing w:after="0"/>
              <w:rPr>
                <w:sz w:val="18"/>
                <w:szCs w:val="18"/>
                <w:color w:val="auto"/>
              </w:rPr>
            </w:pPr>
          </w:p>
        </w:tc>
        <w:tc>
          <w:tcPr>
            <w:tcW w:w="5300" w:type="dxa"/>
            <w:vAlign w:val="bottom"/>
          </w:tcPr>
          <w:p>
            <w:pPr>
              <w:jc w:val="center"/>
              <w:ind w:right="2359"/>
              <w:spacing w:after="0"/>
              <w:rPr>
                <w:sz w:val="20"/>
                <w:szCs w:val="20"/>
                <w:color w:val="auto"/>
              </w:rPr>
            </w:pPr>
            <w:r>
              <w:rPr>
                <w:rFonts w:ascii="Arial" w:cs="Arial" w:eastAsia="Arial" w:hAnsi="Arial"/>
                <w:sz w:val="18"/>
                <w:szCs w:val="18"/>
                <w:b w:val="1"/>
                <w:bCs w:val="1"/>
                <w:color w:val="auto"/>
                <w:w w:val="88"/>
              </w:rPr>
              <w:t>Pennsylvania</w:t>
            </w:r>
          </w:p>
        </w:tc>
      </w:tr>
      <w:tr>
        <w:trPr>
          <w:trHeight w:val="186"/>
        </w:trPr>
        <w:tc>
          <w:tcPr>
            <w:tcW w:w="2540" w:type="dxa"/>
            <w:vAlign w:val="bottom"/>
          </w:tcPr>
          <w:p>
            <w:pPr>
              <w:spacing w:after="0"/>
              <w:rPr>
                <w:sz w:val="16"/>
                <w:szCs w:val="16"/>
                <w:color w:val="auto"/>
              </w:rPr>
            </w:pPr>
          </w:p>
        </w:tc>
        <w:tc>
          <w:tcPr>
            <w:tcW w:w="5300" w:type="dxa"/>
            <w:vAlign w:val="bottom"/>
          </w:tcPr>
          <w:p>
            <w:pPr>
              <w:jc w:val="center"/>
              <w:ind w:right="2379"/>
              <w:spacing w:after="0"/>
              <w:rPr>
                <w:sz w:val="20"/>
                <w:szCs w:val="20"/>
                <w:color w:val="auto"/>
              </w:rPr>
            </w:pPr>
            <w:r>
              <w:rPr>
                <w:rFonts w:ascii="Arial" w:cs="Arial" w:eastAsia="Arial" w:hAnsi="Arial"/>
                <w:sz w:val="14"/>
                <w:szCs w:val="14"/>
                <w:b w:val="1"/>
                <w:bCs w:val="1"/>
                <w:color w:val="auto"/>
                <w:w w:val="93"/>
              </w:rPr>
              <w:t>(State or other jurisdiction of incorporation)</w:t>
            </w:r>
          </w:p>
        </w:tc>
      </w:tr>
      <w:tr>
        <w:trPr>
          <w:trHeight w:val="394"/>
        </w:trPr>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0"/>
              </w:rPr>
              <w:t>001-32871</w:t>
            </w:r>
          </w:p>
        </w:tc>
        <w:tc>
          <w:tcPr>
            <w:tcW w:w="5300" w:type="dxa"/>
            <w:vAlign w:val="bottom"/>
          </w:tcPr>
          <w:p>
            <w:pPr>
              <w:jc w:val="center"/>
              <w:ind w:left="3139"/>
              <w:spacing w:after="0"/>
              <w:rPr>
                <w:sz w:val="20"/>
                <w:szCs w:val="20"/>
                <w:color w:val="auto"/>
              </w:rPr>
            </w:pPr>
            <w:r>
              <w:rPr>
                <w:rFonts w:ascii="Arial" w:cs="Arial" w:eastAsia="Arial" w:hAnsi="Arial"/>
                <w:sz w:val="18"/>
                <w:szCs w:val="18"/>
                <w:b w:val="1"/>
                <w:bCs w:val="1"/>
                <w:color w:val="auto"/>
                <w:w w:val="91"/>
              </w:rPr>
              <w:t>27-0000798</w:t>
            </w:r>
          </w:p>
        </w:tc>
      </w:tr>
      <w:tr>
        <w:trPr>
          <w:trHeight w:val="186"/>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4"/>
              </w:rPr>
              <w:t>(Commission File Number)</w:t>
            </w:r>
          </w:p>
        </w:tc>
        <w:tc>
          <w:tcPr>
            <w:tcW w:w="5300" w:type="dxa"/>
            <w:vAlign w:val="bottom"/>
          </w:tcPr>
          <w:p>
            <w:pPr>
              <w:jc w:val="center"/>
              <w:ind w:left="313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9"/>
        </w:trPr>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9"/>
              </w:rPr>
              <w:t>One Comcast Center</w:t>
            </w:r>
          </w:p>
        </w:tc>
        <w:tc>
          <w:tcPr>
            <w:tcW w:w="5300" w:type="dxa"/>
            <w:vAlign w:val="bottom"/>
          </w:tcPr>
          <w:p>
            <w:pPr>
              <w:spacing w:after="0"/>
              <w:rPr>
                <w:sz w:val="24"/>
                <w:szCs w:val="24"/>
                <w:color w:val="auto"/>
              </w:rPr>
            </w:pPr>
          </w:p>
        </w:tc>
      </w:tr>
      <w:tr>
        <w:trPr>
          <w:trHeight w:val="212"/>
        </w:trPr>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0"/>
              </w:rPr>
              <w:t>Philadelphia, PA</w:t>
            </w:r>
          </w:p>
        </w:tc>
        <w:tc>
          <w:tcPr>
            <w:tcW w:w="5300" w:type="dxa"/>
            <w:vAlign w:val="bottom"/>
          </w:tcPr>
          <w:p>
            <w:pPr>
              <w:jc w:val="center"/>
              <w:ind w:left="3139"/>
              <w:spacing w:after="0"/>
              <w:rPr>
                <w:sz w:val="20"/>
                <w:szCs w:val="20"/>
                <w:color w:val="auto"/>
              </w:rPr>
            </w:pPr>
            <w:r>
              <w:rPr>
                <w:rFonts w:ascii="Arial" w:cs="Arial" w:eastAsia="Arial" w:hAnsi="Arial"/>
                <w:sz w:val="18"/>
                <w:szCs w:val="18"/>
                <w:b w:val="1"/>
                <w:bCs w:val="1"/>
                <w:color w:val="auto"/>
                <w:w w:val="91"/>
              </w:rPr>
              <w:t>19103-2838</w:t>
            </w:r>
          </w:p>
        </w:tc>
      </w:tr>
      <w:tr>
        <w:trPr>
          <w:trHeight w:val="186"/>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300" w:type="dxa"/>
            <w:vAlign w:val="bottom"/>
          </w:tcPr>
          <w:p>
            <w:pPr>
              <w:jc w:val="center"/>
              <w:ind w:left="3139"/>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177800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4"/>
          <w:szCs w:val="24"/>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117" w:lineRule="exact"/>
        <w:rPr>
          <w:rFonts w:ascii="MS PGothic" w:cs="MS PGothic" w:eastAsia="MS PGothic" w:hAnsi="MS PGothic"/>
          <w:sz w:val="18"/>
          <w:szCs w:val="18"/>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$0.01 par value</w:t>
            </w:r>
          </w:p>
        </w:tc>
        <w:tc>
          <w:tcPr>
            <w:tcW w:w="60" w:type="dxa"/>
            <w:vAlign w:val="bottom"/>
          </w:tcPr>
          <w:p>
            <w:pPr>
              <w:spacing w:after="0"/>
              <w:rPr>
                <w:sz w:val="16"/>
                <w:szCs w:val="16"/>
                <w:color w:val="auto"/>
              </w:rPr>
            </w:pPr>
          </w:p>
        </w:tc>
        <w:tc>
          <w:tcPr>
            <w:tcW w:w="3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CMCSA</w:t>
            </w:r>
          </w:p>
        </w:tc>
        <w:tc>
          <w:tcPr>
            <w:tcW w:w="100" w:type="dxa"/>
            <w:vAlign w:val="bottom"/>
          </w:tcPr>
          <w:p>
            <w:pPr>
              <w:spacing w:after="0"/>
              <w:rPr>
                <w:sz w:val="16"/>
                <w:szCs w:val="16"/>
                <w:color w:val="auto"/>
              </w:rPr>
            </w:pPr>
          </w:p>
        </w:tc>
        <w:tc>
          <w:tcPr>
            <w:tcW w:w="35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NASDAQ Global Select Market</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0.250% Notes due 2027</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9"/>
              </w:rPr>
              <w:t>CMCSA</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0.750% Notes due 2032</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9"/>
              </w:rPr>
              <w:t>CMCSA</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1.250% Notes due 2040</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9"/>
              </w:rPr>
              <w:t>CMCSA</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1.500% Notes due 2029</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9"/>
              </w:rPr>
              <w:t>CMCSA</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1.875% Notes due 2036</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9"/>
              </w:rPr>
              <w:t>CMCSA</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9"/>
              </w:rPr>
              <w:t>2.0% Exchangeable Subordinated Debentures</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rPr>
              <w:t>CCZ</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8"/>
              </w:rPr>
              <w:t>due 2029</w:t>
            </w:r>
          </w:p>
        </w:tc>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5.50% Notes due 2029</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6"/>
              </w:rPr>
              <w:t>CCGBP29</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34"/>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1"/>
              </w:rPr>
              <w:t>9.455% Guaranteed Notes due 2022</w:t>
            </w:r>
          </w:p>
        </w:tc>
        <w:tc>
          <w:tcPr>
            <w:tcW w:w="6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6"/>
              </w:rPr>
              <w:t>CMCSA/22</w:t>
            </w:r>
          </w:p>
        </w:tc>
        <w:tc>
          <w:tcPr>
            <w:tcW w:w="10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41"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impact of coronavirus disease 2019 (“COVID-19”) and measures to prevent its spread are affecting our businesses in a number of ways. For example, we have closed all of our theme parks; we have delayed theatrical distribution of films both domestically and internationally; and the creation and availability of our film and television programming in the United States and globally has been disrupted, including from the cancellation or postponement of sports events, including possibly the Olympics, and suspension of entertainment content production. As they affect Sky, these impacts materially exacerbate what was an already deteriorating economic environment and advertising market in the UK and Europe in 2019. Our Comcast Cable business, while our network performs well to meet the challenge of business and schooling from home, will not be unaffected either as economic stress impacts our residential and business services customer base.</w:t>
      </w:r>
    </w:p>
    <w:p>
      <w:pPr>
        <w:spacing w:after="0" w:line="177"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We expect that the ultimate significance of the impact of COVID-19 on our businesses will vary but will generally depend on the extent of governmental measures affecting day to day life and the length of time that such measures remain in place to respond to COVID-19. At this point, it is impossible to predict such extent and duration and the degree to which supply and demand for our products and services, including advertising, will be affected. This uncertainty makes it challenging for management to estimate the future performance of our businesses, particularly over the near to medium term. However, the impact of COVID-19 could have a material adverse impact on our results of operations over the near to medium term.</w:t>
      </w:r>
    </w:p>
    <w:p>
      <w:pPr>
        <w:sectPr>
          <w:pgSz w:w="11900" w:h="16838" w:orient="portrait"/>
          <w:cols w:equalWidth="0" w:num="1">
            <w:col w:w="10900"/>
          </w:cols>
          <w:pgMar w:left="440" w:top="297"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E. Dordelman</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spacing w:after="0" w:line="195" w:lineRule="exact"/>
              <w:rPr>
                <w:sz w:val="20"/>
                <w:szCs w:val="20"/>
                <w:color w:val="auto"/>
              </w:rPr>
            </w:pPr>
            <w:r>
              <w:rPr>
                <w:rFonts w:ascii="Arial" w:cs="Arial" w:eastAsia="Arial" w:hAnsi="Arial"/>
                <w:sz w:val="18"/>
                <w:szCs w:val="18"/>
                <w:color w:val="auto"/>
              </w:rPr>
              <w:t>William E. Dordelman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Senior Vice President and Treasurer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March 24, 2020</w:t>
      </w: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2020-03-24T07:31:51Z</dcterms:created>
  <dcterms:modified xsi:type="dcterms:W3CDTF">2020-03-24T07:31:51Z</dcterms:modified>
</cp:coreProperties>
</file>