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October 11, 2012</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Larry Spirgel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360"/>
          </w:cols>
          <w:pgMar w:left="240" w:top="661" w:right="299" w:bottom="1440" w:gutter="0" w:footer="0" w:header="0"/>
        </w:sectPr>
      </w:pPr>
    </w:p>
    <w:p>
      <w:pPr>
        <w:spacing w:after="0" w:line="26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10-K for the fiscal year ended December 31, 2011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February 23, 2012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Response dated August 2, 2012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333-174175</w:t>
      </w:r>
    </w:p>
    <w:p>
      <w:pPr>
        <w:spacing w:after="0" w:line="200" w:lineRule="exact"/>
        <w:rPr>
          <w:sz w:val="24"/>
          <w:szCs w:val="24"/>
          <w:color w:val="auto"/>
        </w:rPr>
      </w:pPr>
    </w:p>
    <w:p>
      <w:pPr>
        <w:sectPr>
          <w:pgSz w:w="11900" w:h="16838" w:orient="portrait"/>
          <w:cols w:equalWidth="0" w:num="2">
            <w:col w:w="900" w:space="560"/>
            <w:col w:w="9900"/>
          </w:cols>
          <w:pgMar w:left="240" w:top="661" w:right="29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Dear Mr. Spirgel:</w:t>
      </w:r>
    </w:p>
    <w:p>
      <w:pPr>
        <w:sectPr>
          <w:pgSz w:w="11900" w:h="16838" w:orient="portrait"/>
          <w:cols w:equalWidth="0" w:num="1">
            <w:col w:w="11360"/>
          </w:cols>
          <w:pgMar w:left="240" w:top="661" w:right="299" w:bottom="1440" w:gutter="0" w:footer="0" w:header="0"/>
          <w:type w:val="continuous"/>
        </w:sectPr>
      </w:pPr>
    </w:p>
    <w:p>
      <w:pPr>
        <w:spacing w:after="0" w:line="291"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writing this letter to respond to the comment letter of the Staff of the Securities and Exchange Commission (the “Staff”) dated September 7, 2012, relating to the review of our Form 10-K for the fiscal year ended December 31, 2011 (the “Form 10-K”). For your convenience, we have reproduced the Staff’s comment preceding our response below. Please let us know if you have any questions or if we can provide additional information or otherwise be of assistance in expediting the review process.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year ended December 31, 2011</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Financial Statements and Supplementary Data</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Statement of Income, page 47</w:t>
      </w:r>
    </w:p>
    <w:p>
      <w:pPr>
        <w:spacing w:after="0" w:line="277" w:lineRule="exact"/>
        <w:rPr>
          <w:sz w:val="24"/>
          <w:szCs w:val="24"/>
          <w:color w:val="auto"/>
        </w:rPr>
      </w:pPr>
    </w:p>
    <w:p>
      <w:pPr>
        <w:ind w:left="820" w:right="100" w:hanging="326"/>
        <w:spacing w:after="0" w:line="284" w:lineRule="auto"/>
        <w:tabs>
          <w:tab w:leader="none" w:pos="82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prior comment one. As discussed with you in our telephone call on September 5, 2012, we continue to believe that your current presentation is not in compliance with Rule 5-03 of Regulation S-X. Please revise your presentation accordingly.</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283"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appreciated the opportunity to obtain the Staff’s insights on our Consolidated Statement of Income presentation. On our telephone call, the Staff asked us to consider including on the face of the income statement the expense captions that we currently have in our Supplemental Financial Information Note to our consolidated financial statements. Accordingly, we will incorporate such captions, with modifications similar to those we have proposed for our parent, Comcast Corporation, on the face of the income statement beginning with our Form 10-K for the fiscal year ending December 31, 2012.</w:t>
      </w:r>
    </w:p>
    <w:p>
      <w:pPr>
        <w:spacing w:after="0" w:line="3" w:lineRule="exact"/>
        <w:rPr>
          <w:sz w:val="24"/>
          <w:szCs w:val="24"/>
          <w:color w:val="auto"/>
        </w:rPr>
      </w:pPr>
    </w:p>
    <w:p>
      <w:pPr>
        <w:ind w:left="5080"/>
        <w:spacing w:after="0"/>
        <w:tabs>
          <w:tab w:leader="none" w:pos="5640" w:val="left"/>
          <w:tab w:leader="none" w:pos="6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466725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Please do not hesitate to call me at (215) 286-8514 with any questions you may have with respect to the foregoing.</w:t>
      </w:r>
    </w:p>
    <w:p>
      <w:pPr>
        <w:spacing w:after="0" w:line="2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25469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27"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color w:val="auto"/>
        </w:rPr>
        <w:t>Senior Vice President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80" w:right="6099" w:hanging="572"/>
        <w:spacing w:after="0" w:line="257"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L. Roberts, Principal Executive Officer Michael J. Angelakis, Principal Financial Officer Arthur R. Block, Senior Vice President</w:t>
      </w:r>
    </w:p>
    <w:p>
      <w:pPr>
        <w:spacing w:after="0" w:line="1" w:lineRule="exact"/>
        <w:rPr>
          <w:rFonts w:ascii="Times New Roman" w:cs="Times New Roman" w:eastAsia="Times New Roman" w:hAnsi="Times New Roman"/>
          <w:sz w:val="18"/>
          <w:szCs w:val="18"/>
          <w:color w:val="auto"/>
        </w:rPr>
      </w:pPr>
    </w:p>
    <w:p>
      <w:pPr>
        <w:ind w:left="580" w:right="36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Michael Cook, Director and Chairman of Comcast Corporation Audit Committee Bruce K. Dallas, Davis Polk &amp; Wardwell LLP</w:t>
      </w:r>
    </w:p>
    <w:p>
      <w:pPr>
        <w:jc w:val="both"/>
        <w:ind w:left="580" w:right="691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Michael Titta, Deloitte &amp;Touche LLP John Malvisi, Deloitte &amp;Touche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2019-12-09T10:38:52Z</dcterms:created>
  <dcterms:modified xsi:type="dcterms:W3CDTF">2019-12-09T10:38:52Z</dcterms:modified>
</cp:coreProperties>
</file>