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401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40138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Cavanagh Michael J</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COMCAST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CMCSA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02/18/2022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48"/>
        </w:trPr>
        <w:tc>
          <w:tcPr>
            <w:tcW w:w="220" w:type="dxa"/>
            <w:vAlign w:val="bottom"/>
          </w:tcPr>
          <w:p>
            <w:pPr>
              <w:spacing w:after="0"/>
              <w:rPr>
                <w:sz w:val="12"/>
                <w:szCs w:val="12"/>
                <w:color w:val="auto"/>
              </w:rPr>
            </w:pPr>
          </w:p>
        </w:tc>
        <w:tc>
          <w:tcPr>
            <w:tcW w:w="102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440" w:type="dxa"/>
            <w:vAlign w:val="bottom"/>
          </w:tcPr>
          <w:p>
            <w:pPr>
              <w:ind w:left="6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3"/>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02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440" w:type="dxa"/>
            <w:vAlign w:val="bottom"/>
          </w:tcPr>
          <w:p>
            <w:pPr>
              <w:ind w:left="68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02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440" w:type="dxa"/>
            <w:vAlign w:val="bottom"/>
            <w:vMerge w:val="restart"/>
          </w:tcPr>
          <w:p>
            <w:pPr>
              <w:ind w:left="6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6"/>
                <w:szCs w:val="16"/>
                <w:color w:val="0000FF"/>
              </w:rPr>
              <w:t>CFO</w:t>
            </w:r>
          </w:p>
        </w:tc>
        <w:tc>
          <w:tcPr>
            <w:tcW w:w="0" w:type="dxa"/>
            <w:vAlign w:val="bottom"/>
          </w:tcPr>
          <w:p>
            <w:pPr>
              <w:spacing w:after="0"/>
              <w:rPr>
                <w:sz w:val="1"/>
                <w:szCs w:val="1"/>
                <w:color w:val="auto"/>
              </w:rPr>
            </w:pPr>
          </w:p>
        </w:tc>
      </w:tr>
    </w:tbl>
    <w:p>
      <w:pPr>
        <w:spacing w:after="0" w:line="302" w:lineRule="exact"/>
        <w:rPr>
          <w:sz w:val="24"/>
          <w:szCs w:val="24"/>
          <w:color w:val="auto"/>
        </w:rPr>
      </w:pPr>
    </w:p>
    <w:p>
      <w:pPr>
        <w:sectPr>
          <w:pgSz w:w="11900" w:h="16838" w:orient="portrait"/>
          <w:cols w:equalWidth="0" w:num="3">
            <w:col w:w="3180" w:space="720"/>
            <w:col w:w="3104" w:space="720"/>
            <w:col w:w="3356"/>
          </w:cols>
          <w:pgMar w:left="460" w:top="219" w:right="359" w:bottom="1440"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7"/>
            <w:vMerge w:val="restart"/>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gridSpan w:val="3"/>
            <w:vMerge w:val="restart"/>
          </w:tcPr>
          <w:p>
            <w:pPr>
              <w:spacing w:after="0"/>
              <w:rPr>
                <w:sz w:val="20"/>
                <w:szCs w:val="20"/>
                <w:color w:val="auto"/>
              </w:rPr>
            </w:pPr>
            <w:r>
              <w:rPr>
                <w:rFonts w:ascii="Arial" w:cs="Arial" w:eastAsia="Arial" w:hAnsi="Arial"/>
                <w:sz w:val="16"/>
                <w:szCs w:val="16"/>
                <w:color w:val="0000FF"/>
              </w:rPr>
              <w:t>PHILADELPHIA PA</w:t>
            </w:r>
          </w:p>
        </w:tc>
        <w:tc>
          <w:tcPr>
            <w:tcW w:w="1080" w:type="dxa"/>
            <w:vAlign w:val="bottom"/>
            <w:vMerge w:val="restart"/>
          </w:tcPr>
          <w:p>
            <w:pPr>
              <w:ind w:left="140"/>
              <w:spacing w:after="0"/>
              <w:rPr>
                <w:sz w:val="20"/>
                <w:szCs w:val="20"/>
                <w:color w:val="auto"/>
              </w:rPr>
            </w:pPr>
            <w:r>
              <w:rPr>
                <w:rFonts w:ascii="Arial" w:cs="Arial" w:eastAsia="Arial" w:hAnsi="Arial"/>
                <w:sz w:val="16"/>
                <w:szCs w:val="16"/>
                <w:color w:val="0000FF"/>
              </w:rPr>
              <w:t>19103</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3440" w:type="dxa"/>
            <w:vAlign w:val="bottom"/>
            <w:gridSpan w:val="7"/>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ind w:left="40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8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7"/>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4"/>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0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jc w:val="right"/>
              <w:ind w:right="245"/>
              <w:spacing w:after="0"/>
              <w:rPr>
                <w:sz w:val="20"/>
                <w:szCs w:val="20"/>
                <w:color w:val="auto"/>
              </w:rPr>
            </w:pPr>
            <w:r>
              <w:rPr>
                <w:rFonts w:ascii="Arial" w:cs="Arial" w:eastAsia="Arial" w:hAnsi="Arial"/>
                <w:sz w:val="10"/>
                <w:szCs w:val="10"/>
                <w:color w:val="008000"/>
              </w:rPr>
              <w:t>(2)</w:t>
            </w:r>
          </w:p>
        </w:tc>
        <w:tc>
          <w:tcPr>
            <w:tcW w:w="5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225,432.92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0" w:type="dxa"/>
            <w:vAlign w:val="bottom"/>
            <w:vMerge w:val="restart"/>
          </w:tcPr>
          <w:p>
            <w:pPr>
              <w:jc w:val="right"/>
              <w:ind w:right="143"/>
              <w:spacing w:after="0" w:line="136" w:lineRule="exact"/>
              <w:rPr>
                <w:sz w:val="20"/>
                <w:szCs w:val="20"/>
                <w:color w:val="auto"/>
              </w:rPr>
            </w:pPr>
            <w:r>
              <w:rPr>
                <w:rFonts w:ascii="Arial" w:cs="Arial" w:eastAsia="Arial" w:hAnsi="Arial"/>
                <w:sz w:val="12"/>
                <w:szCs w:val="12"/>
                <w:color w:val="0000FF"/>
              </w:rPr>
              <w:t>02/18/2022</w:t>
            </w:r>
          </w:p>
        </w:tc>
        <w:tc>
          <w:tcPr>
            <w:tcW w:w="1080" w:type="dxa"/>
            <w:vAlign w:val="bottom"/>
          </w:tcPr>
          <w:p>
            <w:pPr>
              <w:spacing w:after="0"/>
              <w:rPr>
                <w:sz w:val="5"/>
                <w:szCs w:val="5"/>
                <w:color w:val="auto"/>
              </w:rPr>
            </w:pPr>
          </w:p>
        </w:tc>
        <w:tc>
          <w:tcPr>
            <w:tcW w:w="820" w:type="dxa"/>
            <w:vAlign w:val="bottom"/>
            <w:gridSpan w:val="3"/>
            <w:vMerge w:val="restart"/>
          </w:tcPr>
          <w:p>
            <w:pPr>
              <w:ind w:left="180"/>
              <w:spacing w:after="0" w:line="136" w:lineRule="exact"/>
              <w:rPr>
                <w:sz w:val="20"/>
                <w:szCs w:val="20"/>
                <w:color w:val="auto"/>
              </w:rPr>
            </w:pPr>
            <w:r>
              <w:rPr>
                <w:rFonts w:ascii="Arial" w:cs="Arial" w:eastAsia="Arial" w:hAnsi="Arial"/>
                <w:sz w:val="12"/>
                <w:szCs w:val="12"/>
                <w:color w:val="0000FF"/>
              </w:rPr>
              <w:t>I</w:t>
            </w:r>
          </w:p>
        </w:tc>
        <w:tc>
          <w:tcPr>
            <w:tcW w:w="68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225,432.92</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ind w:left="40"/>
              <w:spacing w:after="0" w:line="136" w:lineRule="exact"/>
              <w:rPr>
                <w:sz w:val="20"/>
                <w:szCs w:val="20"/>
                <w:color w:val="auto"/>
              </w:rPr>
            </w:pPr>
            <w:r>
              <w:rPr>
                <w:rFonts w:ascii="Arial" w:cs="Arial" w:eastAsia="Arial" w:hAnsi="Arial"/>
                <w:sz w:val="12"/>
                <w:szCs w:val="12"/>
                <w:color w:val="0000FF"/>
              </w:rPr>
              <w:t>Common</w:t>
            </w:r>
          </w:p>
        </w:tc>
        <w:tc>
          <w:tcPr>
            <w:tcW w:w="8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46.64</w:t>
            </w:r>
          </w:p>
        </w:tc>
        <w:tc>
          <w:tcPr>
            <w:tcW w:w="880" w:type="dxa"/>
            <w:vAlign w:val="bottom"/>
            <w:gridSpan w:val="2"/>
            <w:vMerge w:val="restart"/>
          </w:tcPr>
          <w:p>
            <w:pPr>
              <w:ind w:left="120"/>
              <w:spacing w:after="0" w:line="136" w:lineRule="exact"/>
              <w:rPr>
                <w:sz w:val="20"/>
                <w:szCs w:val="20"/>
                <w:color w:val="auto"/>
              </w:rPr>
            </w:pPr>
            <w:r>
              <w:rPr>
                <w:rFonts w:ascii="Arial" w:cs="Arial" w:eastAsia="Arial" w:hAnsi="Arial"/>
                <w:sz w:val="12"/>
                <w:szCs w:val="12"/>
                <w:color w:val="0000FF"/>
              </w:rPr>
              <w:t>426,160.992</w:t>
            </w:r>
          </w:p>
        </w:tc>
        <w:tc>
          <w:tcPr>
            <w:tcW w:w="6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500" w:hanging="4"/>
        <w:spacing w:after="0" w:line="267"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phantom stock represents the economic equivalent to one share of Class A common stock. Phantom shares have been deferred under our deferred compensation plans, will settle in cash and may be transferred into alternative investments under the terms of our deferred compensation plans.</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has elected to notionally reinvest previously deferred compensation into another deferred compensation plan investment.</w:t>
      </w:r>
    </w:p>
    <w:p>
      <w:pPr>
        <w:ind w:left="6600"/>
        <w:spacing w:after="0" w:line="184" w:lineRule="auto"/>
        <w:rPr>
          <w:sz w:val="20"/>
          <w:szCs w:val="20"/>
          <w:color w:val="auto"/>
        </w:rPr>
      </w:pPr>
      <w:r>
        <w:rPr>
          <w:rFonts w:ascii="Arial" w:cs="Arial" w:eastAsia="Arial" w:hAnsi="Arial"/>
          <w:sz w:val="16"/>
          <w:szCs w:val="16"/>
          <w:color w:val="0000FF"/>
        </w:rPr>
        <w:t xml:space="preserve">Elizabeth Wideman, Attorney-in- </w:t>
      </w:r>
      <w:r>
        <w:rPr>
          <w:rFonts w:ascii="Arial" w:cs="Arial" w:eastAsia="Arial" w:hAnsi="Arial"/>
          <w:sz w:val="32"/>
          <w:szCs w:val="32"/>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620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04481"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2022-02-23T15:31:47Z</dcterms:created>
  <dcterms:modified xsi:type="dcterms:W3CDTF">2022-02-23T15:31:47Z</dcterms:modified>
</cp:coreProperties>
</file>