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40"/>
        <w:spacing w:after="0"/>
        <w:rPr>
          <w:sz w:val="20"/>
          <w:szCs w:val="20"/>
          <w:color w:val="auto"/>
        </w:rPr>
      </w:pPr>
      <w:r>
        <w:rPr>
          <w:rFonts w:ascii="Arial" w:cs="Arial" w:eastAsia="Arial" w:hAnsi="Arial"/>
          <w:sz w:val="16"/>
          <w:szCs w:val="16"/>
          <w:b w:val="1"/>
          <w:bCs w:val="1"/>
          <w:color w:val="auto"/>
        </w:rPr>
        <w:t>Filed Pursuant to Rule 424(b)(2)</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Registration No. 333-212719</w:t>
            </w:r>
          </w:p>
        </w:tc>
      </w:tr>
      <w:tr>
        <w:trPr>
          <w:trHeight w:val="366"/>
        </w:trPr>
        <w:tc>
          <w:tcPr>
            <w:tcW w:w="20" w:type="dxa"/>
            <w:vAlign w:val="bottom"/>
          </w:tcPr>
          <w:p>
            <w:pPr>
              <w:spacing w:after="0"/>
              <w:rPr>
                <w:sz w:val="24"/>
                <w:szCs w:val="24"/>
                <w:color w:val="auto"/>
              </w:rPr>
            </w:pPr>
          </w:p>
        </w:tc>
        <w:tc>
          <w:tcPr>
            <w:tcW w:w="7440" w:type="dxa"/>
            <w:vAlign w:val="bottom"/>
          </w:tcPr>
          <w:p>
            <w:pPr>
              <w:ind w:left="4000"/>
              <w:spacing w:after="0"/>
              <w:rPr>
                <w:sz w:val="20"/>
                <w:szCs w:val="20"/>
                <w:color w:val="auto"/>
              </w:rPr>
            </w:pPr>
            <w:r>
              <w:rPr>
                <w:rFonts w:ascii="Arial" w:cs="Arial" w:eastAsia="Arial" w:hAnsi="Arial"/>
                <w:sz w:val="18"/>
                <w:szCs w:val="18"/>
                <w:b w:val="1"/>
                <w:bCs w:val="1"/>
                <w:color w:val="auto"/>
                <w:w w:val="99"/>
              </w:rPr>
              <w:t>CALCULATION OF REGISTRATION FEE</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74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Title of Each Class of</w:t>
            </w:r>
          </w:p>
        </w:tc>
        <w:tc>
          <w:tcPr>
            <w:tcW w:w="1820" w:type="dxa"/>
            <w:vAlign w:val="bottom"/>
          </w:tcPr>
          <w:p>
            <w:pPr>
              <w:jc w:val="center"/>
              <w:ind w:left="228"/>
              <w:spacing w:after="0" w:line="116" w:lineRule="exact"/>
              <w:rPr>
                <w:sz w:val="20"/>
                <w:szCs w:val="20"/>
                <w:color w:val="auto"/>
              </w:rPr>
            </w:pPr>
            <w:r>
              <w:rPr>
                <w:rFonts w:ascii="Arial" w:cs="Arial" w:eastAsia="Arial" w:hAnsi="Arial"/>
                <w:sz w:val="12"/>
                <w:szCs w:val="12"/>
                <w:b w:val="1"/>
                <w:bCs w:val="1"/>
                <w:color w:val="auto"/>
              </w:rPr>
              <w:t>Proposed Maximum</w:t>
            </w:r>
          </w:p>
        </w:tc>
        <w:tc>
          <w:tcPr>
            <w:tcW w:w="220" w:type="dxa"/>
            <w:vAlign w:val="bottom"/>
            <w:tcBorders>
              <w:right w:val="single" w:sz="8" w:color="auto"/>
            </w:tcBorders>
          </w:tcPr>
          <w:p>
            <w:pPr>
              <w:spacing w:after="0"/>
              <w:rPr>
                <w:sz w:val="10"/>
                <w:szCs w:val="10"/>
                <w:color w:val="auto"/>
              </w:rPr>
            </w:pPr>
          </w:p>
        </w:tc>
        <w:tc>
          <w:tcPr>
            <w:tcW w:w="1920" w:type="dxa"/>
            <w:vAlign w:val="bottom"/>
          </w:tcPr>
          <w:p>
            <w:pPr>
              <w:jc w:val="center"/>
              <w:ind w:left="9"/>
              <w:spacing w:after="0" w:line="116" w:lineRule="exact"/>
              <w:rPr>
                <w:sz w:val="20"/>
                <w:szCs w:val="20"/>
                <w:color w:val="auto"/>
              </w:rPr>
            </w:pPr>
            <w:r>
              <w:rPr>
                <w:rFonts w:ascii="Arial" w:cs="Arial" w:eastAsia="Arial" w:hAnsi="Arial"/>
                <w:sz w:val="12"/>
                <w:szCs w:val="12"/>
                <w:b w:val="1"/>
                <w:bCs w:val="1"/>
                <w:color w:val="auto"/>
              </w:rPr>
              <w:t>Amount of Registration</w:t>
            </w:r>
          </w:p>
        </w:tc>
      </w:tr>
      <w:tr>
        <w:trPr>
          <w:trHeight w:val="176"/>
        </w:trPr>
        <w:tc>
          <w:tcPr>
            <w:tcW w:w="20" w:type="dxa"/>
            <w:vAlign w:val="bottom"/>
          </w:tcPr>
          <w:p>
            <w:pPr>
              <w:spacing w:after="0"/>
              <w:rPr>
                <w:sz w:val="15"/>
                <w:szCs w:val="15"/>
                <w:color w:val="auto"/>
              </w:rPr>
            </w:pPr>
          </w:p>
        </w:tc>
        <w:tc>
          <w:tcPr>
            <w:tcW w:w="7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82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6"/>
              </w:rPr>
              <w:t>Aggregate Offering Price</w:t>
            </w:r>
          </w:p>
        </w:tc>
        <w:tc>
          <w:tcPr>
            <w:tcW w:w="22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tcBorders>
          </w:tcPr>
          <w:p>
            <w:pPr>
              <w:jc w:val="center"/>
              <w:ind w:left="29"/>
              <w:spacing w:after="0" w:line="176" w:lineRule="exact"/>
              <w:rPr>
                <w:sz w:val="20"/>
                <w:szCs w:val="20"/>
                <w:color w:val="auto"/>
              </w:rPr>
            </w:pPr>
            <w:r>
              <w:rPr>
                <w:rFonts w:ascii="Arial" w:cs="Arial" w:eastAsia="Arial" w:hAnsi="Arial"/>
                <w:sz w:val="13"/>
                <w:szCs w:val="13"/>
                <w:b w:val="1"/>
                <w:bCs w:val="1"/>
                <w:color w:val="auto"/>
                <w:w w:val="87"/>
              </w:rPr>
              <w:t>Fee</w:t>
            </w:r>
            <w:r>
              <w:rPr>
                <w:rFonts w:ascii="Arial" w:cs="Arial" w:eastAsia="Arial" w:hAnsi="Arial"/>
                <w:sz w:val="20"/>
                <w:szCs w:val="20"/>
                <w:b w:val="1"/>
                <w:bCs w:val="1"/>
                <w:color w:val="auto"/>
                <w:w w:val="87"/>
                <w:vertAlign w:val="superscript"/>
              </w:rPr>
              <w:t>(1)</w:t>
            </w:r>
          </w:p>
        </w:tc>
      </w:tr>
      <w:tr>
        <w:trPr>
          <w:trHeight w:val="210"/>
        </w:trPr>
        <w:tc>
          <w:tcPr>
            <w:tcW w:w="20" w:type="dxa"/>
            <w:vAlign w:val="bottom"/>
            <w:tcBorders>
              <w:bottom w:val="single" w:sz="8" w:color="auto"/>
            </w:tcBorders>
          </w:tcPr>
          <w:p>
            <w:pPr>
              <w:spacing w:after="0"/>
              <w:rPr>
                <w:sz w:val="18"/>
                <w:szCs w:val="18"/>
                <w:color w:val="auto"/>
              </w:rPr>
            </w:pPr>
          </w:p>
        </w:tc>
        <w:tc>
          <w:tcPr>
            <w:tcW w:w="7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4.450% Notes due 2047</w:t>
            </w:r>
          </w:p>
        </w:tc>
        <w:tc>
          <w:tcPr>
            <w:tcW w:w="1820" w:type="dxa"/>
            <w:vAlign w:val="bottom"/>
            <w:tcBorders>
              <w:bottom w:val="single" w:sz="8" w:color="auto"/>
            </w:tcBorders>
          </w:tcPr>
          <w:p>
            <w:pPr>
              <w:jc w:val="center"/>
              <w:ind w:left="248"/>
              <w:spacing w:after="0"/>
              <w:rPr>
                <w:sz w:val="20"/>
                <w:szCs w:val="20"/>
                <w:color w:val="auto"/>
              </w:rPr>
            </w:pPr>
            <w:r>
              <w:rPr>
                <w:rFonts w:ascii="Arial" w:cs="Arial" w:eastAsia="Arial" w:hAnsi="Arial"/>
                <w:sz w:val="18"/>
                <w:szCs w:val="18"/>
                <w:color w:val="auto"/>
                <w:w w:val="87"/>
              </w:rPr>
              <w:t>$1,005,000,000</w:t>
            </w:r>
          </w:p>
        </w:tc>
        <w:tc>
          <w:tcPr>
            <w:tcW w:w="2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tcPr>
          <w:p>
            <w:pPr>
              <w:jc w:val="center"/>
              <w:ind w:left="29"/>
              <w:spacing w:after="0"/>
              <w:rPr>
                <w:sz w:val="20"/>
                <w:szCs w:val="20"/>
                <w:color w:val="auto"/>
              </w:rPr>
            </w:pPr>
            <w:r>
              <w:rPr>
                <w:rFonts w:ascii="Arial" w:cs="Arial" w:eastAsia="Arial" w:hAnsi="Arial"/>
                <w:sz w:val="18"/>
                <w:szCs w:val="18"/>
                <w:color w:val="auto"/>
                <w:w w:val="85"/>
              </w:rPr>
              <w:t>$116,479.50</w:t>
            </w:r>
          </w:p>
        </w:tc>
      </w:tr>
      <w:tr>
        <w:trPr>
          <w:trHeight w:val="20"/>
        </w:trPr>
        <w:tc>
          <w:tcPr>
            <w:tcW w:w="20" w:type="dxa"/>
            <w:vAlign w:val="bottom"/>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89"/>
        </w:trPr>
        <w:tc>
          <w:tcPr>
            <w:tcW w:w="7460" w:type="dxa"/>
            <w:vAlign w:val="bottom"/>
            <w:gridSpan w:val="2"/>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SUPPLEMENT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(To prospectus dated July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53975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$1,005,000,000 4.450% Notes due 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0"/>
          <w:szCs w:val="20"/>
          <w:color w:val="auto"/>
        </w:rPr>
      </w:pPr>
    </w:p>
    <w:p>
      <w:pPr>
        <w:ind w:right="220" w:firstLine="342"/>
        <w:spacing w:after="0" w:line="255" w:lineRule="auto"/>
        <w:rPr>
          <w:sz w:val="20"/>
          <w:szCs w:val="20"/>
          <w:color w:val="auto"/>
        </w:rPr>
      </w:pPr>
      <w:r>
        <w:rPr>
          <w:rFonts w:ascii="Arial" w:cs="Arial" w:eastAsia="Arial" w:hAnsi="Arial"/>
          <w:sz w:val="15"/>
          <w:szCs w:val="15"/>
          <w:color w:val="auto"/>
        </w:rPr>
        <w:t>We are offering U.S. $1,005,000,000 of 4.450% Notes due 2047 (the “notes”). The notes will bear interest at a rate of 4.450% per year and will mature on March 15, 2047 unless earlier redeemed. We will pay interest on the notes on March 15 and September 15 of each year, beginning on September 15, 2017.</w:t>
      </w:r>
    </w:p>
    <w:p>
      <w:pPr>
        <w:spacing w:after="0" w:line="39" w:lineRule="exact"/>
        <w:rPr>
          <w:sz w:val="20"/>
          <w:szCs w:val="20"/>
          <w:color w:val="auto"/>
        </w:rPr>
      </w:pPr>
    </w:p>
    <w:p>
      <w:pPr>
        <w:ind w:right="100" w:firstLine="342"/>
        <w:spacing w:after="0" w:line="236" w:lineRule="auto"/>
        <w:rPr>
          <w:sz w:val="20"/>
          <w:szCs w:val="20"/>
          <w:color w:val="auto"/>
        </w:rPr>
      </w:pPr>
      <w:r>
        <w:rPr>
          <w:rFonts w:ascii="Arial" w:cs="Arial" w:eastAsia="Arial" w:hAnsi="Arial"/>
          <w:sz w:val="15"/>
          <w:szCs w:val="15"/>
          <w:color w:val="auto"/>
        </w:rPr>
        <w:t>We may redeem the notes, in whole but not in part, on each March 15 on or after March 15, 2020 at a redemption price equal to 100% of the principal amount of the notes being redeemed plus accrued and unpaid interest to, but not including, the redemption date. See “Description of Notes—Optional Redemption” on page S-10 of this prospectus supplement. In addition, we may redeem the notes, in whole but not in part, at any time at our option, in the event of certain developments affecting United States taxation. See “Description of Notes— Redemption for Tax Reasons.”</w:t>
      </w:r>
    </w:p>
    <w:p>
      <w:pPr>
        <w:spacing w:after="0" w:line="64" w:lineRule="exact"/>
        <w:rPr>
          <w:sz w:val="20"/>
          <w:szCs w:val="20"/>
          <w:color w:val="auto"/>
        </w:rPr>
      </w:pPr>
    </w:p>
    <w:p>
      <w:pPr>
        <w:ind w:right="440" w:firstLine="342"/>
        <w:spacing w:after="0" w:line="255" w:lineRule="auto"/>
        <w:rPr>
          <w:sz w:val="20"/>
          <w:szCs w:val="20"/>
          <w:color w:val="auto"/>
        </w:rPr>
      </w:pPr>
      <w:r>
        <w:rPr>
          <w:rFonts w:ascii="Arial" w:cs="Arial" w:eastAsia="Arial" w:hAnsi="Arial"/>
          <w:sz w:val="15"/>
          <w:szCs w:val="15"/>
          <w:color w:val="auto"/>
        </w:rPr>
        <w:t>The notes will be unsecured and will rank equally with all of our and the guarantors’ unsecured and unsubordinated indebtedness. The notes will be fully and unconditionally guaranteed by our wholly-owned subsidiaries named in this prospectus supplement and in the accompanying prospectus.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There is no sinking fund for the notes. The notes will be issued in minimum denominations of U.S. $100,000 and multiples of U.S.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130175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0"/>
          <w:szCs w:val="20"/>
          <w:color w:val="auto"/>
        </w:rPr>
      </w:pPr>
    </w:p>
    <w:p>
      <w:pPr>
        <w:jc w:val="both"/>
        <w:ind w:right="300" w:firstLine="456"/>
        <w:spacing w:after="0" w:line="266" w:lineRule="auto"/>
        <w:rPr>
          <w:sz w:val="20"/>
          <w:szCs w:val="20"/>
          <w:color w:val="auto"/>
        </w:rPr>
      </w:pPr>
      <w:r>
        <w:rPr>
          <w:rFonts w:ascii="Arial" w:cs="Arial" w:eastAsia="Arial" w:hAnsi="Arial"/>
          <w:sz w:val="18"/>
          <w:szCs w:val="18"/>
          <w:b w:val="1"/>
          <w:bCs w:val="1"/>
          <w:color w:val="auto"/>
        </w:rPr>
        <w:t>Investing in these securities involves certain risks. See “Risk Factors” beginning on page S-6 of this prospectus supplement and “Item 1A— Risk Factors” beginning on page 25 of Comcast Corporation’s (“Comcast”) Annual Report on Form 10-K for the year ended December 31, 2016, which is incorporated by reference herein.</w:t>
      </w:r>
    </w:p>
    <w:p>
      <w:pPr>
        <w:spacing w:after="0" w:line="46" w:lineRule="exact"/>
        <w:rPr>
          <w:sz w:val="20"/>
          <w:szCs w:val="20"/>
          <w:color w:val="auto"/>
        </w:rPr>
      </w:pPr>
    </w:p>
    <w:p>
      <w:pPr>
        <w:ind w:firstLine="342"/>
        <w:spacing w:after="0" w:line="251" w:lineRule="auto"/>
        <w:rPr>
          <w:sz w:val="20"/>
          <w:szCs w:val="20"/>
          <w:color w:val="auto"/>
        </w:rPr>
      </w:pPr>
      <w:r>
        <w:rPr>
          <w:rFonts w:ascii="Arial" w:cs="Arial" w:eastAsia="Arial" w:hAnsi="Arial"/>
          <w:sz w:val="14"/>
          <w:szCs w:val="14"/>
          <w:color w:val="auto"/>
        </w:rPr>
        <w:t>Application will be made to the Taipei Exchange (the “TPEx”) for the listing of, and permission to deal in, the notes by way of debt issues only to “professional institutional investors” as defined under Paragraph 2 of Article 4 of the Financial Consumer Protection Act of the Republic of China (the “ROC”), and such permission is expected to become effective on or about March 14, 2017. The TPEx is not responsible for the content of this prospectus supplement or the accompanying prospectus, and no representation is made by the TPEx as to the accuracy or completeness of this prospectus supplement or the accompanying prospectus. The TPEx expressly disclaims any and all liability for any losses arising from, or as a result of the reliance on, all or part of the contents of this prospectus supplement or the accompanying prospectus. Admission to the listing and trading of the notes on the TPEx shall not be taken as an indication of the merits of us or the notes. No assurance can be given that such application will be approved, or that the TPEx listing will be maintained.</w:t>
      </w:r>
    </w:p>
    <w:p>
      <w:pPr>
        <w:spacing w:after="0" w:line="57" w:lineRule="exact"/>
        <w:rPr>
          <w:sz w:val="20"/>
          <w:szCs w:val="20"/>
          <w:color w:val="auto"/>
        </w:rPr>
      </w:pPr>
    </w:p>
    <w:p>
      <w:pPr>
        <w:ind w:right="40" w:firstLine="342"/>
        <w:spacing w:after="0" w:line="249" w:lineRule="auto"/>
        <w:rPr>
          <w:sz w:val="20"/>
          <w:szCs w:val="20"/>
          <w:color w:val="auto"/>
        </w:rPr>
      </w:pPr>
      <w:r>
        <w:rPr>
          <w:rFonts w:ascii="Arial" w:cs="Arial" w:eastAsia="Arial" w:hAnsi="Arial"/>
          <w:sz w:val="14"/>
          <w:szCs w:val="14"/>
          <w:color w:val="auto"/>
        </w:rPr>
        <w:t>The notes have not been, and shall not be, offered, sold or re-sold, directly or indirectly, to investors other than “professional institutional investors” as defined under Paragraph 2 of Article 4 of the Financial Consumer Protection Act of the ROC, which currently include: overseas or domestic (i) banks, securities firms, futures firms and insurance companies (excluding insurance agencies, insurance brokers and insurance surveyors), the foregoing as further defined in more details in Paragraph 3 of Article 2 of the Organization Act of the Financial Supervisory Commission of the ROC, (ii) fund management companies, government investment institutions, government funds, pension funds, mutual funds, unit trusts, and funds managed by financial service enterprises pursuant to the ROC Securities Investment Trust and Consulting Act, the ROC Future Trading Act or the ROC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3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7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Price to Investors</w:t>
            </w:r>
          </w:p>
        </w:tc>
        <w:tc>
          <w:tcPr>
            <w:tcW w:w="17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Underwriting</w:t>
            </w:r>
          </w:p>
        </w:tc>
        <w:tc>
          <w:tcPr>
            <w:tcW w:w="38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Proceeds to Us</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7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Commission</w:t>
            </w:r>
          </w:p>
        </w:tc>
        <w:tc>
          <w:tcPr>
            <w:tcW w:w="1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Before Expenses</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Per note due 2047</w:t>
            </w:r>
            <w:r>
              <w:rPr>
                <w:rFonts w:ascii="Arial" w:cs="Arial" w:eastAsia="Arial" w:hAnsi="Arial"/>
                <w:sz w:val="13"/>
                <w:szCs w:val="13"/>
                <w:color w:val="auto"/>
              </w:rPr>
              <w:t>(1)</w:t>
            </w:r>
          </w:p>
        </w:tc>
        <w:tc>
          <w:tcPr>
            <w:tcW w:w="122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vMerge w:val="continue"/>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156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5"/>
                <w:szCs w:val="15"/>
                <w:color w:val="auto"/>
              </w:rPr>
              <w:t>100.000%</w:t>
            </w:r>
          </w:p>
        </w:tc>
        <w:tc>
          <w:tcPr>
            <w:tcW w:w="360" w:type="dxa"/>
            <w:vAlign w:val="bottom"/>
            <w:vMerge w:val="continue"/>
            <w:shd w:val="clear" w:color="auto" w:fill="CCEEFF"/>
          </w:tcPr>
          <w:p>
            <w:pPr>
              <w:spacing w:after="0"/>
              <w:rPr>
                <w:sz w:val="13"/>
                <w:szCs w:val="13"/>
                <w:color w:val="auto"/>
              </w:rPr>
            </w:pPr>
          </w:p>
        </w:tc>
        <w:tc>
          <w:tcPr>
            <w:tcW w:w="134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5"/>
                <w:szCs w:val="15"/>
                <w:color w:val="auto"/>
              </w:rPr>
              <w:t>0.100%</w:t>
            </w:r>
          </w:p>
        </w:tc>
        <w:tc>
          <w:tcPr>
            <w:tcW w:w="380" w:type="dxa"/>
            <w:vAlign w:val="bottom"/>
            <w:vMerge w:val="continue"/>
            <w:shd w:val="clear" w:color="auto" w:fill="CCEEFF"/>
          </w:tcPr>
          <w:p>
            <w:pPr>
              <w:spacing w:after="0"/>
              <w:rPr>
                <w:sz w:val="13"/>
                <w:szCs w:val="13"/>
                <w:color w:val="auto"/>
              </w:rPr>
            </w:pPr>
          </w:p>
        </w:tc>
        <w:tc>
          <w:tcPr>
            <w:tcW w:w="13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99.900%</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20"/>
                <w:szCs w:val="20"/>
                <w:color w:val="auto"/>
              </w:rPr>
            </w:pPr>
            <w:r>
              <w:rPr>
                <w:rFonts w:ascii="Arial" w:cs="Arial" w:eastAsia="Arial" w:hAnsi="Arial"/>
                <w:sz w:val="15"/>
                <w:szCs w:val="15"/>
                <w:color w:val="auto"/>
              </w:rPr>
              <w:t>Total</w:t>
            </w:r>
          </w:p>
        </w:tc>
        <w:tc>
          <w:tcPr>
            <w:tcW w:w="2300" w:type="dxa"/>
            <w:vAlign w:val="bottom"/>
            <w:gridSpan w:val="2"/>
          </w:tcPr>
          <w:p>
            <w:pPr>
              <w:jc w:val="right"/>
              <w:spacing w:after="0"/>
              <w:rPr>
                <w:sz w:val="20"/>
                <w:szCs w:val="20"/>
                <w:color w:val="auto"/>
              </w:rPr>
            </w:pPr>
            <w:r>
              <w:rPr>
                <w:rFonts w:ascii="Arial" w:cs="Arial" w:eastAsia="Arial" w:hAnsi="Arial"/>
                <w:sz w:val="15"/>
                <w:szCs w:val="15"/>
                <w:color w:val="auto"/>
              </w:rPr>
              <w:t>$  1,005,000,000</w:t>
            </w:r>
          </w:p>
        </w:tc>
        <w:tc>
          <w:tcPr>
            <w:tcW w:w="4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  1,005,000</w:t>
            </w:r>
          </w:p>
        </w:tc>
        <w:tc>
          <w:tcPr>
            <w:tcW w:w="4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   1,003,995,000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Plus accrued interest, if any, from March 14, 2017, if settlement occurs after that date.</w:t>
      </w:r>
    </w:p>
    <w:p>
      <w:pPr>
        <w:spacing w:after="0" w:line="1" w:lineRule="exact"/>
        <w:rPr>
          <w:rFonts w:ascii="Arial" w:cs="Arial" w:eastAsia="Arial" w:hAnsi="Arial"/>
          <w:sz w:val="15"/>
          <w:szCs w:val="15"/>
          <w:color w:val="auto"/>
        </w:rPr>
      </w:pPr>
    </w:p>
    <w:p>
      <w:pPr>
        <w:ind w:left="340" w:right="60" w:hanging="332"/>
        <w:spacing w:after="0" w:line="231"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net proceeds to us reflect the initial price to investors set forth above as reduced by (a) the underwriting commission set forth above and (b) an aggregate fee of $6,532,500 that we will pay to Morgan Stanley &amp; Co. LLC, Barclays Capital Inc., Mizuho Securities USA Inc. and MUFG Securities Americas Inc. (each a “structuring agent” and, together, the “structuring agents”) in connection with structuring services that they provided in connection with the notes. Morgan Stanley &amp; Co. LLC has agreed to reimburse us for certain of our expenses. Each structuring agent is an entity not licensed in the ROC, has not offered or sold, and will not subscribe for or sell or underwrite, any notes offered hereby. See “Selling.”</w:t>
      </w:r>
    </w:p>
    <w:p>
      <w:pPr>
        <w:spacing w:after="0" w:line="45" w:lineRule="exact"/>
        <w:rPr>
          <w:sz w:val="20"/>
          <w:szCs w:val="20"/>
          <w:color w:val="auto"/>
        </w:rPr>
      </w:pPr>
    </w:p>
    <w:p>
      <w:pPr>
        <w:ind w:right="260" w:firstLine="342"/>
        <w:spacing w:after="0" w:line="261"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48" w:lineRule="exact"/>
        <w:rPr>
          <w:sz w:val="20"/>
          <w:szCs w:val="20"/>
          <w:color w:val="auto"/>
        </w:rPr>
      </w:pPr>
    </w:p>
    <w:p>
      <w:pPr>
        <w:ind w:right="460" w:firstLine="342"/>
        <w:spacing w:after="0"/>
        <w:rPr>
          <w:sz w:val="20"/>
          <w:szCs w:val="20"/>
          <w:color w:val="auto"/>
        </w:rPr>
      </w:pPr>
      <w:r>
        <w:rPr>
          <w:rFonts w:ascii="Arial" w:cs="Arial" w:eastAsia="Arial" w:hAnsi="Arial"/>
          <w:sz w:val="15"/>
          <w:szCs w:val="15"/>
          <w:color w:val="auto"/>
        </w:rPr>
        <w:t xml:space="preserve">The managers expect to deliver the notes to investors in book-entry delivery only form through the facilities of Clearstream Banking, </w:t>
      </w:r>
      <w:r>
        <w:rPr>
          <w:rFonts w:ascii="Arial" w:cs="Arial" w:eastAsia="Arial" w:hAnsi="Arial"/>
          <w:sz w:val="15"/>
          <w:szCs w:val="15"/>
          <w:i w:val="1"/>
          <w:iCs w:val="1"/>
          <w:color w:val="auto"/>
        </w:rPr>
        <w:t>société anonyme</w:t>
      </w:r>
      <w:r>
        <w:rPr>
          <w:rFonts w:ascii="Arial" w:cs="Arial" w:eastAsia="Arial" w:hAnsi="Arial"/>
          <w:sz w:val="15"/>
          <w:szCs w:val="15"/>
          <w:color w:val="auto"/>
        </w:rPr>
        <w:t xml:space="preserve"> (“Clearstream”) and Euroclear Bank S.A./N.V. as operator of the Euroclear System (“Euroclear”), on or about March 14, 2017, which is the sixteenth business day following the date of this prospectus supplement. See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Joint Book-Running Managers</w:t>
      </w:r>
    </w:p>
    <w:p>
      <w:pPr>
        <w:sectPr>
          <w:pgSz w:w="11900" w:h="16838" w:orient="portrait"/>
          <w:cols w:equalWidth="0" w:num="1">
            <w:col w:w="11420"/>
          </w:cols>
          <w:pgMar w:left="240" w:top="271" w:right="23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Deutsche Bank AG, Taipei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168275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Citibank Taiwan Limited</w:t>
      </w:r>
    </w:p>
    <w:p>
      <w:pPr>
        <w:spacing w:after="0" w:line="200" w:lineRule="exact"/>
        <w:rPr>
          <w:sz w:val="20"/>
          <w:szCs w:val="20"/>
          <w:color w:val="auto"/>
        </w:rPr>
      </w:pPr>
    </w:p>
    <w:p>
      <w:pPr>
        <w:sectPr>
          <w:pgSz w:w="11900" w:h="16838" w:orient="portrait"/>
          <w:cols w:equalWidth="0" w:num="2">
            <w:col w:w="7780" w:space="720"/>
            <w:col w:w="2920"/>
          </w:cols>
          <w:pgMar w:left="240" w:top="271" w:right="239" w:bottom="1440" w:gutter="0" w:footer="0" w:header="0"/>
          <w:type w:val="continuous"/>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date of this prospectus supplement is February 15, 2017.</w:t>
      </w:r>
    </w:p>
    <w:p>
      <w:pPr>
        <w:sectPr>
          <w:pgSz w:w="11900" w:h="16838" w:orient="portrait"/>
          <w:cols w:equalWidth="0" w:num="1">
            <w:col w:w="11420"/>
          </w:cols>
          <w:pgMar w:left="240" w:top="27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87"/>
              </w:rPr>
              <w:t>Prospectus Supplement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80" w:type="dxa"/>
            <w:vAlign w:val="bottom"/>
            <w:gridSpan w:val="15"/>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Where You Can Find More Information</w:t>
              </w:r>
            </w:hyperlink>
          </w:p>
        </w:tc>
        <w:tc>
          <w:tcPr>
            <w:tcW w:w="8060" w:type="dxa"/>
            <w:vAlign w:val="bottom"/>
            <w:gridSpan w:val="8"/>
            <w:vMerge w:val="restart"/>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0000EE"/>
            </w:tcBorders>
            <w:gridSpan w:val="15"/>
            <w:vMerge w:val="continue"/>
          </w:tcPr>
          <w:p>
            <w:pPr>
              <w:spacing w:after="0"/>
              <w:rPr>
                <w:sz w:val="13"/>
                <w:szCs w:val="13"/>
                <w:color w:val="auto"/>
              </w:rPr>
            </w:pPr>
          </w:p>
        </w:tc>
        <w:tc>
          <w:tcPr>
            <w:tcW w:w="8060" w:type="dxa"/>
            <w:vAlign w:val="bottom"/>
            <w:gridSpan w:val="8"/>
            <w:vMerge w:val="continue"/>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Information Incorporated by Reference</w:t>
              </w:r>
            </w:hyperlink>
          </w:p>
        </w:tc>
        <w:tc>
          <w:tcPr>
            <w:tcW w:w="8100" w:type="dxa"/>
            <w:vAlign w:val="bottom"/>
            <w:gridSpan w:val="9"/>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8500" w:type="dxa"/>
            <w:vAlign w:val="bottom"/>
            <w:gridSpan w:val="1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10020" w:type="dxa"/>
            <w:vAlign w:val="bottom"/>
            <w:gridSpan w:val="1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9760" w:type="dxa"/>
            <w:vAlign w:val="bottom"/>
            <w:gridSpan w:val="1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Ratios of Earnings to Fixed Charges and of Earnings to Combined Fixed Charges and Preferred</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Dividends</w:t>
              </w:r>
            </w:hyperlink>
          </w:p>
        </w:tc>
        <w:tc>
          <w:tcPr>
            <w:tcW w:w="406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Notes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Material U.S. Federal Income Tax Consequences for Non-U.S. Holders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96"/>
        </w:trPr>
        <w:tc>
          <w:tcPr>
            <w:tcW w:w="1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ROC Taxation</w:t>
              </w:r>
            </w:hyperlink>
          </w:p>
        </w:tc>
        <w:tc>
          <w:tcPr>
            <w:tcW w:w="4080" w:type="dxa"/>
            <w:vAlign w:val="bottom"/>
            <w:tcBorders>
              <w:top w:val="single" w:sz="8" w:color="0000EE"/>
            </w:tcBorders>
            <w:gridSpan w:val="13"/>
          </w:tcPr>
          <w:p>
            <w:pPr>
              <w:spacing w:after="0"/>
              <w:rPr>
                <w:sz w:val="17"/>
                <w:szCs w:val="17"/>
                <w:color w:val="auto"/>
              </w:rPr>
            </w:pPr>
          </w:p>
        </w:tc>
        <w:tc>
          <w:tcPr>
            <w:tcW w:w="580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Selling</w:t>
              </w:r>
            </w:hyperlink>
          </w:p>
        </w:tc>
        <w:tc>
          <w:tcPr>
            <w:tcW w:w="10420" w:type="dxa"/>
            <w:vAlign w:val="bottom"/>
            <w:gridSpan w:val="2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Legal Matters</w:t>
              </w:r>
            </w:hyperlink>
          </w:p>
        </w:tc>
        <w:tc>
          <w:tcPr>
            <w:tcW w:w="992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0" w:type="dxa"/>
            <w:vAlign w:val="bottom"/>
            <w:gridSpan w:val="4"/>
          </w:tcPr>
          <w:p>
            <w:pPr>
              <w:jc w:val="center"/>
              <w:ind w:right="4640"/>
              <w:spacing w:after="0"/>
              <w:rPr>
                <w:sz w:val="20"/>
                <w:szCs w:val="20"/>
                <w:color w:val="auto"/>
              </w:rPr>
            </w:pPr>
            <w:r>
              <w:rPr>
                <w:rFonts w:ascii="Arial" w:cs="Arial" w:eastAsia="Arial" w:hAnsi="Arial"/>
                <w:sz w:val="18"/>
                <w:szCs w:val="18"/>
                <w:b w:val="1"/>
                <w:bCs w:val="1"/>
                <w:color w:val="auto"/>
                <w:w w:val="85"/>
              </w:rPr>
              <w:t>Prospectus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94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The Companies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Caution Concerning Forward-Looking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Use of Proceeds</w:t>
              </w:r>
            </w:hyperlink>
          </w:p>
        </w:tc>
        <w:tc>
          <w:tcPr>
            <w:tcW w:w="2440" w:type="dxa"/>
            <w:vAlign w:val="bottom"/>
            <w:tcBorders>
              <w:top w:val="single" w:sz="8" w:color="0000EE"/>
            </w:tcBorders>
            <w:gridSpan w:val="9"/>
          </w:tcPr>
          <w:p>
            <w:pPr>
              <w:spacing w:after="0"/>
              <w:rPr>
                <w:sz w:val="17"/>
                <w:szCs w:val="17"/>
                <w:color w:val="auto"/>
              </w:rPr>
            </w:pPr>
          </w:p>
        </w:tc>
        <w:tc>
          <w:tcPr>
            <w:tcW w:w="7320" w:type="dxa"/>
            <w:vAlign w:val="bottom"/>
            <w:gridSpan w:val="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Dividend Policy</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Ratios of Earnings to Fixed Charges and of Earnings to Combined Fixed Charges and Preferred Dividends</w:t>
              </w:r>
            </w:hyperlink>
          </w:p>
        </w:tc>
        <w:tc>
          <w:tcPr>
            <w:tcW w:w="32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Description of Debt Securities and Guarantees</w:t>
              </w:r>
            </w:hyperlink>
          </w:p>
        </w:tc>
        <w:tc>
          <w:tcPr>
            <w:tcW w:w="758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Global Securities</w:t>
              </w:r>
            </w:hyperlink>
          </w:p>
        </w:tc>
        <w:tc>
          <w:tcPr>
            <w:tcW w:w="9680" w:type="dxa"/>
            <w:vAlign w:val="bottom"/>
            <w:gridSpan w:val="1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Plan of Distribution</w:t>
              </w:r>
            </w:hyperlink>
          </w:p>
        </w:tc>
        <w:tc>
          <w:tcPr>
            <w:tcW w:w="560" w:type="dxa"/>
            <w:vAlign w:val="bottom"/>
            <w:tcBorders>
              <w:top w:val="single" w:sz="8" w:color="0000EE"/>
            </w:tcBorders>
            <w:gridSpan w:val="2"/>
          </w:tcPr>
          <w:p>
            <w:pPr>
              <w:spacing w:after="0"/>
              <w:rPr>
                <w:sz w:val="17"/>
                <w:szCs w:val="17"/>
                <w:color w:val="auto"/>
              </w:rPr>
            </w:pPr>
          </w:p>
        </w:tc>
        <w:tc>
          <w:tcPr>
            <w:tcW w:w="8880" w:type="dxa"/>
            <w:vAlign w:val="bottom"/>
            <w:gridSpan w:val="1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Legal Matters</w:t>
              </w:r>
            </w:hyperlink>
          </w:p>
        </w:tc>
        <w:tc>
          <w:tcPr>
            <w:tcW w:w="992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10380" w:type="dxa"/>
            <w:vAlign w:val="bottom"/>
            <w:gridSpan w:val="2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Available Information</w:t>
              </w:r>
            </w:hyperlink>
          </w:p>
        </w:tc>
        <w:tc>
          <w:tcPr>
            <w:tcW w:w="9340" w:type="dxa"/>
            <w:vAlign w:val="bottom"/>
            <w:gridSpan w:val="1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Certain Documents by Reference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firstLine="456"/>
        <w:spacing w:after="0" w:line="271" w:lineRule="auto"/>
        <w:rPr>
          <w:sz w:val="20"/>
          <w:szCs w:val="20"/>
          <w:color w:val="auto"/>
        </w:rPr>
      </w:pPr>
      <w:r>
        <w:rPr>
          <w:rFonts w:ascii="Arial" w:cs="Arial" w:eastAsia="Arial" w:hAnsi="Arial"/>
          <w:sz w:val="17"/>
          <w:szCs w:val="17"/>
          <w:color w:val="auto"/>
        </w:rPr>
        <w:t>We have not, and the managers have not, authorized anyone to provide you any information other than that contained or incorporated by reference in this prospectus supplement, the accompanying prospectus or in any free writing prospectus prepared by or on behalf of us or to which we have referred you. Neither we nor the managers take any responsibility for, or can provide any assurance as to the reliability of, any other information that others may give you. If information in this prospectus supplement is inconsistent with the accompanying prospectus, you should rely on this prospectus supplement. We are not, and the managers are not, making an offer of these securities in any jurisdiction where the offer or sale is not permitted. You should not assume that the information provided in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79"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References herein to “U.S. $”, “$” and “dollars” are to the currency of the United States. The financial information presented in this prospectus supplement and the accompanying prospectus has been prepared in accordance with Generally Accepted Accounting Principles in the United States.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Securities and Exchange Commission (the “SEC”). You may read and copy any materials we file at the SEC’s Public Reference Room at 100 F Street, N.E., Washington, D.C. 20549. Please call the SEC at 1-800-SEC-0330 for further information about the Public Reference Room. The SEC also maintains an internet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periodic and current reports, proxy and information statements, and other information regarding registrants that file electronically with the SEC.</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is part of a registration statement that we filed with the SEC, using a “shelf” registration process under the Securities Act of 1933, as amended (the “Securities Act”), relating to the securities to be offered. This prospectus supplement does not contain all of the information set forth in the registration statement, certain parts of which are omitted in accordance with the rules and regulations of the SEC. For further information with respect to Comcast and the notes offered by this prospectus supplement, reference is hereby made to the registration statement. The registration statement, including the exhibits thereto, may be inspected at the Public Reference Room maintained by the SEC at the address set forth above or may be obtained at the SEC’s website set forth above. Statements contained herein concerning any document filed as an exhibit are not necessarily complete, and, in each instance, reference is made to the copy of such document filed as an exhibit to the registration statement. Each such statement is qualified in its entirety by such reference.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INCORPORATED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2016, filed on February 3, 2017.</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Current Reports on Form 8-K filed on January 10, 2017 and January 27, 2017.</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0" w:right="239" w:bottom="1440" w:gutter="0" w:footer="0" w:header="0"/>
        </w:sectPr>
      </w:pPr>
    </w:p>
    <w:bookmarkStart w:id="5" w:name="page6"/>
    <w:bookmarkEnd w:id="5"/>
    <w:p>
      <w:pPr>
        <w:jc w:val="center"/>
        <w:ind w:right="-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8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6485255"/>
                    </a:xfrm>
                    <a:prstGeom prst="rect">
                      <a:avLst/>
                    </a:prstGeom>
                    <a:noFill/>
                  </pic:spPr>
                </pic:pic>
              </a:graphicData>
            </a:graphic>
          </wp:anchor>
        </w:drawing>
        <w:t>PROSPECTUS SUPPLEMENT SUMMARY</w:t>
      </w:r>
    </w:p>
    <w:p>
      <w:pPr>
        <w:spacing w:after="0" w:line="225"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The Companies</w:t>
      </w:r>
    </w:p>
    <w:p>
      <w:pPr>
        <w:spacing w:after="0" w:line="33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3" w:right="240" w:firstLine="443"/>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ind w:left="863" w:right="240" w:hanging="431"/>
        <w:spacing w:after="0" w:line="266" w:lineRule="auto"/>
        <w:tabs>
          <w:tab w:leader="none" w:pos="863"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we also provide these and other services to business customers and sell advertising.</w:t>
      </w:r>
    </w:p>
    <w:p>
      <w:pPr>
        <w:spacing w:after="0" w:line="81" w:lineRule="exact"/>
        <w:rPr>
          <w:rFonts w:ascii="Arial" w:cs="Arial" w:eastAsia="Arial" w:hAnsi="Arial"/>
          <w:sz w:val="18"/>
          <w:szCs w:val="18"/>
          <w:color w:val="auto"/>
        </w:rPr>
      </w:pPr>
    </w:p>
    <w:p>
      <w:pPr>
        <w:ind w:left="863" w:right="20" w:hanging="431"/>
        <w:spacing w:after="0" w:line="282" w:lineRule="auto"/>
        <w:tabs>
          <w:tab w:leader="none" w:pos="863"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67" w:lineRule="exact"/>
        <w:rPr>
          <w:rFonts w:ascii="Arial" w:cs="Arial" w:eastAsia="Arial" w:hAnsi="Arial"/>
          <w:sz w:val="18"/>
          <w:szCs w:val="18"/>
          <w:color w:val="auto"/>
        </w:rPr>
      </w:pPr>
    </w:p>
    <w:p>
      <w:pPr>
        <w:ind w:left="863" w:right="160" w:hanging="431"/>
        <w:spacing w:after="0" w:line="282" w:lineRule="auto"/>
        <w:tabs>
          <w:tab w:leader="none" w:pos="863"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67" w:lineRule="exact"/>
        <w:rPr>
          <w:rFonts w:ascii="Arial" w:cs="Arial" w:eastAsia="Arial" w:hAnsi="Arial"/>
          <w:sz w:val="18"/>
          <w:szCs w:val="18"/>
          <w:color w:val="auto"/>
        </w:rPr>
      </w:pPr>
    </w:p>
    <w:p>
      <w:pPr>
        <w:ind w:left="863" w:right="40" w:hanging="431"/>
        <w:spacing w:after="0" w:line="266" w:lineRule="auto"/>
        <w:tabs>
          <w:tab w:leader="none" w:pos="863"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 as well as DreamWorks Animation, which we acquired in August 2016; our films are also produced under the Illumination and Focus Features names.</w:t>
      </w:r>
    </w:p>
    <w:p>
      <w:pPr>
        <w:spacing w:after="0" w:line="81" w:lineRule="exact"/>
        <w:rPr>
          <w:rFonts w:ascii="Arial" w:cs="Arial" w:eastAsia="Arial" w:hAnsi="Arial"/>
          <w:sz w:val="18"/>
          <w:szCs w:val="18"/>
          <w:color w:val="auto"/>
        </w:rPr>
      </w:pPr>
    </w:p>
    <w:p>
      <w:pPr>
        <w:ind w:left="863" w:right="200" w:hanging="431"/>
        <w:spacing w:after="0" w:line="282" w:lineRule="auto"/>
        <w:tabs>
          <w:tab w:leader="none" w:pos="863"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 and our 51% interest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Universal Studios theme park in Osaka, Japan, which we acquired in November 2015.</w:t>
      </w:r>
    </w:p>
    <w:p>
      <w:pPr>
        <w:spacing w:after="0" w:line="166" w:lineRule="exact"/>
        <w:rPr>
          <w:sz w:val="20"/>
          <w:szCs w:val="20"/>
          <w:color w:val="auto"/>
        </w:rPr>
      </w:pPr>
    </w:p>
    <w:p>
      <w:pPr>
        <w:ind w:left="3" w:right="400" w:firstLine="443"/>
        <w:spacing w:after="0" w:line="277"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70" w:lineRule="exact"/>
        <w:rPr>
          <w:sz w:val="20"/>
          <w:szCs w:val="20"/>
          <w:color w:val="auto"/>
        </w:rPr>
      </w:pPr>
    </w:p>
    <w:p>
      <w:pPr>
        <w:ind w:left="3" w:right="460" w:firstLine="443"/>
        <w:spacing w:after="0" w:line="277" w:lineRule="auto"/>
        <w:rPr>
          <w:sz w:val="20"/>
          <w:szCs w:val="20"/>
          <w:color w:val="auto"/>
        </w:rPr>
      </w:pPr>
      <w:r>
        <w:rPr>
          <w:rFonts w:ascii="Arial" w:cs="Arial" w:eastAsia="Arial" w:hAnsi="Arial"/>
          <w:sz w:val="18"/>
          <w:szCs w:val="18"/>
          <w:color w:val="auto"/>
        </w:rPr>
        <w:t>Our other business interests consist primarily of Comcast Spectacor, which owns the Philadelphia Flyers and the Wells Fargo Center arena in Philadelphia, Pennsylvania and operates arena management-related businesses.</w:t>
      </w:r>
    </w:p>
    <w:p>
      <w:pPr>
        <w:spacing w:after="0" w:line="170" w:lineRule="exact"/>
        <w:rPr>
          <w:sz w:val="20"/>
          <w:szCs w:val="20"/>
          <w:color w:val="auto"/>
        </w:rPr>
      </w:pPr>
    </w:p>
    <w:p>
      <w:pPr>
        <w:ind w:left="3" w:right="2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81" w:lineRule="exact"/>
        <w:rPr>
          <w:sz w:val="20"/>
          <w:szCs w:val="20"/>
          <w:color w:val="auto"/>
        </w:rPr>
      </w:pPr>
    </w:p>
    <w:p>
      <w:pPr>
        <w:ind w:left="443"/>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3" w:right="200" w:hanging="3"/>
        <w:spacing w:after="0" w:line="261" w:lineRule="auto"/>
        <w:tabs>
          <w:tab w:leader="none" w:pos="438"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88"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3" w:firstLine="443"/>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63"/>
          </w:cols>
          <w:pgMar w:left="437" w:top="459" w:right="39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588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1588770"/>
                    </a:xfrm>
                    <a:prstGeom prst="rect">
                      <a:avLst/>
                    </a:prstGeom>
                    <a:noFill/>
                  </pic:spPr>
                </pic:pic>
              </a:graphicData>
            </a:graphic>
          </wp:anchor>
        </w:drawing>
        <w:t>The guarantees will not contain any restrictions on the ability of any guarantor to:</w:t>
      </w:r>
    </w:p>
    <w:p>
      <w:pPr>
        <w:spacing w:after="0" w:line="131" w:lineRule="exact"/>
        <w:rPr>
          <w:sz w:val="20"/>
          <w:szCs w:val="20"/>
          <w:color w:val="auto"/>
        </w:rPr>
      </w:pPr>
    </w:p>
    <w:p>
      <w:pPr>
        <w:ind w:left="860" w:hanging="431"/>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860" w:hanging="431"/>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right="280" w:firstLine="443"/>
        <w:spacing w:after="0" w:line="277"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40"/>
          </w:cols>
          <w:pgMar w:left="440" w:top="463" w:right="4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597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6597015"/>
                    </a:xfrm>
                    <a:prstGeom prst="rect">
                      <a:avLst/>
                    </a:prstGeom>
                    <a:noFill/>
                  </pic:spPr>
                </pic:pic>
              </a:graphicData>
            </a:graphic>
          </wp:anchor>
        </w:drawing>
        <w:t>The Offering</w:t>
      </w:r>
    </w:p>
    <w:p>
      <w:pPr>
        <w:sectPr>
          <w:pgSz w:w="11900" w:h="16838" w:orient="portrait"/>
          <w:cols w:equalWidth="0" w:num="1">
            <w:col w:w="11040"/>
          </w:cols>
          <w:pgMar w:left="440" w:top="459" w:right="41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0"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$1,005,000,000 aggregate principal amount of 4.450% Notes due 2047.</w:t>
      </w:r>
    </w:p>
    <w:p>
      <w:pPr>
        <w:spacing w:after="0" w:line="200"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March 15, 2047.</w:t>
      </w:r>
    </w:p>
    <w:p>
      <w:pPr>
        <w:spacing w:after="0" w:line="211"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notes will bear interest from March 14, 2017 at the rate of 4.450% per annum, payable semiannually in cash in arrears on March 15 and September 15, beginning on September 15, 2017.</w:t>
      </w:r>
    </w:p>
    <w:p>
      <w:pPr>
        <w:spacing w:after="0" w:line="200"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740"/>
        <w:spacing w:after="0" w:line="277" w:lineRule="auto"/>
        <w:rPr>
          <w:sz w:val="20"/>
          <w:szCs w:val="20"/>
          <w:color w:val="auto"/>
        </w:rPr>
      </w:pPr>
      <w:r>
        <w:rPr>
          <w:rFonts w:ascii="Arial" w:cs="Arial" w:eastAsia="Arial" w:hAnsi="Arial"/>
          <w:sz w:val="18"/>
          <w:szCs w:val="18"/>
          <w:color w:val="auto"/>
        </w:rPr>
        <w:t>The notes will be unsecured and will rank equally with all of our and the guarantors’ unsecured and unsubordinated indebtedness.</w:t>
      </w:r>
    </w:p>
    <w:p>
      <w:pPr>
        <w:spacing w:after="0" w:line="197"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rPr>
          <w:sz w:val="20"/>
          <w:szCs w:val="20"/>
          <w:color w:val="auto"/>
        </w:rPr>
      </w:pPr>
      <w:r>
        <w:rPr>
          <w:rFonts w:ascii="Arial" w:cs="Arial" w:eastAsia="Arial" w:hAnsi="Arial"/>
          <w:sz w:val="16"/>
          <w:szCs w:val="16"/>
          <w:color w:val="auto"/>
        </w:rPr>
        <w:t>Currency of Payments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The notes will be denominated in U.S. dollars and we will pay principal, interest and any premium in U.S. dollars.</w:t>
      </w:r>
    </w:p>
    <w:p>
      <w:pPr>
        <w:spacing w:after="0" w:line="197"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rPr>
          <w:sz w:val="20"/>
          <w:szCs w:val="20"/>
          <w:color w:val="auto"/>
        </w:rPr>
      </w:pPr>
      <w:r>
        <w:rPr>
          <w:rFonts w:ascii="Arial" w:cs="Arial" w:eastAsia="Arial" w:hAnsi="Arial"/>
          <w:sz w:val="17"/>
          <w:szCs w:val="17"/>
          <w:color w:val="auto"/>
        </w:rPr>
        <w:t>Additional Amounts</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Subject to certain exceptions and limitations set forth herein, we will pay additional amounts as may be necessary to ensure that every net payment on a note to a holder who is not a United States person, after deduction or withholding by us or our paying agent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See “Description of Notes—Payment of Additional Amounts.”</w:t>
      </w:r>
    </w:p>
    <w:p>
      <w:pPr>
        <w:spacing w:after="0" w:line="194"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rPr>
          <w:sz w:val="20"/>
          <w:szCs w:val="20"/>
          <w:color w:val="auto"/>
        </w:rPr>
      </w:pPr>
      <w:r>
        <w:rPr>
          <w:rFonts w:ascii="Arial" w:cs="Arial" w:eastAsia="Arial" w:hAnsi="Arial"/>
          <w:sz w:val="15"/>
          <w:szCs w:val="15"/>
          <w:color w:val="auto"/>
        </w:rPr>
        <w:t>Guarantors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Comcast Cable Communications and NBCUniversal.</w:t>
      </w:r>
    </w:p>
    <w:p>
      <w:pPr>
        <w:spacing w:after="0" w:line="200"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Guarantees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guarantors will fully and unconditionally guarantee the notes, including the payment of principal, premium, if any, and interest. The guarantees will rank equally with all other general unsecured and unsubordinated obligations of the guarantors.</w:t>
      </w:r>
    </w:p>
    <w:p>
      <w:pPr>
        <w:spacing w:after="0" w:line="200"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We may, at our option, redeem the notes, in whole but not in part, on each March 15 on or after March 15, 2020. Any redemption described in this paragraph must be on not less than 30 nor more than 60 days’ notice and will be at a redemption price equal to 100% of the principal amount of the notes being redeemed plus accrued and unpaid interest to, but not including, the redemption date.</w:t>
      </w:r>
    </w:p>
    <w:p>
      <w:pPr>
        <w:spacing w:after="0" w:line="200"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Redemption for Tax Reasons</w:t>
      </w:r>
    </w:p>
    <w:p>
      <w:pPr>
        <w:spacing w:after="0" w:line="20" w:lineRule="exact"/>
        <w:rPr>
          <w:sz w:val="20"/>
          <w:szCs w:val="20"/>
          <w:color w:val="auto"/>
        </w:rPr>
      </w:pPr>
      <w:r>
        <w:rPr>
          <w:sz w:val="20"/>
          <w:szCs w:val="20"/>
          <w:color w:val="auto"/>
        </w:rPr>
        <w:br w:type="column"/>
      </w:r>
    </w:p>
    <w:p>
      <w:pPr>
        <w:spacing w:after="0" w:line="297" w:lineRule="auto"/>
        <w:rPr>
          <w:sz w:val="20"/>
          <w:szCs w:val="20"/>
          <w:color w:val="auto"/>
        </w:rPr>
      </w:pPr>
      <w:r>
        <w:rPr>
          <w:rFonts w:ascii="Arial" w:cs="Arial" w:eastAsia="Arial" w:hAnsi="Arial"/>
          <w:sz w:val="16"/>
          <w:szCs w:val="16"/>
          <w:color w:val="auto"/>
        </w:rPr>
        <w:t>We may redeem the notes, in whole but not in part, in the event of certain changes in the tax laws of the United States (or any taxing authority in the United States). This redemption would be at 100% of the principal amount of the notes to be redeemed (plus any accrued interest and additional amounts then payable with respect to the notes to, but not including, the redemption date). See “Description of Notes—Redemption for Tax Reasons.”</w:t>
      </w:r>
    </w:p>
    <w:p>
      <w:pPr>
        <w:spacing w:after="0" w:line="200" w:lineRule="exact"/>
        <w:rPr>
          <w:sz w:val="20"/>
          <w:szCs w:val="20"/>
          <w:color w:val="auto"/>
        </w:rPr>
      </w:pPr>
    </w:p>
    <w:p>
      <w:pPr>
        <w:sectPr>
          <w:pgSz w:w="11900" w:h="16838" w:orient="portrait"/>
          <w:cols w:equalWidth="0" w:num="2">
            <w:col w:w="3480" w:space="720"/>
            <w:col w:w="6840"/>
          </w:cols>
          <w:pgMar w:left="440" w:top="459" w:right="41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040"/>
          </w:cols>
          <w:pgMar w:left="440" w:top="459" w:right="4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intend to use the net proceeds from the offering, after deducting the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-335915</wp:posOffset>
            </wp:positionV>
            <wp:extent cx="7289165" cy="6073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0737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commission, structuring fee and expenses, for working capital and general corporate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may include the repayment at maturity of our 8.875% notes due May 2017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($550 million principal amount outstanding) and repayment of a portion of our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 As of February 15, 2017, our commercial paper had a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interest rate of approximately 1.153% and a weighted average remaining maturity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 days.</w:t>
      </w:r>
    </w:p>
    <w:p>
      <w:pPr>
        <w:spacing w:after="0" w:line="200" w:lineRule="exact"/>
        <w:rPr>
          <w:sz w:val="20"/>
          <w:szCs w:val="20"/>
          <w:color w:val="auto"/>
        </w:rPr>
      </w:pPr>
    </w:p>
    <w:p>
      <w:pPr>
        <w:sectPr>
          <w:pgSz w:w="11900" w:h="16838" w:orient="portrait"/>
          <w:cols w:equalWidth="0" w:num="2">
            <w:col w:w="3480" w:space="720"/>
            <w:col w:w="6820"/>
          </w:cols>
          <w:pgMar w:left="440" w:top="463" w:right="4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a common depositary on behalf of Euroclear and Clearstream and registered in the name of the common depositary or its nominee. Beneficial interests in any of the notes will be shown on, and transfers will be effected only through, records maintained by Euroclear and Clearstream and their participants, and these beneficial interests may not be exchanged for certificated notes, except in limited circumstances. See “Description of Notes— Book-Entry System” in this prospectus supplement.</w:t>
      </w:r>
    </w:p>
    <w:p>
      <w:pPr>
        <w:spacing w:after="0" w:line="194"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To the extent permitted by applicable authorities in the ROC and subject to the receipt of all necessary regulatory and listing approvals from such authorities, including but not limited to the TPEx and the Taiwan Securities Association (the “TSA”), we may from time to time, without notice to or the consent of the holders of notes, create and issue further notes ranking equally and ratably with such notes in all respects, or in all respects except for the payment of interest accruing prior to the issue date or except for the first payment of interest following the issue date of those further notes; provided, that if such additional notes are not fungible with the notes offered hereby for U.S. federal income tax purposes, such additional notes will have one or more separate ISIN numbers. Any further notes will have the same terms as to status, redemption or otherwise as the notes.</w:t>
      </w:r>
    </w:p>
    <w:p>
      <w:pPr>
        <w:spacing w:after="0" w:line="200"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0"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Markets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notes are offered for sale in those jurisdictions in the United States, Europe and Asia where it is legal to make such offers. See “Selling.”</w:t>
      </w:r>
    </w:p>
    <w:p>
      <w:pPr>
        <w:spacing w:after="0" w:line="197"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Application will be made for the notes to be admitted to listing on the TPEx. No assurance can be given that such application will be approved, or that the TPEx listing will be maintained.</w:t>
      </w:r>
    </w:p>
    <w:p>
      <w:pPr>
        <w:spacing w:after="0" w:line="151"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You should consider carefully all the information set forth and incorporated by reference in this prospectus supplement and the accompanying prospectus and, in particular, you should evaluate the specific factors set forth under the heading “Risk Factors” beginning on page S-6 of this prospectus supplement and described under “Risk Factors” in our Annual Report on Form 10-K for the year ended</w:t>
      </w:r>
    </w:p>
    <w:p>
      <w:pPr>
        <w:spacing w:after="0" w:line="200"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020"/>
          </w:cols>
          <w:pgMar w:left="440" w:top="463" w:right="439" w:bottom="1440" w:gutter="0" w:footer="0" w:header="0"/>
          <w:type w:val="continuous"/>
        </w:sectPr>
      </w:pPr>
    </w:p>
    <w:bookmarkStart w:id="9" w:name="page10"/>
    <w:bookmarkEnd w:id="9"/>
    <w:p>
      <w:pPr>
        <w:ind w:left="420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185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1185545"/>
                    </a:xfrm>
                    <a:prstGeom prst="rect">
                      <a:avLst/>
                    </a:prstGeom>
                    <a:noFill/>
                  </pic:spPr>
                </pic:pic>
              </a:graphicData>
            </a:graphic>
          </wp:anchor>
        </w:drawing>
        <w:t>December 31, 2016, as well as the other information contained or incorporated herein by reference, before investing in any of the notes offered hereby.</w:t>
      </w:r>
    </w:p>
    <w:p>
      <w:pPr>
        <w:sectPr>
          <w:pgSz w:w="11900" w:h="16838" w:orient="portrait"/>
          <w:cols w:equalWidth="0" w:num="1">
            <w:col w:w="10660"/>
          </w:cols>
          <w:pgMar w:left="440" w:top="463" w:right="7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 governing the notes is, and the notes will be, governed by, and construed in accordance with, the laws of the State of New York.</w:t>
      </w:r>
    </w:p>
    <w:p>
      <w:pPr>
        <w:spacing w:after="0" w:line="200" w:lineRule="exact"/>
        <w:rPr>
          <w:sz w:val="20"/>
          <w:szCs w:val="20"/>
          <w:color w:val="auto"/>
        </w:rPr>
      </w:pPr>
    </w:p>
    <w:p>
      <w:pPr>
        <w:sectPr>
          <w:pgSz w:w="11900" w:h="16838" w:orient="portrait"/>
          <w:cols w:equalWidth="0" w:num="2">
            <w:col w:w="3480" w:space="720"/>
            <w:col w:w="6460"/>
          </w:cols>
          <w:pgMar w:left="440" w:top="463" w:right="79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660"/>
          </w:cols>
          <w:pgMar w:left="440" w:top="463" w:right="79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An investment in the notes involves certain risks. You should carefully consider the risk factors described under “Risk Factors” in our Annual Report on Form 10-K for the year ended December 31, 2016, as well as the other information included or incorporated by reference in this prospectus supplement and the accompanying prospectus, before making an investment decision.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to the risks relating to us described in our reports described above and any subsequent filings, the following are additional risks relating to an investment in the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public market exists for the notes. Application will be made for the listing of the notes on the TPEx. No assurances can be given as to whether the notes will be, or will remain, listed on the TPEx or whether a trading market for the notes will develop or as to the liquidity of any such trading market. If the notes fail to or cease to be listed on the TPEx, certain investors may not invest in, or continue to hold or invest in, the notes. If any of the notes are traded after their initial issue, they may trade at a discount or premium from their initial offering price, depending on prevailing interest rates, the market for similar securities and the market for the notes and other factors, including general economic conditions and our financial condition, performance and prospects. No assurance can be given as to the future price level of the notes after their initial issue. The notes may be sold to a limited number of investors, and liquidity of the notes may be adversely affected if a significant portion of the notes are bought by a limited number of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the clearing systems is subject to minimum denomination requirements.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may adversely affect your return on the notes.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the right to redeem the notes, in whole but not in part, prior to maturity on each March 15 on or after March 15, 2020. We may also redeem the notes, in whole but not in part, prior to maturity if certain events involving U.S. taxation occur. The redemption price in each case will not include a premium. We may redeem the notes at times when prevailing interest rates may be relatively low. Accordingly, you may not be able to reinvest the amount received upon a redemption in a comparable security at an effective interest rate as high as that of the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27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intend to use the net proceeds from the offering, after deducting the underwriting commission, structuring fee and expenses, for working capital and general corporate purposes, which may include the repayment at maturity of our 8.875% notes due May 2017 ($550 million principal amount outstanding) and repayment of a portion of our outstanding commercial paper. As of February 15, 2017, our commercial paper had a weighted average annual interest rate of approximately 1.153% and a weighted average remaining maturity of approximately 6 days.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270"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RATIOS OF EARNINGS TO FIXED CHARGES AND OF EARNINGS TO COMBINED FIXED CHARGES AND PREFERRED DIVIDENDS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8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19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18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19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18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r>
      <w:tr>
        <w:trPr>
          <w:trHeight w:val="210"/>
        </w:trPr>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5.26x</w:t>
            </w: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5.48x</w:t>
            </w: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5.22x</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4.85x</w:t>
            </w:r>
          </w:p>
        </w:tc>
        <w:tc>
          <w:tcPr>
            <w:tcW w:w="1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4.82x</w:t>
            </w:r>
          </w:p>
        </w:tc>
        <w:tc>
          <w:tcPr>
            <w:tcW w:w="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40" w:firstLine="8"/>
        <w:spacing w:after="0" w:line="254"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270" w:right="25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NOTES</w:t>
      </w:r>
    </w:p>
    <w:p>
      <w:pPr>
        <w:spacing w:after="0" w:line="2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offering $1,005,000,000 aggregate principal amount of our 4.450% Notes due 2047. The notes will be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Copies of the indenture and the form of notes are available from us upon request.</w:t>
      </w:r>
    </w:p>
    <w:p>
      <w:pPr>
        <w:spacing w:after="0" w:line="16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will initially issue a total of $1,005,000,000 aggregate principal amount of 4.450% Senior Notes that will mature on March 15, 2047 (the “notes”), unless earlier redeemed. We may issue additional notes as described under “—Further Issuances.”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redeem the notes, in whole but not in part, on each March 15 on or after March 15, 2020 as described under “—Optional Redemption” below.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also redeem the notes, in whole but not in part, prior to maturity if certain events involving U.S. taxation occur. If any of these special tax events do occur, the notes will be redeemed at a redemption price of 100% of their principal amount plus any accrued interest and additional amounts payable with respect to the notes to, but not including, the redemption date. See “—Redemption for Tax Reasons.”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registered form in denominations of $100,000 and multiples of $1,000 in excess thereof.</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term “business day” when used with respect to any note means any day, other than a Saturday or Sunday, which is not a day on which banking institutions in the City of New York, London or Taipei, are authorized or required by law, regulation or executive order to close.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subject to compliance with applicable law, at any time purchase notes in the open market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Interest on the notes will accrue from March 14, 2017 at the rate of 4.450% per annum, payable semi-annually in arrears on March 15 and September 15 of each year, beginning on September 15, 2017. Interest on the notes will be paid to the person in whose name that note is registered at the close of business on March 1 or September 1, as the case may be, immediately preceding the relevant interest payment date. Interest on the notes will be computed on the basis of a 360-day year composed of twelve 30-day months. If any interest or other payment date of a note falls on a day that is not a business day, the required payment of principal, premium, if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270" w:right="279" w:bottom="1440" w:gutter="0" w:footer="0" w:header="0"/>
        </w:sectPr>
      </w:pPr>
    </w:p>
    <w:bookmarkStart w:id="14" w:name="page15"/>
    <w:bookmarkEnd w:id="14"/>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Unless we default on a payment, no interest will accrue for that period from and after the applicable interest payment date, maturity date or redemption date. All payment dates with respect to the notes, whether at maturity, upon earlier redemption or on any interest payment date, shall be determined in accordance with the time-zone applicable to The City of New York. Because of time zone differences, the interest payment date on which we make payment may not be the same business day in the applicable jurisdiction of the relevant holder of notes. In addition, deliveries, payments and other communications involving the notes are likely to be carried out through Euroclear and Clearstream, which means such transaction can only be carried out on days when those systems are open for business. Those systems may not be open for business on days when banks, brokers and other institutions are open for business in the United States or Taiwan. See also “—Book-Entry System—Clearance and Settlement Procedures”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at the office of the paying agent in London, United Kingdom and any other location we designate. The notes may be registered for transfer or exchanged without payment of any charge (other than any tax or other governmental charge payable in connection therewith) at the office of the registrar in New York, New York. Initially, the paying agent’s office in London, United Kingdom and the registrar’s office in New York, New York will serve as our office and agency for these respective purposes. We may elect that payment of interest on notes be made by wire transfer or by check mailed to the address of the appropriate person as it appears on the security register. So long as the registered owner of the notes is a common depositary of Euroclear and Clearstream or their nominee, payment of principal and interest shall be made in accordance with the requirements of Euroclear and Clearstream. See “—Book-Entry System” below.</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are not required to transfer or exchange any note selected for redemption during a period of 15 days before the electronic delivery or mailing of a notice of redemption of notes to be redeemed.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Subject to applicable escheat laws, all amounts of principal and of premium, if any, and interest on the notes paid by us that remain unclaimed two years after such payment was due and payable will be repaid to us upon our request, and the holders of such notes will thereafter look solely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the option to redeem the notes then outstanding, in whole but not in part, on each March 15 on or after March 15, 2020. Any redemption described in this paragraph will be at a redemption price equal to 100% of the principal amount of the notes being redeemed plus accrued and unpaid interest to, but not including, the redemption date. We will calculate the redemption price in connection with any redemption hereunder. Unless we default in payment of the redemption price, on and after the redemption date, interest will cease to accrue on the notes called for redemption.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274" w:right="259" w:bottom="1440" w:gutter="0" w:footer="0" w:header="0"/>
        </w:sectPr>
      </w:pPr>
    </w:p>
    <w:bookmarkStart w:id="15" w:name="page16"/>
    <w:bookmarkEnd w:id="15"/>
    <w:p>
      <w:pPr>
        <w:ind w:right="4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any redemption will be electronically delivered or mailed at least 30 days but not more than 60 days before the redemption date to each holder of the notes to be redeemed.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the notes are subject to redemption prior to maturity if certain events involving U.S. taxation occur. If any of these special tax events do occur, the notes will be redeemed at a redemption price of 100% of their principal amount plus any accrued and unpaid interest and additional amounts then payable with respect to the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To the extent permitted by applicable authorities in the ROC and subject to the receipt of all necessary regulatory and listing approvals from such authorities, including but not limited to the TPEx and the TSA, we may from time to time, without notice to or the consent of the holders of the notes, create and issue additional notes having the same terms as, and ranking equally and ratably with, the notes in all respects (except for the issue date, the offering price and, if applicable, the payment of interest accruing prior to the issue date of such additional notes and the first payment of interest following the issue date of such additional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additional notes are not fungible with the notes offered hereby for U.S. federal income tax purposes, such additional notes will have one or more separate ISIN numbers. Such additional notes may be, to the extent permitted by applicable authorities in the ROC and subject to the receipt of all necessary regulatory and listing approvals from such authorities, including but not limited to the TPEx and the TSA, consolidated and form a single series with, and will have the same terms as to ranking, redemption, waivers, amendments or otherwise, as the notes, and will vote together as one class on all matters with respect to such notes.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our paying agent of the principal of and interest on the notes to a holder who is not a United States person (as defined below), after withholding or deduction for any present or future tax, assessment or other governmental charge (“Tax”)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94" w:lineRule="exact"/>
        <w:rPr>
          <w:sz w:val="20"/>
          <w:szCs w:val="20"/>
          <w:color w:val="auto"/>
        </w:rPr>
      </w:pPr>
    </w:p>
    <w:p>
      <w:pPr>
        <w:jc w:val="both"/>
        <w:ind w:left="900" w:right="1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notes), or a fiduciary, settlor, beneficiary, member or shareholder of the holder if the holder is an estate, trust, partnership or corporation, or a person holding a power over an estate or trust administered by a fiduciary holder, being considered as:</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ind w:left="1480" w:right="100" w:hanging="567"/>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ind w:left="1480" w:right="340" w:hanging="567"/>
        <w:spacing w:after="0" w:line="308" w:lineRule="auto"/>
        <w:tabs>
          <w:tab w:leader="none" w:pos="1480" w:val="left"/>
        </w:tabs>
        <w:numPr>
          <w:ilvl w:val="1"/>
          <w:numId w:val="7"/>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51" w:lineRule="exact"/>
        <w:rPr>
          <w:rFonts w:ascii="Arial" w:cs="Arial" w:eastAsia="Arial" w:hAnsi="Arial"/>
          <w:sz w:val="17"/>
          <w:szCs w:val="17"/>
          <w:color w:val="auto"/>
        </w:rPr>
      </w:pPr>
    </w:p>
    <w:p>
      <w:pPr>
        <w:ind w:left="1480" w:right="2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“Code”);</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274" w:right="259" w:bottom="1440" w:gutter="0" w:footer="0" w:header="0"/>
        </w:sectPr>
      </w:pPr>
    </w:p>
    <w:bookmarkStart w:id="16" w:name="page17"/>
    <w:bookmarkEnd w:id="16"/>
    <w:p>
      <w:pPr>
        <w:ind w:left="900" w:right="10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76" w:lineRule="exact"/>
        <w:rPr>
          <w:rFonts w:ascii="Arial" w:cs="Arial" w:eastAsia="Arial" w:hAnsi="Arial"/>
          <w:sz w:val="17"/>
          <w:szCs w:val="17"/>
          <w:color w:val="auto"/>
        </w:rPr>
      </w:pPr>
    </w:p>
    <w:p>
      <w:pPr>
        <w:ind w:left="900" w:right="6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Note, if such payment can be made without such withholding by at least one other paying agent;</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any combination of items (1)-(9) above.</w:t>
      </w:r>
    </w:p>
    <w:p>
      <w:pPr>
        <w:spacing w:after="0" w:line="22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imposed by any government or a political subdivision or taxing authority of or in any government or political subdivision. As used under this heading “—Payment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and when the additional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274" w:right="25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additional amounts paid on the notes will be in U.S.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10 nor more than 60 days prior notice, at a redemption price equal to 100% of their principal amount, together with accrued and unpaid interest on those notes to, but not including, the date fixed for redemption.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notes will be issued in registered, global form, in minimum denominations of $100,000 and multiples of $1,000 above that amount. Initially, the notes will be represented by one or more permanent global certificates (the “global notes”) (which may be subdivided) in definitive, fully registered form without interest coupons.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such global note will be deposited with, or on behalf of, a common depositary, and registered in the name of the common depositary or its nominee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 entry interests in the notes and all transfers relating to the notes will be reflected in the book entry records of Clearstream and Euroclear.</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 entry interests in the notes will take place through Clearstream and Euroclear participants and will settle in same day funds. Owners of book entry interests in the notes will receive payments relating to their notes in U.S. dollars.</w:t>
      </w:r>
    </w:p>
    <w:p>
      <w:pPr>
        <w:spacing w:after="0" w:line="18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274" w:right="259" w:bottom="1440" w:gutter="0" w:footer="0" w:header="0"/>
        </w:sectPr>
      </w:pPr>
    </w:p>
    <w:bookmarkStart w:id="18" w:name="page19"/>
    <w:bookmarkEnd w:id="18"/>
    <w:p>
      <w:pPr>
        <w:jc w:val="both"/>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advised by Clearstream and Euroclear, respectively,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 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managers. Indirect access to Clearstream is also available to others, such as banks, brokers, dealers and trust companies that clear through or maintain a custodial relationship with a Clearstream Participant, either directly or indirectly.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Clearstream will be credited to cash accounts of Clearstream Participants in accordance with its rules and procedures.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managers. Indirect access to Euroclear is also available to other firms that clear through or maintain a custodial relationship with a Euroclear Participant, either directly or indirectly.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274" w:right="279" w:bottom="1440" w:gutter="0" w:footer="0" w:header="0"/>
        </w:sectPr>
      </w:pPr>
    </w:p>
    <w:bookmarkStart w:id="19" w:name="page20"/>
    <w:bookmarkEnd w:id="19"/>
    <w:p>
      <w:pPr>
        <w:jc w:val="both"/>
        <w:ind w:right="3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transfers of securities and cash within Euroclear;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of securities and cash from Euroclear;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payments with respect to securities in Euroclear.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Euroclear will be credited to the cash accounts of Euroclear Participants in accordance with the Euroclear Terms and Conditions.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and Taiwan.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or Taiwan. U.S. or Taiwanese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8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274" w:right="239" w:bottom="1440" w:gutter="0" w:footer="0" w:header="0"/>
        </w:sectPr>
      </w:pPr>
    </w:p>
    <w:bookmarkStart w:id="20" w:name="page21"/>
    <w:bookmarkEnd w:id="2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ROC Trading</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Investors with a securities book-entry account with a Taiwan securities broker and a foreign currency deposit account with a Taiwan bank, may request the approval of the Taiwan Depositary &amp; Clearing Corporation (the “TDCC”) for the settlement of the notes through the account of TDCC with Clearstream or Euroclear and if such approval is granted by the TDCC, the notes may be so cleared and settled. In such circumstances, the TDCC will allocate the respective book-entry interest of such investor in the notes position to the securities book-entry account designated by such investor in the ROC. The notes will be traded and settled pursuant to the applicable rules and operating procedures of TDCC and the TPEx as domestic bonds.</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addition, an investor may apply to TDCC (by filing in a prescribed form) to transfer the notes in its own account with Euroclear or Clearstream to the TDCC account with Euroclear or Clearstream for trading in the domestic market or vice versa for trading in overseas markets.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such investors who hold their interest in the notes through an account opened and held by TDCC with Euroclear or Clearstream, distributions of principal and/or interest for the notes to such holders may be made by payment services banks whose systems are connected to TDCC to the foreign currency deposit accounts of the holders. Such payment is expected to be made on the second Taiwanese business day following TDCC’s receipt of such payment (due to time difference, the payment is expected to be received by TDCC one Taiwanese business day after the distribution date). However, when the holders will actually receive such distributions may vary depending upon the daily operations of the Taiwan banks with which the holder has the foreign currency deposit account.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$100,000 principal amount and multiples of $1,000 in excess thereof if:</w:t>
      </w:r>
    </w:p>
    <w:p>
      <w:pPr>
        <w:spacing w:after="0" w:line="76" w:lineRule="exact"/>
        <w:rPr>
          <w:sz w:val="20"/>
          <w:szCs w:val="20"/>
          <w:color w:val="auto"/>
        </w:rPr>
      </w:pPr>
    </w:p>
    <w:p>
      <w:pPr>
        <w:ind w:left="900" w:right="62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depositary (1) notifies us that it is unwilling or unable to continue as depositary for the global notes and we fail to appoint a successor depositary within 90 days or (2) has ceased to be a clearing agency registered under the Exchange Act and we fail to appoint a successor depositary within 90 days;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all cases, certificated notes delivered in exchange for any global notes or beneficial interests therein will be registered in the names, and issued in any approved denominations, requested by or on behalf of the depositary. It is expected that the depositary’s instructions will be based upon directions received by the depositary from participants with respect to ownership of beneficial interests in the relevant global note or notes that had been held by the depositary.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274"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U.S. FEDERAL INCOME TAX CONSEQUENCES FOR NON-U.S. HOLDERS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90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summary is based on the United States Internal Revenue Code of 1986, as amended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27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on a Note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900" w:right="2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holder of a trade or business in the United States.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Such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27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FATCA Legislation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 imposed under FATCA.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270"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ROC TAXATION</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certain ROC tax consequences with respect to the holders of the notes, and is prepared based on current laws and regulations of the ROC. It does not purport to be comprehensive and does not constitute legal or tax advice. Investors (particularly those subject to special tax rules, such as banks, dealers, insurance companies and tax-exempt entities) should consult with their own tax advisers regarding the tax consequences of an investment in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we, the issuer of the notes, are not an ROC statutory tax withholder, there is no ROC withholding tax on any payment to be paid on the notes. ROC corporate holders must include the interest receivable under the notes as part of their taxable income and pay income tax at a flat rate of 17 percent (unless the total taxable income for a fiscal year is under $120,000 New Taiwan Dollars), as they are subject to income tax on their worldwide income on an accrual basis. The alternative minimum tax (“AMT”) is not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the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the sale of corporate bonds or financial bonds is subject to 0.1 percent securities transaction tax (“STT”) on the transaction price. However, Article 2-1 of the Securities Transaction Tax Act prescribes that STT will cease to be levied on the sale of corporate bonds and financial bonds from 1 January 2010 to 31 December 2026. Therefore, the sale of the notes will be exempt from STT if the sale is conducted on or before 31 December 2026. Starting from 1 January 2027, any sale of the notes will be subject to STT at 0.1 percent of the transaction price, unless otherwise provided by the tax laws that may be in force at that time.</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Capital gains generated from the sale of bonds are exempt from income tax. Accordingly, ROC corporate holders are not subject to income tax on any capital gains generated from the sale of the notes. However, ROC corporate holders should include the capital gains in calculating their basic income for the purpose of calculating their AMT. If the amount of the AMT exceeds the ordinary income tax calculated pursuant to the Income Basic Tax Act (also known as the AMT Act), the excess becomes the ROC corporate holders’ AMT payable. Capital losses, if any, incurred by such holders could be carried over 5 years to offset against capital gains of same category of income for the purposes of calculating their AMT.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270"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Comcast Corporation and the managers for the offering named below have entered into a subscription agreement with respect to the notes. Subject to certain conditions, the managers have agreed to purchase the principal amount of notes indicated in the following table.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Manager</w:t>
            </w: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58"/>
        </w:trPr>
        <w:tc>
          <w:tcPr>
            <w:tcW w:w="5820" w:type="dxa"/>
            <w:vAlign w:val="bottom"/>
            <w:gridSpan w:val="2"/>
            <w:vMerge w:val="continue"/>
          </w:tcPr>
          <w:p>
            <w:pPr>
              <w:spacing w:after="0"/>
              <w:rPr>
                <w:sz w:val="13"/>
                <w:szCs w:val="13"/>
                <w:color w:val="auto"/>
              </w:rPr>
            </w:pPr>
          </w:p>
        </w:tc>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Amount of notes</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AG, Taipei Branch</w:t>
            </w:r>
          </w:p>
        </w:tc>
        <w:tc>
          <w:tcPr>
            <w:tcW w:w="3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502,500,000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Citibank Taiwan Limited</w:t>
            </w:r>
          </w:p>
        </w:tc>
        <w:tc>
          <w:tcPr>
            <w:tcW w:w="3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1,005,000,000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color w:val="auto"/>
        </w:rPr>
        <w:t>The managers are committed to take and pay for all of the notes being offered, if any are taken. To the extent permitted by applicable laws and regulations, the managers may make offers and sales in the United States through one or more U.S. registered broker-dealers. See “—Other Relationships.”</w:t>
      </w:r>
    </w:p>
    <w:p>
      <w:pPr>
        <w:spacing w:after="0" w:line="124"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Notes sold by the managers to the public will initially be offered at the initial public offering price set forth on the cover of this prospectus supplement. After the initial offering of the notes to the public, the underwriters may change the public offering price. The offering of the notes by the managers is subject to receipt and acceptance and subject to the managers’ right to reject any order in whole or in part.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underwriting commission that we will pay to the managers in connection with this offering: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7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Paid By Us</w:t>
            </w:r>
          </w:p>
        </w:tc>
        <w:tc>
          <w:tcPr>
            <w:tcW w:w="20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3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0.100%</w:t>
            </w: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Total</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$1,005,000</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will pay an aggregate fee of $6,532,500 (the “structuring fee”) to the structuring agents in connection with structuring services that they provided in connection with the notes. Each structuring agent is an entity not licensed in the ROC, has not offered or sold, and will not subscribe for or sell or underwrite, any notes offered hereby. We will pay Morgan Stanley &amp; Co. LLC the full amount of the structuring fee, and Morgan Stanley &amp; Co. LLC will, on our behalf, remit to each structuring agent its portion of the structuring fee.</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We estimate that our expenses in connection with this offering, other than the underwriting commission and the structuring fee, will be approximately $3,467,250. Morgan Stanley &amp; Co. LLC has agreed to reimburse us for $3,467,250 of our expenses associated with the offering.</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also agreed to indemnify the managers against certain liabilities, including liabilities under the Securities Act, or to contribute to payments which the managers may be required to make in respect of any such liabilities. Separately, in connection with structuring services that the structuring agents provided in connection with the notes, we have agreed to indemnify the structuring agents against certain liabilities in connection with this offering, including liabilities under the Securities Act, or to contribute to payments made in respect of those liabilities.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Application will be made to the TPEx for the listing of, and permission to deal in, the notes by way of debt issues to “professional institutional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270" w:right="259" w:bottom="1440" w:gutter="0" w:footer="0" w:header="0"/>
        </w:sectPr>
      </w:pPr>
    </w:p>
    <w:bookmarkStart w:id="26" w:name="page27"/>
    <w:bookmarkEnd w:id="26"/>
    <w:p>
      <w:pPr>
        <w:jc w:val="both"/>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 as defined under Paragraph 2 of Article 4 of the Financial Consumer Protection Act of the ROC only and such permission is expected to become effective on or about March 14, 2017. We cannot make any assurance that the TPEx listing will be maintained. The managers are not obligated to carry out market-making activities with respect to the notes. Accordingly, we cannot assure you as to the liquidity of, or the trading market for, the notes.</w:t>
      </w:r>
    </w:p>
    <w:p>
      <w:pPr>
        <w:spacing w:after="0" w:line="14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We expect to deliver the notes against payment therefor on or about the date specified in the last paragraph of the cover page of this prospectus supplement, which will be the sixteenth business day following the date of the pricing of the notes. Under Rule 15c6-1 of the Exchange Act, trades in the secondary market are required to settle in three business days, unless the parties to a trade expressly agree otherwise. Accordingly, purchasers who wish to trade notes prior to the third business day preceding the settlement date will be required, by virtue of the fact that the notes initially will settle in T+16, to specify alternative settlement arrangements to prevent a failed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Deutsche Bank AG, Taipei Branch and Citibank Taiwan Limited are not U.S. registered broker-dealers and, therefore, to the extent permitted by ROC laws and regulations and that they intend to effect any sales of the notes in the United States, they will do so through one or more U.S. registered broker-dealers as permitted by FINRA regulations.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managers, the structuring agents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managers, the structuring agents and their respective affiliates have, from time to time, performed, and may in the future perform, various financial advisory and investment banking services for us, for which they received or will receive customary fees and expenses.</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the ordinary course of their various business activities, the managers, the structuring agents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ours. If any of the managers, the structuring agents or their respective affiliates has a lending relationship with us, certain of those managers and structuring agents or their respective affiliates routinely hedge, and certain other of those managers or structuring agents or their respective affiliates may hedge, their credit exposure to us consistent with their customary risk management policies. Typically, these managers and structuring agents or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managers, the structuring agents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managers have represented and agreed that with effect from and including the date on which the Prospectus Directive is implemented in that Relevant Member State (the “Relevant Implementation Date”) it has not made and will not make an offer of notes to the public in that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274" w:right="239" w:bottom="1440" w:gutter="0" w:footer="0" w:header="0"/>
        </w:sectPr>
      </w:pPr>
    </w:p>
    <w:bookmarkStart w:id="27" w:name="page28"/>
    <w:bookmarkEnd w:id="2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Relevant Member State prior to the publication of a prospectus in relation to such offer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79" w:lineRule="exact"/>
        <w:rPr>
          <w:sz w:val="20"/>
          <w:szCs w:val="20"/>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60" w:right="480" w:firstLine="4"/>
        <w:spacing w:after="0" w:line="277" w:lineRule="auto"/>
        <w:tabs>
          <w:tab w:leader="none" w:pos="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managers for any such offer;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provided that no such offer of notes shall require us or the managers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expression may be varied in that Relevant Member State by any measure implementing the Prospectus Directive in that Relevant Member State. The expression “Prospectus Directive” means Directive 2003/71/EC 9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manager has represented and agreed that:</w:t>
      </w:r>
    </w:p>
    <w:p>
      <w:pPr>
        <w:spacing w:after="0" w:line="117" w:lineRule="exact"/>
        <w:rPr>
          <w:sz w:val="20"/>
          <w:szCs w:val="20"/>
          <w:color w:val="auto"/>
        </w:rPr>
      </w:pPr>
    </w:p>
    <w:p>
      <w:pPr>
        <w:ind w:left="460" w:right="120" w:firstLine="4"/>
        <w:spacing w:after="0" w:line="312"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38" w:lineRule="exact"/>
        <w:rPr>
          <w:rFonts w:ascii="Arial" w:cs="Arial" w:eastAsia="Arial" w:hAnsi="Arial"/>
          <w:sz w:val="16"/>
          <w:szCs w:val="16"/>
          <w:color w:val="auto"/>
        </w:rPr>
      </w:pPr>
    </w:p>
    <w:p>
      <w:pPr>
        <w:ind w:left="460" w:right="200" w:firstLine="4"/>
        <w:spacing w:after="0" w:line="277"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has not been approved by or registered with the Securities and Futures Commission of Hong Kong or the Registrar of Companies of Hong Kong. The notes will not be offered or sold in Hong Kong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will be issued in Hong Kong or elsewhere other than with respect to notes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Each manager has agreed that it has not, directly or indirectly, offered or sold and will not offer or sell any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274" w:right="259" w:bottom="1440" w:gutter="0" w:footer="0" w:header="0"/>
        </w:sectPr>
      </w:pPr>
    </w:p>
    <w:bookmarkStart w:id="28" w:name="page29"/>
    <w:bookmarkEnd w:id="28"/>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(the “SFA”), (ii) to a relevant person, or any person pursuant to Section 275(1A) of the SFA,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debentures and units of securities and debentures of that corporation or the beneficiaries’ rights and interest in that trust shall not be transferable for 6 months after that corporation or that trust has acquired the notes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Republic of China</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notes have not been, and shall not be, offered, sold or re-sold, directly or indirectly, to investors other than “professional institutional investors” as defined under Paragraph 2 of Article 4 of the Financial Consumer Protection Act of the ROC, which currently include: overseas or domestic (i) banks, securities firms, futures firms and insurance companies (excluding insurance agencies, insurance brokers and insurance surveyors), the foregoing as further defined in more details in Paragraph 3 of Article 2 of the Organization Act of the Financial Supervisory Commission of the ROC, (ii) fund management companies, government investment institutions, government funds, pension funds, mutual funds, unit trusts, and funds managed by financial service enterprises pursuant to the ROC Securities Investment Trust and Consulting Act, the ROC Future Trading Act or the ROC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60"/>
          </w:cols>
          <w:pgMar w:left="240" w:top="274"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MATTERS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w:t>
      </w:r>
      <w:r>
        <w:rPr>
          <w:rFonts w:ascii="Arial" w:cs="Arial" w:eastAsia="Arial" w:hAnsi="Arial"/>
          <w:sz w:val="15"/>
          <w:szCs w:val="15"/>
          <w:color w:val="auto"/>
        </w:rPr>
        <w:t>LLP</w:t>
      </w:r>
      <w:r>
        <w:rPr>
          <w:rFonts w:ascii="Arial" w:cs="Arial" w:eastAsia="Arial" w:hAnsi="Arial"/>
          <w:sz w:val="18"/>
          <w:szCs w:val="18"/>
          <w:color w:val="auto"/>
        </w:rPr>
        <w:t>, New York, New York will issue a legal opinion on certain legal matters for the managers. Lee and Li, Attorneys-at-Law, is acting as special Taiwanese legal counsel to us and will issue an opinion on certain legal matters to the managers.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2016,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and its subsidiaries, incorporated herein by reference from NBCUniversal’s Annual Report on Form 10-K for the year ended December 31, 2016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27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915670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400" w:type="dxa"/>
            <w:vAlign w:val="bottom"/>
            <w:gridSpan w:val="2"/>
          </w:tcPr>
          <w:p>
            <w:pPr>
              <w:ind w:left="1620"/>
              <w:spacing w:after="0"/>
              <w:rPr>
                <w:sz w:val="20"/>
                <w:szCs w:val="20"/>
                <w:color w:val="auto"/>
              </w:rPr>
            </w:pPr>
            <w:r>
              <w:rPr>
                <w:rFonts w:ascii="Arial" w:cs="Arial" w:eastAsia="Arial" w:hAnsi="Arial"/>
                <w:sz w:val="18"/>
                <w:szCs w:val="18"/>
                <w:color w:val="auto"/>
                <w:w w:val="90"/>
              </w:rPr>
              <w:t>• 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Units</w:t>
            </w: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3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213995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420"/>
          </w:cols>
          <w:pgMar w:left="240" w:top="27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The Companies</w:t>
              </w:r>
            </w:hyperlink>
          </w:p>
        </w:tc>
        <w:tc>
          <w:tcPr>
            <w:tcW w:w="9960" w:type="dxa"/>
            <w:vAlign w:val="bottom"/>
            <w:gridSpan w:val="10"/>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60" w:type="dxa"/>
            <w:vAlign w:val="bottom"/>
            <w:gridSpan w:val="10"/>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Caution Concerning Forward-Looking Statements</w:t>
              </w:r>
            </w:hyperlink>
          </w:p>
        </w:tc>
        <w:tc>
          <w:tcPr>
            <w:tcW w:w="7540" w:type="dxa"/>
            <w:vAlign w:val="bottom"/>
            <w:gridSpan w:val="2"/>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Dividend Policy</w:t>
              </w:r>
            </w:hyperlink>
          </w:p>
        </w:tc>
        <w:tc>
          <w:tcPr>
            <w:tcW w:w="99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Ratios of Earnings to Fixed Charges and of Earnings to Combined Fixed Charges and Preferred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Debt Securities and Guarantees</w:t>
              </w:r>
            </w:hyperlink>
          </w:p>
        </w:tc>
        <w:tc>
          <w:tcPr>
            <w:tcW w:w="3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Global Securities</w:t>
              </w:r>
            </w:hyperlink>
          </w:p>
        </w:tc>
        <w:tc>
          <w:tcPr>
            <w:tcW w:w="78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Description of Capital Stock</w:t>
              </w:r>
            </w:hyperlink>
          </w:p>
        </w:tc>
        <w:tc>
          <w:tcPr>
            <w:tcW w:w="90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Matters</w:t>
              </w:r>
            </w:hyperlink>
          </w:p>
        </w:tc>
        <w:tc>
          <w:tcPr>
            <w:tcW w:w="96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101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Available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Incorporation of Certain Documents by Reference</w:t>
              </w:r>
            </w:hyperlink>
          </w:p>
        </w:tc>
        <w:tc>
          <w:tcPr>
            <w:tcW w:w="754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20" w:firstLine="456"/>
        <w:spacing w:after="0" w:line="298" w:lineRule="auto"/>
        <w:rPr>
          <w:sz w:val="20"/>
          <w:szCs w:val="20"/>
          <w:color w:val="auto"/>
        </w:rPr>
      </w:pPr>
      <w:r>
        <w:rPr>
          <w:rFonts w:ascii="Arial" w:cs="Arial" w:eastAsia="Arial" w:hAnsi="Arial"/>
          <w:sz w:val="16"/>
          <w:szCs w:val="16"/>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360"/>
          </w:cols>
          <w:pgMar w:left="240" w:top="274" w:right="29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60" w:firstLine="456"/>
        <w:spacing w:after="0" w:line="352" w:lineRule="auto"/>
        <w:rPr>
          <w:sz w:val="20"/>
          <w:szCs w:val="20"/>
          <w:color w:val="auto"/>
        </w:rPr>
      </w:pPr>
      <w:r>
        <w:rPr>
          <w:rFonts w:ascii="Arial" w:cs="Arial" w:eastAsia="Arial" w:hAnsi="Arial"/>
          <w:sz w:val="15"/>
          <w:szCs w:val="15"/>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1" w:lineRule="exact"/>
        <w:rPr>
          <w:sz w:val="20"/>
          <w:szCs w:val="20"/>
          <w:color w:val="auto"/>
        </w:rPr>
      </w:pPr>
    </w:p>
    <w:p>
      <w:pPr>
        <w:jc w:val="both"/>
        <w:ind w:left="900" w:right="220" w:hanging="325"/>
        <w:spacing w:after="0" w:line="262"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studio production operations.</w:t>
      </w:r>
    </w:p>
    <w:p>
      <w:pPr>
        <w:spacing w:after="0" w:line="38" w:lineRule="exact"/>
        <w:rPr>
          <w:rFonts w:ascii="Arial" w:cs="Arial" w:eastAsia="Arial" w:hAnsi="Arial"/>
          <w:sz w:val="18"/>
          <w:szCs w:val="18"/>
          <w:color w:val="auto"/>
        </w:rPr>
      </w:pPr>
    </w:p>
    <w:p>
      <w:pPr>
        <w:ind w:left="900" w:right="30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38" w:lineRule="exact"/>
        <w:rPr>
          <w:rFonts w:ascii="Arial" w:cs="Arial" w:eastAsia="Arial" w:hAnsi="Arial"/>
          <w:sz w:val="18"/>
          <w:szCs w:val="18"/>
          <w:color w:val="auto"/>
        </w:rPr>
      </w:pPr>
    </w:p>
    <w:p>
      <w:pPr>
        <w:ind w:left="900" w:right="62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right="18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and Hollywood, California. In November 2015, NBCUniversal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51% interest in the Universal Studios theme park located in Osaka, Japan.</w:t>
      </w:r>
    </w:p>
    <w:p>
      <w:pPr>
        <w:spacing w:after="0" w:line="1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 CONCERNING FORWARD-LOOKING STATEMENTS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5" w:name="page36"/>
    <w:bookmarkEnd w:id="35"/>
    <w:p>
      <w:pPr>
        <w:ind w:left="325" w:hanging="325"/>
        <w:spacing w:after="0"/>
        <w:tabs>
          <w:tab w:leader="none" w:pos="325"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325" w:hanging="325"/>
        <w:spacing w:after="0" w:line="332" w:lineRule="auto"/>
        <w:tabs>
          <w:tab w:leader="none" w:pos="3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5"/>
          </w:cols>
          <w:pgMar w:left="815" w:top="280" w:right="2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For the Six Months Ended</w:t>
            </w:r>
          </w:p>
        </w:tc>
        <w:tc>
          <w:tcPr>
            <w:tcW w:w="4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For the Years Ended December 31,</w:t>
            </w:r>
          </w:p>
        </w:tc>
        <w:tc>
          <w:tcPr>
            <w:tcW w:w="1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29"/>
        </w:trPr>
        <w:tc>
          <w:tcPr>
            <w:tcW w:w="1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 2016</w:t>
            </w:r>
          </w:p>
        </w:tc>
        <w:tc>
          <w:tcPr>
            <w:tcW w:w="46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2014</w:t>
            </w:r>
          </w:p>
        </w:tc>
        <w:tc>
          <w:tcPr>
            <w:tcW w:w="1880" w:type="dxa"/>
            <w:vAlign w:val="bottom"/>
            <w:gridSpan w:val="2"/>
          </w:tcPr>
          <w:p>
            <w:pPr>
              <w:jc w:val="right"/>
              <w:ind w:right="472"/>
              <w:spacing w:after="0" w:line="129"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1"/>
                <w:szCs w:val="11"/>
                <w:color w:val="auto"/>
              </w:rPr>
            </w:pPr>
          </w:p>
        </w:tc>
        <w:tc>
          <w:tcPr>
            <w:tcW w:w="140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1"/>
                <w:szCs w:val="11"/>
                <w:color w:val="auto"/>
              </w:rPr>
            </w:pPr>
          </w:p>
        </w:tc>
        <w:tc>
          <w:tcPr>
            <w:tcW w:w="1400" w:type="dxa"/>
            <w:vAlign w:val="bottom"/>
          </w:tcPr>
          <w:p>
            <w:pPr>
              <w:jc w:val="right"/>
              <w:ind w:right="502"/>
              <w:spacing w:after="0" w:line="129" w:lineRule="exact"/>
              <w:rPr>
                <w:sz w:val="20"/>
                <w:szCs w:val="20"/>
                <w:color w:val="auto"/>
              </w:rPr>
            </w:pPr>
            <w:r>
              <w:rPr>
                <w:rFonts w:ascii="Arial" w:cs="Arial" w:eastAsia="Arial" w:hAnsi="Arial"/>
                <w:sz w:val="14"/>
                <w:szCs w:val="14"/>
                <w:b w:val="1"/>
                <w:bCs w:val="1"/>
                <w:color w:val="auto"/>
              </w:rPr>
              <w:t>2011</w:t>
            </w: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1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5.20x</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5.48x</w:t>
            </w: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4.85x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DEBT SECURITIES AND GUARANTEES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8" w:name="page39"/>
    <w:bookmarkEnd w:id="38"/>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39" w:name="page40"/>
    <w:bookmarkEnd w:id="39"/>
    <w:p>
      <w:pPr>
        <w:ind w:right="48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1" w:name="page42"/>
    <w:bookmarkEnd w:id="41"/>
    <w:p>
      <w:pPr>
        <w:ind w:left="680" w:hanging="216"/>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consisting of deposits of Property to secure such Obligor’s statutory obligations in the ordinary course of our business;</w:t>
      </w:r>
    </w:p>
    <w:p>
      <w:pPr>
        <w:spacing w:after="0" w:line="171" w:lineRule="exact"/>
        <w:rPr>
          <w:rFonts w:ascii="Arial" w:cs="Arial" w:eastAsia="Arial" w:hAnsi="Arial"/>
          <w:sz w:val="18"/>
          <w:szCs w:val="18"/>
          <w:color w:val="auto"/>
        </w:rPr>
      </w:pPr>
    </w:p>
    <w:p>
      <w:pPr>
        <w:ind w:right="100" w:firstLine="464"/>
        <w:spacing w:after="0" w:line="268" w:lineRule="auto"/>
        <w:tabs>
          <w:tab w:leader="none" w:pos="7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29"/>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29"/>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2" w:name="page43"/>
    <w:bookmarkEnd w:id="4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43" w:name="page44"/>
    <w:bookmarkEnd w:id="43"/>
    <w:p>
      <w:pPr>
        <w:ind w:left="900" w:right="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4" w:name="page45"/>
    <w:bookmarkEnd w:id="4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45" w:name="page46"/>
    <w:bookmarkEnd w:id="45"/>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and the obligations of the Guarantors under the indenture with respect to the senior debt securities of any series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6" w:name="page47"/>
    <w:bookmarkEnd w:id="46"/>
    <w:p>
      <w:pPr>
        <w:ind w:left="148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2" w:lineRule="exact"/>
        <w:rPr>
          <w:sz w:val="20"/>
          <w:szCs w:val="20"/>
          <w:color w:val="auto"/>
        </w:rPr>
      </w:pPr>
    </w:p>
    <w:p>
      <w:pPr>
        <w:ind w:left="900" w:right="2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80" w:hanging="325"/>
        <w:spacing w:after="0" w:line="370"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2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6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7" w:name="page48"/>
    <w:bookmarkEnd w:id="47"/>
    <w:p>
      <w:pPr>
        <w:ind w:left="920"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9" w:lineRule="exact"/>
        <w:rPr>
          <w:sz w:val="20"/>
          <w:szCs w:val="20"/>
          <w:color w:val="auto"/>
        </w:rPr>
      </w:pPr>
    </w:p>
    <w:p>
      <w:pPr>
        <w:ind w:left="900" w:right="140" w:hanging="325"/>
        <w:spacing w:after="0" w:line="335"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7" w:lineRule="exact"/>
        <w:rPr>
          <w:rFonts w:ascii="Arial" w:cs="Arial" w:eastAsia="Arial" w:hAnsi="Arial"/>
          <w:sz w:val="15"/>
          <w:szCs w:val="15"/>
          <w:color w:val="auto"/>
        </w:rPr>
      </w:pPr>
    </w:p>
    <w:p>
      <w:pPr>
        <w:ind w:left="90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8" w:name="page49"/>
    <w:bookmarkEnd w:id="48"/>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2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49" w:name="page50"/>
    <w:bookmarkEnd w:id="4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51" w:name="page52"/>
    <w:bookmarkEnd w:id="51"/>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280" w:right="3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and holders of our Class B common stock in the aggregate hold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53" w:name="page54"/>
    <w:bookmarkEnd w:id="5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transfer agent and registrar for our Class A common stock is Wells Fargo Shareowner Services, P.O. Box 64874, St. Paul, Minnesota 55164-0874. Its telephone number is (888) 883-8903.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54" w:name="page55"/>
    <w:bookmarkEnd w:id="54"/>
    <w:p>
      <w:pPr>
        <w:ind w:left="4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56" w:name="page57"/>
    <w:bookmarkEnd w:id="5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OF CERTAIN DOCUMENTS BY REFERENCE</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74"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817880</wp:posOffset>
            </wp:positionV>
            <wp:extent cx="1397635" cy="488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$1,005,000,000 4.450% Notes due 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1038225</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234315</wp:posOffset>
            </wp:positionV>
            <wp:extent cx="15176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Joint Book-Running Managers</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Deutsche Bank AG, Taipei Branch</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Citibank Taiwan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1009015</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February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488950</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215"/>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Letter"/>
      <w:start w:val="23"/>
    </w:lvl>
  </w:abstractNum>
  <w:abstractNum w:abstractNumId="6">
    <w:nsid w:val="71F32454"/>
    <w:multiLevelType w:val="hybridMultilevel"/>
    <w:lvl w:ilvl="0">
      <w:lvlJc w:val="left"/>
      <w:lvlText w:val="%1."/>
      <w:numFmt w:val="decimal"/>
      <w:start w:val="1"/>
    </w:lvl>
    <w:lvl w:ilvl="1">
      <w:lvlJc w:val="left"/>
      <w:lvlText w:val="%2."/>
      <w:numFmt w:val="lowerLetter"/>
      <w:start w:val="1"/>
    </w:lvl>
  </w:abstractNum>
  <w:abstractNum w:abstractNumId="7">
    <w:nsid w:val="2CA88611"/>
    <w:multiLevelType w:val="hybridMultilevel"/>
    <w:lvl w:ilvl="0">
      <w:lvlJc w:val="left"/>
      <w:lvlText w:val="%1."/>
      <w:numFmt w:val="decimal"/>
      <w:start w:val="2"/>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lowerLetter"/>
      <w:start w:val="3"/>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2"/>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3"/>
    </w:lvl>
  </w:abstractNum>
  <w:abstractNum w:abstractNumId="28">
    <w:nsid w:val="2463B9EA"/>
    <w:multiLevelType w:val="hybridMultilevel"/>
    <w:lvl w:ilvl="0">
      <w:lvlJc w:val="left"/>
      <w:lvlText w:val="%1"/>
      <w:numFmt w:val="lowerLetter"/>
      <w:start w:val="1"/>
    </w:lvl>
    <w:lvl w:ilvl="1">
      <w:lvlJc w:val="left"/>
      <w:lvlText w:val="(%2)"/>
      <w:numFmt w:val="lowerLetter"/>
      <w:start w:val="12"/>
    </w:lvl>
  </w:abstractNum>
  <w:abstractNum w:abstractNumId="29">
    <w:nsid w:val="5E884ADC"/>
    <w:multiLevelType w:val="hybridMultilevel"/>
    <w:lvl w:ilvl="0">
      <w:lvlJc w:val="left"/>
      <w:lvlText w:val="(%1)"/>
      <w:numFmt w:val="lowerLetter"/>
      <w:start w:val="61"/>
    </w:lvl>
    <w:lvl w:ilvl="1">
      <w:lvlJc w:val="left"/>
      <w:lvlText w:val="(%2)"/>
      <w:numFmt w:val="lowerLetter"/>
      <w:start w:val="19"/>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
      <w:numFmt w:val="bullet"/>
      <w:start w:val="1"/>
    </w:lvl>
    <w:lvl w:ilvl="1">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lvl w:ilvl="1">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2019-12-06T17:37:42Z</dcterms:created>
  <dcterms:modified xsi:type="dcterms:W3CDTF">2019-12-06T17:37:42Z</dcterms:modified>
</cp:coreProperties>
</file>