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69"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Exchange Act of 1934</w:t>
      </w:r>
    </w:p>
    <w:p>
      <w:pPr>
        <w:spacing w:after="0" w:line="295"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Date of report (Date of earliest event reported): March 19, 2013</w:t>
      </w:r>
    </w:p>
    <w:p>
      <w:pPr>
        <w:spacing w:after="0" w:line="26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NBCUniversal Media, LLC</w:t>
      </w:r>
    </w:p>
    <w:p>
      <w:pPr>
        <w:spacing w:after="0" w:line="76"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4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333-174175</w:t>
            </w:r>
          </w:p>
        </w:tc>
        <w:tc>
          <w:tcPr>
            <w:tcW w:w="16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14-1682529</w:t>
            </w:r>
          </w:p>
        </w:tc>
      </w:tr>
      <w:tr>
        <w:trPr>
          <w:trHeight w:val="256"/>
        </w:trPr>
        <w:tc>
          <w:tcPr>
            <w:tcW w:w="2160" w:type="dxa"/>
            <w:vAlign w:val="bottom"/>
          </w:tcPr>
          <w:p>
            <w:pPr>
              <w:jc w:val="center"/>
              <w:ind w:right="110"/>
              <w:spacing w:after="0"/>
              <w:rPr>
                <w:sz w:val="20"/>
                <w:szCs w:val="20"/>
                <w:color w:val="auto"/>
              </w:rPr>
            </w:pPr>
            <w:r>
              <w:rPr>
                <w:rFonts w:ascii="Arial" w:cs="Arial" w:eastAsia="Arial" w:hAnsi="Arial"/>
                <w:sz w:val="18"/>
                <w:szCs w:val="18"/>
                <w:color w:val="auto"/>
                <w:w w:val="91"/>
              </w:rPr>
              <w:t>(State or Other Jurisdiction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ind w:right="50"/>
              <w:spacing w:after="0"/>
              <w:rPr>
                <w:sz w:val="20"/>
                <w:szCs w:val="20"/>
                <w:color w:val="auto"/>
              </w:rPr>
            </w:pPr>
            <w:r>
              <w:rPr>
                <w:rFonts w:ascii="Arial" w:cs="Arial" w:eastAsia="Arial" w:hAnsi="Arial"/>
                <w:sz w:val="18"/>
                <w:szCs w:val="18"/>
                <w:color w:val="auto"/>
                <w:w w:val="93"/>
              </w:rPr>
              <w:t>of Incorporation)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73"/>
        </w:trPr>
        <w:tc>
          <w:tcPr>
            <w:tcW w:w="2160" w:type="dxa"/>
            <w:vAlign w:val="bottom"/>
          </w:tcPr>
          <w:p>
            <w:pPr>
              <w:spacing w:after="0"/>
              <w:rPr>
                <w:sz w:val="24"/>
                <w:szCs w:val="24"/>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30 Rockefeller Plaza, New York, New York</w:t>
            </w:r>
          </w:p>
        </w:tc>
        <w:tc>
          <w:tcPr>
            <w:tcW w:w="1660" w:type="dxa"/>
            <w:vAlign w:val="bottom"/>
          </w:tcPr>
          <w:p>
            <w:pPr>
              <w:spacing w:after="0"/>
              <w:rPr>
                <w:sz w:val="24"/>
                <w:szCs w:val="24"/>
                <w:color w:val="auto"/>
              </w:rPr>
            </w:pPr>
          </w:p>
        </w:tc>
      </w:tr>
      <w:tr>
        <w:trPr>
          <w:trHeight w:val="270"/>
        </w:trPr>
        <w:tc>
          <w:tcPr>
            <w:tcW w:w="2160" w:type="dxa"/>
            <w:vAlign w:val="bottom"/>
          </w:tcPr>
          <w:p>
            <w:pPr>
              <w:spacing w:after="0"/>
              <w:rPr>
                <w:sz w:val="23"/>
                <w:szCs w:val="23"/>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3"/>
                <w:szCs w:val="23"/>
                <w:color w:val="auto"/>
              </w:rPr>
            </w:pPr>
          </w:p>
        </w:tc>
      </w:tr>
      <w:tr>
        <w:trPr>
          <w:trHeight w:val="473"/>
        </w:trPr>
        <w:tc>
          <w:tcPr>
            <w:tcW w:w="2160" w:type="dxa"/>
            <w:vAlign w:val="bottom"/>
          </w:tcPr>
          <w:p>
            <w:pPr>
              <w:spacing w:after="0"/>
              <w:rPr>
                <w:sz w:val="24"/>
                <w:szCs w:val="24"/>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(212) 664-4444</w:t>
            </w:r>
          </w:p>
        </w:tc>
        <w:tc>
          <w:tcPr>
            <w:tcW w:w="1660" w:type="dxa"/>
            <w:vAlign w:val="bottom"/>
          </w:tcPr>
          <w:p>
            <w:pPr>
              <w:spacing w:after="0"/>
              <w:rPr>
                <w:sz w:val="24"/>
                <w:szCs w:val="24"/>
                <w:color w:val="auto"/>
              </w:rPr>
            </w:pPr>
          </w:p>
        </w:tc>
      </w:tr>
      <w:tr>
        <w:trPr>
          <w:trHeight w:val="473"/>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N/A</w:t>
            </w:r>
          </w:p>
        </w:tc>
        <w:tc>
          <w:tcPr>
            <w:tcW w:w="1660" w:type="dxa"/>
            <w:vAlign w:val="bottom"/>
          </w:tcPr>
          <w:p>
            <w:pPr>
              <w:spacing w:after="0"/>
              <w:rPr>
                <w:sz w:val="24"/>
                <w:szCs w:val="24"/>
                <w:color w:val="auto"/>
              </w:rPr>
            </w:pPr>
          </w:p>
        </w:tc>
      </w:tr>
      <w:tr>
        <w:trPr>
          <w:trHeight w:val="270"/>
        </w:trPr>
        <w:tc>
          <w:tcPr>
            <w:tcW w:w="2160" w:type="dxa"/>
            <w:vAlign w:val="bottom"/>
          </w:tcPr>
          <w:p>
            <w:pPr>
              <w:spacing w:after="0"/>
              <w:rPr>
                <w:sz w:val="23"/>
                <w:szCs w:val="23"/>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660" w:type="dxa"/>
            <w:vAlign w:val="bottom"/>
          </w:tcPr>
          <w:p>
            <w:pPr>
              <w:spacing w:after="0"/>
              <w:rPr>
                <w:sz w:val="23"/>
                <w:szCs w:val="23"/>
                <w:color w:val="auto"/>
              </w:rPr>
            </w:pPr>
          </w:p>
        </w:tc>
      </w:tr>
    </w:tbl>
    <w:p>
      <w:pPr>
        <w:spacing w:after="0" w:line="200" w:lineRule="exact"/>
        <w:rPr>
          <w:sz w:val="24"/>
          <w:szCs w:val="24"/>
          <w:color w:val="auto"/>
        </w:rPr>
      </w:pPr>
    </w:p>
    <w:p>
      <w:pPr>
        <w:spacing w:after="0" w:line="2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24"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613410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229" w:right="77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7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On March 19, 2013, we and NBCUniversal Enterprise, Inc. (“</w:t>
      </w:r>
      <w:r>
        <w:rPr>
          <w:rFonts w:ascii="Arial" w:cs="Arial" w:eastAsia="Arial" w:hAnsi="Arial"/>
          <w:sz w:val="18"/>
          <w:szCs w:val="18"/>
          <w:b w:val="1"/>
          <w:bCs w:val="1"/>
          <w:color w:val="auto"/>
        </w:rPr>
        <w:t>NBCUniversal Enterprise</w:t>
      </w:r>
      <w:r>
        <w:rPr>
          <w:rFonts w:ascii="Arial" w:cs="Arial" w:eastAsia="Arial" w:hAnsi="Arial"/>
          <w:sz w:val="18"/>
          <w:szCs w:val="18"/>
          <w:color w:val="auto"/>
        </w:rPr>
        <w:t>”) entered into an Amended and Restated Credit Agreement that, among other things, substituted NBCUniversal Enterprise for us as the sole borrower and revised the borrowing capacity of the facility to $1.35 billion, the term of the facility to March 2018 and the interest rate on borrowings. The interest rate on the credit facility consists of a base rate plus a borrowing margin that is determined based on the credit rating of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79"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On March 19, 2013, one of our subsidiaries purchased from an affiliate of General Electric Company (“</w:t>
      </w:r>
      <w:r>
        <w:rPr>
          <w:rFonts w:ascii="Arial" w:cs="Arial" w:eastAsia="Arial" w:hAnsi="Arial"/>
          <w:sz w:val="18"/>
          <w:szCs w:val="18"/>
          <w:b w:val="1"/>
          <w:bCs w:val="1"/>
          <w:color w:val="auto"/>
        </w:rPr>
        <w:t>GE</w:t>
      </w:r>
      <w:r>
        <w:rPr>
          <w:rFonts w:ascii="Arial" w:cs="Arial" w:eastAsia="Arial" w:hAnsi="Arial"/>
          <w:sz w:val="18"/>
          <w:szCs w:val="18"/>
          <w:color w:val="auto"/>
        </w:rPr>
        <w:t>”) certain properties occupied by us at 30 Rockefeller Plaza, New York, New York. Our previously announced purchase of CNBC’s headquarters in Englewood Cliffs, New Jersey was completed on February 28, 2013. The aggregate purchase price for these transactions was approximately $1.4 billion.</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8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March 19, 2013, as part of our cash management process, we and Comcast entered into matching revolving credit notes due March 15, 2023 (the “</w:t>
      </w:r>
      <w:r>
        <w:rPr>
          <w:rFonts w:ascii="Arial" w:cs="Arial" w:eastAsia="Arial" w:hAnsi="Arial"/>
          <w:sz w:val="17"/>
          <w:szCs w:val="17"/>
          <w:b w:val="1"/>
          <w:bCs w:val="1"/>
          <w:color w:val="auto"/>
        </w:rPr>
        <w:t>Revolving Credit Notes</w:t>
      </w:r>
      <w:r>
        <w:rPr>
          <w:rFonts w:ascii="Arial" w:cs="Arial" w:eastAsia="Arial" w:hAnsi="Arial"/>
          <w:sz w:val="17"/>
          <w:szCs w:val="17"/>
          <w:color w:val="auto"/>
        </w:rPr>
        <w:t>”), under which we can borrow up to $3 billion from Comcast and Comcast can borrow up to $3 billion from us. The Revolving Credit Notes bear interest at floating rates designed to mirror the interest rate calculation under Comcast’s revolving credit facility. The interest rate on Comcast’s credit facility consists of a base rate plus a borrowing margin that is determined based on its credit rating.</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On March 19, 2013, Comcast completed its acquisition of the 49% common equity interest in our parent company, NBCUniversal, LLC (“</w:t>
      </w:r>
      <w:r>
        <w:rPr>
          <w:rFonts w:ascii="Arial" w:cs="Arial" w:eastAsia="Arial" w:hAnsi="Arial"/>
          <w:sz w:val="18"/>
          <w:szCs w:val="18"/>
          <w:b w:val="1"/>
          <w:bCs w:val="1"/>
          <w:color w:val="auto"/>
        </w:rPr>
        <w:t>NBCUniversal Holdings</w:t>
      </w:r>
      <w:r>
        <w:rPr>
          <w:rFonts w:ascii="Arial" w:cs="Arial" w:eastAsia="Arial" w:hAnsi="Arial"/>
          <w:sz w:val="18"/>
          <w:szCs w:val="18"/>
          <w:color w:val="auto"/>
        </w:rPr>
        <w:t>”), which was previously held by GE, for approximately $16.7 billion.</w:t>
      </w:r>
    </w:p>
    <w:p>
      <w:pPr>
        <w:spacing w:after="0" w:line="224"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NBCUniversal Holdings owns 100% of our equity. NBCUniversal Enterprise owns 4% of the common units and all of the preferred units of NBCUniversal Holdings, and Comcast owns the remaining 96% of the common units of NBCUniversal Holdings indirectly through subsidiaries other than NBCUniversal Enterprise. Comcast controls NBCUniversal Enterprise and owns all of NBCUniversal Enterprise’s capital stock other than its preferred stock. In connection with Comcast's acquisition of the 49% common equity interest in our parent company, a subsidiary of GE received all of NBCUniversal Enterprise’s preferred stock but has agreed to sell it in a private placement to unaffiliated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3"/>
          </w:tcPr>
          <w:p>
            <w:pPr>
              <w:ind w:left="1900"/>
              <w:spacing w:after="0"/>
              <w:rPr>
                <w:sz w:val="20"/>
                <w:szCs w:val="20"/>
                <w:color w:val="auto"/>
              </w:rPr>
            </w:pPr>
            <w:r>
              <w:rPr>
                <w:rFonts w:ascii="Arial" w:cs="Arial" w:eastAsia="Arial" w:hAnsi="Arial"/>
                <w:sz w:val="18"/>
                <w:szCs w:val="18"/>
                <w:color w:val="auto"/>
              </w:rPr>
              <w:t>NBCUNIVERSAL MEDIA, LLC</w:t>
            </w:r>
          </w:p>
        </w:tc>
      </w:tr>
      <w:tr>
        <w:trPr>
          <w:trHeight w:val="655"/>
        </w:trPr>
        <w:tc>
          <w:tcPr>
            <w:tcW w:w="3740" w:type="dxa"/>
            <w:vAlign w:val="bottom"/>
          </w:tcPr>
          <w:p>
            <w:pPr>
              <w:spacing w:after="0"/>
              <w:rPr>
                <w:sz w:val="20"/>
                <w:szCs w:val="20"/>
                <w:color w:val="auto"/>
              </w:rPr>
            </w:pPr>
            <w:r>
              <w:rPr>
                <w:rFonts w:ascii="Arial" w:cs="Arial" w:eastAsia="Arial" w:hAnsi="Arial"/>
                <w:sz w:val="18"/>
                <w:szCs w:val="18"/>
                <w:color w:val="auto"/>
              </w:rPr>
              <w:t>Date:   March 19, 2013</w:t>
            </w:r>
          </w:p>
        </w:tc>
        <w:tc>
          <w:tcPr>
            <w:tcW w:w="7680" w:type="dxa"/>
            <w:vAlign w:val="bottom"/>
            <w:gridSpan w:val="3"/>
          </w:tcPr>
          <w:p>
            <w:pPr>
              <w:ind w:left="1900"/>
              <w:spacing w:after="0"/>
              <w:rPr>
                <w:sz w:val="20"/>
                <w:szCs w:val="20"/>
                <w:color w:val="auto"/>
              </w:rPr>
            </w:pPr>
            <w:r>
              <w:rPr>
                <w:rFonts w:ascii="Arial" w:cs="Arial" w:eastAsia="Arial" w:hAnsi="Arial"/>
                <w:sz w:val="18"/>
                <w:szCs w:val="18"/>
                <w:color w:val="auto"/>
              </w:rPr>
              <w:t>By:    /s/ Arthur R. Block</w:t>
            </w:r>
          </w:p>
        </w:tc>
      </w:tr>
      <w:tr>
        <w:trPr>
          <w:trHeight w:val="202"/>
        </w:trPr>
        <w:tc>
          <w:tcPr>
            <w:tcW w:w="3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00" w:type="dxa"/>
            <w:vAlign w:val="bottom"/>
            <w:tcBorders>
              <w:top w:val="single" w:sz="8" w:color="BFBFBF"/>
            </w:tcBorders>
          </w:tcPr>
          <w:p>
            <w:pPr>
              <w:spacing w:after="0" w:line="201"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BFBFBF"/>
            </w:tcBorders>
          </w:tcPr>
          <w:p>
            <w:pPr>
              <w:ind w:left="220"/>
              <w:spacing w:after="0" w:line="201" w:lineRule="exact"/>
              <w:rPr>
                <w:sz w:val="20"/>
                <w:szCs w:val="20"/>
                <w:color w:val="auto"/>
              </w:rPr>
            </w:pPr>
            <w:r>
              <w:rPr>
                <w:rFonts w:ascii="Arial" w:cs="Arial" w:eastAsia="Arial" w:hAnsi="Arial"/>
                <w:sz w:val="18"/>
                <w:szCs w:val="18"/>
                <w:color w:val="auto"/>
              </w:rPr>
              <w:t>Arthur R. Block</w:t>
            </w:r>
          </w:p>
        </w:tc>
      </w:tr>
      <w:tr>
        <w:trPr>
          <w:trHeight w:val="230"/>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220"/>
              <w:spacing w:after="0"/>
              <w:rPr>
                <w:sz w:val="20"/>
                <w:szCs w:val="20"/>
                <w:color w:val="auto"/>
              </w:rPr>
            </w:pPr>
            <w:r>
              <w:rPr>
                <w:rFonts w:ascii="Arial" w:cs="Arial" w:eastAsia="Arial" w:hAnsi="Arial"/>
                <w:sz w:val="18"/>
                <w:szCs w:val="18"/>
                <w:color w:val="auto"/>
              </w:rPr>
              <w:t>Senior Vice President</w:t>
            </w:r>
          </w:p>
        </w:tc>
      </w:tr>
    </w:tbl>
    <w:p>
      <w:pPr>
        <w:spacing w:after="0" w:line="1" w:lineRule="exact"/>
        <w:rPr>
          <w:sz w:val="20"/>
          <w:szCs w:val="20"/>
          <w:color w:val="auto"/>
        </w:rPr>
      </w:pPr>
    </w:p>
    <w:sectPr>
      <w:pgSz w:w="11900" w:h="16838" w:orient="portrait"/>
      <w:cols w:equalWidth="0" w:num="1">
        <w:col w:w="11420"/>
      </w:cols>
      <w:pgMar w:left="240" w:top="5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2019-12-06T09:30:15Z</dcterms:created>
  <dcterms:modified xsi:type="dcterms:W3CDTF">2019-12-06T09:30:15Z</dcterms:modified>
</cp:coreProperties>
</file>