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Filed Pursuant to Rule 433</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Registration Statement Number 333-132750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July 11, 2006</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20" w:type="dxa"/>
            <w:vAlign w:val="bottom"/>
          </w:tcPr>
          <w:p>
            <w:pPr>
              <w:spacing w:after="0"/>
              <w:rPr>
                <w:sz w:val="18"/>
                <w:szCs w:val="18"/>
                <w:color w:val="auto"/>
              </w:rPr>
            </w:pPr>
          </w:p>
        </w:tc>
        <w:tc>
          <w:tcPr>
            <w:tcW w:w="8800" w:type="dxa"/>
            <w:vAlign w:val="bottom"/>
          </w:tcPr>
          <w:p>
            <w:pPr>
              <w:jc w:val="center"/>
              <w:ind w:right="2510"/>
              <w:spacing w:after="0"/>
              <w:rPr>
                <w:sz w:val="20"/>
                <w:szCs w:val="20"/>
                <w:color w:val="auto"/>
              </w:rPr>
            </w:pPr>
            <w:r>
              <w:rPr>
                <w:rFonts w:ascii="Arial" w:cs="Arial" w:eastAsia="Arial" w:hAnsi="Arial"/>
                <w:sz w:val="18"/>
                <w:szCs w:val="18"/>
                <w:b w:val="1"/>
                <w:bCs w:val="1"/>
                <w:color w:val="auto"/>
              </w:rPr>
              <w:t>COMCAST CORPORATION</w:t>
            </w:r>
          </w:p>
        </w:tc>
      </w:tr>
      <w:tr>
        <w:trPr>
          <w:trHeight w:val="216"/>
        </w:trPr>
        <w:tc>
          <w:tcPr>
            <w:tcW w:w="2620" w:type="dxa"/>
            <w:vAlign w:val="bottom"/>
          </w:tcPr>
          <w:p>
            <w:pPr>
              <w:spacing w:after="0"/>
              <w:rPr>
                <w:sz w:val="18"/>
                <w:szCs w:val="18"/>
                <w:color w:val="auto"/>
              </w:rPr>
            </w:pPr>
          </w:p>
        </w:tc>
        <w:tc>
          <w:tcPr>
            <w:tcW w:w="8800" w:type="dxa"/>
            <w:vAlign w:val="bottom"/>
          </w:tcPr>
          <w:p>
            <w:pPr>
              <w:jc w:val="center"/>
              <w:ind w:right="2530"/>
              <w:spacing w:after="0"/>
              <w:rPr>
                <w:sz w:val="20"/>
                <w:szCs w:val="20"/>
                <w:color w:val="auto"/>
              </w:rPr>
            </w:pPr>
            <w:r>
              <w:rPr>
                <w:rFonts w:ascii="Arial" w:cs="Arial" w:eastAsia="Arial" w:hAnsi="Arial"/>
                <w:sz w:val="18"/>
                <w:szCs w:val="18"/>
                <w:b w:val="1"/>
                <w:bCs w:val="1"/>
                <w:color w:val="auto"/>
                <w:w w:val="96"/>
              </w:rPr>
              <w:t>$1,250,000,000 FLOATING RATE NOTES DUE 2009</w:t>
            </w:r>
          </w:p>
        </w:tc>
      </w:tr>
      <w:tr>
        <w:trPr>
          <w:trHeight w:val="234"/>
        </w:trPr>
        <w:tc>
          <w:tcPr>
            <w:tcW w:w="2620" w:type="dxa"/>
            <w:vAlign w:val="bottom"/>
          </w:tcPr>
          <w:p>
            <w:pPr>
              <w:spacing w:after="0"/>
              <w:rPr>
                <w:sz w:val="20"/>
                <w:szCs w:val="20"/>
                <w:color w:val="auto"/>
              </w:rPr>
            </w:pPr>
          </w:p>
        </w:tc>
        <w:tc>
          <w:tcPr>
            <w:tcW w:w="8800" w:type="dxa"/>
            <w:vAlign w:val="bottom"/>
          </w:tcPr>
          <w:p>
            <w:pPr>
              <w:jc w:val="center"/>
              <w:ind w:right="2530"/>
              <w:spacing w:after="0"/>
              <w:rPr>
                <w:sz w:val="20"/>
                <w:szCs w:val="20"/>
                <w:color w:val="auto"/>
              </w:rPr>
            </w:pPr>
            <w:r>
              <w:rPr>
                <w:rFonts w:ascii="Arial" w:cs="Arial" w:eastAsia="Arial" w:hAnsi="Arial"/>
                <w:sz w:val="18"/>
                <w:szCs w:val="18"/>
                <w:b w:val="1"/>
                <w:bCs w:val="1"/>
                <w:color w:val="auto"/>
                <w:w w:val="93"/>
              </w:rPr>
              <w:t>$1,000,000,000 6.50% NOTES DUE 2017</w:t>
            </w:r>
          </w:p>
        </w:tc>
      </w:tr>
      <w:tr>
        <w:trPr>
          <w:trHeight w:val="540"/>
        </w:trPr>
        <w:tc>
          <w:tcPr>
            <w:tcW w:w="2620" w:type="dxa"/>
            <w:vAlign w:val="bottom"/>
          </w:tcPr>
          <w:p>
            <w:pPr>
              <w:spacing w:after="0"/>
              <w:rPr>
                <w:sz w:val="24"/>
                <w:szCs w:val="24"/>
                <w:color w:val="auto"/>
              </w:rPr>
            </w:pPr>
          </w:p>
        </w:tc>
        <w:tc>
          <w:tcPr>
            <w:tcW w:w="8800" w:type="dxa"/>
            <w:vAlign w:val="bottom"/>
          </w:tcPr>
          <w:p>
            <w:pPr>
              <w:jc w:val="center"/>
              <w:ind w:right="2510"/>
              <w:spacing w:after="0"/>
              <w:rPr>
                <w:sz w:val="20"/>
                <w:szCs w:val="20"/>
                <w:color w:val="auto"/>
              </w:rPr>
            </w:pPr>
            <w:r>
              <w:rPr>
                <w:rFonts w:ascii="Arial" w:cs="Arial" w:eastAsia="Arial" w:hAnsi="Arial"/>
                <w:sz w:val="18"/>
                <w:szCs w:val="18"/>
                <w:b w:val="1"/>
                <w:bCs w:val="1"/>
                <w:color w:val="auto"/>
                <w:w w:val="90"/>
              </w:rPr>
              <w:t>Final Term Sheet</w:t>
            </w:r>
          </w:p>
        </w:tc>
      </w:tr>
      <w:tr>
        <w:trPr>
          <w:trHeight w:val="432"/>
        </w:trPr>
        <w:tc>
          <w:tcPr>
            <w:tcW w:w="2620" w:type="dxa"/>
            <w:vAlign w:val="bottom"/>
          </w:tcPr>
          <w:p>
            <w:pPr>
              <w:spacing w:after="0"/>
              <w:rPr>
                <w:sz w:val="20"/>
                <w:szCs w:val="20"/>
                <w:color w:val="auto"/>
              </w:rPr>
            </w:pPr>
            <w:r>
              <w:rPr>
                <w:rFonts w:ascii="Arial" w:cs="Arial" w:eastAsia="Arial" w:hAnsi="Arial"/>
                <w:sz w:val="18"/>
                <w:szCs w:val="18"/>
                <w:b w:val="1"/>
                <w:bCs w:val="1"/>
                <w:color w:val="auto"/>
              </w:rPr>
              <w:t>Issuer:</w:t>
            </w:r>
          </w:p>
        </w:tc>
        <w:tc>
          <w:tcPr>
            <w:tcW w:w="8800" w:type="dxa"/>
            <w:vAlign w:val="bottom"/>
          </w:tcPr>
          <w:p>
            <w:pPr>
              <w:ind w:left="1380"/>
              <w:spacing w:after="0"/>
              <w:rPr>
                <w:sz w:val="20"/>
                <w:szCs w:val="20"/>
                <w:color w:val="auto"/>
              </w:rPr>
            </w:pPr>
            <w:r>
              <w:rPr>
                <w:rFonts w:ascii="Arial" w:cs="Arial" w:eastAsia="Arial" w:hAnsi="Arial"/>
                <w:sz w:val="18"/>
                <w:szCs w:val="18"/>
                <w:color w:val="auto"/>
              </w:rPr>
              <w:t>Comcast Corporation (the “</w:t>
            </w:r>
            <w:r>
              <w:rPr>
                <w:rFonts w:ascii="Arial" w:cs="Arial" w:eastAsia="Arial" w:hAnsi="Arial"/>
                <w:sz w:val="18"/>
                <w:szCs w:val="18"/>
                <w:b w:val="1"/>
                <w:bCs w:val="1"/>
                <w:color w:val="auto"/>
              </w:rPr>
              <w:t>Company</w:t>
            </w:r>
            <w:r>
              <w:rPr>
                <w:rFonts w:ascii="Arial" w:cs="Arial" w:eastAsia="Arial" w:hAnsi="Arial"/>
                <w:sz w:val="18"/>
                <w:szCs w:val="18"/>
                <w:color w:val="auto"/>
              </w:rPr>
              <w:t>”)</w:t>
            </w:r>
          </w:p>
        </w:tc>
      </w:tr>
      <w:tr>
        <w:trPr>
          <w:trHeight w:val="418"/>
        </w:trPr>
        <w:tc>
          <w:tcPr>
            <w:tcW w:w="2620" w:type="dxa"/>
            <w:vAlign w:val="bottom"/>
          </w:tcPr>
          <w:p>
            <w:pPr>
              <w:spacing w:after="0"/>
              <w:rPr>
                <w:sz w:val="20"/>
                <w:szCs w:val="20"/>
                <w:color w:val="auto"/>
              </w:rPr>
            </w:pPr>
            <w:r>
              <w:rPr>
                <w:rFonts w:ascii="Arial" w:cs="Arial" w:eastAsia="Arial" w:hAnsi="Arial"/>
                <w:sz w:val="18"/>
                <w:szCs w:val="18"/>
                <w:b w:val="1"/>
                <w:bCs w:val="1"/>
                <w:color w:val="auto"/>
              </w:rPr>
              <w:t>Guarantors:</w:t>
            </w:r>
          </w:p>
        </w:tc>
        <w:tc>
          <w:tcPr>
            <w:tcW w:w="8800" w:type="dxa"/>
            <w:vAlign w:val="bottom"/>
          </w:tcPr>
          <w:p>
            <w:pPr>
              <w:ind w:left="1380"/>
              <w:spacing w:after="0"/>
              <w:rPr>
                <w:sz w:val="20"/>
                <w:szCs w:val="20"/>
                <w:color w:val="auto"/>
              </w:rPr>
            </w:pPr>
            <w:r>
              <w:rPr>
                <w:rFonts w:ascii="Arial" w:cs="Arial" w:eastAsia="Arial" w:hAnsi="Arial"/>
                <w:sz w:val="18"/>
                <w:szCs w:val="18"/>
                <w:color w:val="auto"/>
              </w:rPr>
              <w:t>Comcast Cable Communications, LLC</w:t>
            </w:r>
          </w:p>
        </w:tc>
      </w:tr>
      <w:tr>
        <w:trPr>
          <w:trHeight w:val="216"/>
        </w:trPr>
        <w:tc>
          <w:tcPr>
            <w:tcW w:w="2620" w:type="dxa"/>
            <w:vAlign w:val="bottom"/>
          </w:tcPr>
          <w:p>
            <w:pPr>
              <w:spacing w:after="0"/>
              <w:rPr>
                <w:sz w:val="18"/>
                <w:szCs w:val="18"/>
                <w:color w:val="auto"/>
              </w:rPr>
            </w:pPr>
          </w:p>
        </w:tc>
        <w:tc>
          <w:tcPr>
            <w:tcW w:w="8800" w:type="dxa"/>
            <w:vAlign w:val="bottom"/>
          </w:tcPr>
          <w:p>
            <w:pPr>
              <w:ind w:left="1380"/>
              <w:spacing w:after="0"/>
              <w:rPr>
                <w:sz w:val="20"/>
                <w:szCs w:val="20"/>
                <w:color w:val="auto"/>
              </w:rPr>
            </w:pPr>
            <w:r>
              <w:rPr>
                <w:rFonts w:ascii="Arial" w:cs="Arial" w:eastAsia="Arial" w:hAnsi="Arial"/>
                <w:sz w:val="18"/>
                <w:szCs w:val="18"/>
                <w:color w:val="auto"/>
              </w:rPr>
              <w:t>Comcast Cable Communications Holdings, Inc.</w:t>
            </w:r>
          </w:p>
        </w:tc>
      </w:tr>
      <w:tr>
        <w:trPr>
          <w:trHeight w:val="216"/>
        </w:trPr>
        <w:tc>
          <w:tcPr>
            <w:tcW w:w="2620" w:type="dxa"/>
            <w:vAlign w:val="bottom"/>
          </w:tcPr>
          <w:p>
            <w:pPr>
              <w:spacing w:after="0"/>
              <w:rPr>
                <w:sz w:val="18"/>
                <w:szCs w:val="18"/>
                <w:color w:val="auto"/>
              </w:rPr>
            </w:pPr>
          </w:p>
        </w:tc>
        <w:tc>
          <w:tcPr>
            <w:tcW w:w="8800" w:type="dxa"/>
            <w:vAlign w:val="bottom"/>
          </w:tcPr>
          <w:p>
            <w:pPr>
              <w:ind w:left="1380"/>
              <w:spacing w:after="0"/>
              <w:rPr>
                <w:sz w:val="20"/>
                <w:szCs w:val="20"/>
                <w:color w:val="auto"/>
              </w:rPr>
            </w:pPr>
            <w:r>
              <w:rPr>
                <w:rFonts w:ascii="Arial" w:cs="Arial" w:eastAsia="Arial" w:hAnsi="Arial"/>
                <w:sz w:val="18"/>
                <w:szCs w:val="18"/>
                <w:color w:val="auto"/>
              </w:rPr>
              <w:t>Comcast Cable Holdings, LLC</w:t>
            </w:r>
          </w:p>
        </w:tc>
      </w:tr>
      <w:tr>
        <w:trPr>
          <w:trHeight w:val="216"/>
        </w:trPr>
        <w:tc>
          <w:tcPr>
            <w:tcW w:w="2620" w:type="dxa"/>
            <w:vAlign w:val="bottom"/>
          </w:tcPr>
          <w:p>
            <w:pPr>
              <w:spacing w:after="0"/>
              <w:rPr>
                <w:sz w:val="18"/>
                <w:szCs w:val="18"/>
                <w:color w:val="auto"/>
              </w:rPr>
            </w:pPr>
          </w:p>
        </w:tc>
        <w:tc>
          <w:tcPr>
            <w:tcW w:w="8800" w:type="dxa"/>
            <w:vAlign w:val="bottom"/>
          </w:tcPr>
          <w:p>
            <w:pPr>
              <w:ind w:left="1380"/>
              <w:spacing w:after="0"/>
              <w:rPr>
                <w:sz w:val="20"/>
                <w:szCs w:val="20"/>
                <w:color w:val="auto"/>
              </w:rPr>
            </w:pPr>
            <w:r>
              <w:rPr>
                <w:rFonts w:ascii="Arial" w:cs="Arial" w:eastAsia="Arial" w:hAnsi="Arial"/>
                <w:sz w:val="18"/>
                <w:szCs w:val="18"/>
                <w:color w:val="auto"/>
              </w:rPr>
              <w:t>Comcast MO Group, Inc.</w:t>
            </w:r>
          </w:p>
        </w:tc>
      </w:tr>
      <w:tr>
        <w:trPr>
          <w:trHeight w:val="230"/>
        </w:trPr>
        <w:tc>
          <w:tcPr>
            <w:tcW w:w="2620" w:type="dxa"/>
            <w:vAlign w:val="bottom"/>
          </w:tcPr>
          <w:p>
            <w:pPr>
              <w:spacing w:after="0"/>
              <w:rPr>
                <w:sz w:val="20"/>
                <w:szCs w:val="20"/>
                <w:color w:val="auto"/>
              </w:rPr>
            </w:pPr>
          </w:p>
        </w:tc>
        <w:tc>
          <w:tcPr>
            <w:tcW w:w="8800" w:type="dxa"/>
            <w:vAlign w:val="bottom"/>
          </w:tcPr>
          <w:p>
            <w:pPr>
              <w:ind w:left="1380"/>
              <w:spacing w:after="0"/>
              <w:rPr>
                <w:sz w:val="20"/>
                <w:szCs w:val="20"/>
                <w:color w:val="auto"/>
              </w:rPr>
            </w:pPr>
            <w:r>
              <w:rPr>
                <w:rFonts w:ascii="Arial" w:cs="Arial" w:eastAsia="Arial" w:hAnsi="Arial"/>
                <w:sz w:val="18"/>
                <w:szCs w:val="18"/>
                <w:color w:val="auto"/>
              </w:rPr>
              <w:t>Comcast MO of Delaware, LLC</w:t>
            </w:r>
          </w:p>
        </w:tc>
      </w:tr>
      <w:tr>
        <w:trPr>
          <w:trHeight w:val="432"/>
        </w:trPr>
        <w:tc>
          <w:tcPr>
            <w:tcW w:w="2620" w:type="dxa"/>
            <w:vAlign w:val="bottom"/>
          </w:tcPr>
          <w:p>
            <w:pPr>
              <w:spacing w:after="0"/>
              <w:rPr>
                <w:sz w:val="20"/>
                <w:szCs w:val="20"/>
                <w:color w:val="auto"/>
              </w:rPr>
            </w:pPr>
            <w:r>
              <w:rPr>
                <w:rFonts w:ascii="Arial" w:cs="Arial" w:eastAsia="Arial" w:hAnsi="Arial"/>
                <w:sz w:val="18"/>
                <w:szCs w:val="18"/>
                <w:b w:val="1"/>
                <w:bCs w:val="1"/>
                <w:color w:val="auto"/>
              </w:rPr>
              <w:t>Issue of Securities:</w:t>
            </w:r>
          </w:p>
        </w:tc>
        <w:tc>
          <w:tcPr>
            <w:tcW w:w="8800" w:type="dxa"/>
            <w:vAlign w:val="bottom"/>
          </w:tcPr>
          <w:p>
            <w:pPr>
              <w:ind w:left="1380"/>
              <w:spacing w:after="0"/>
              <w:rPr>
                <w:sz w:val="20"/>
                <w:szCs w:val="20"/>
                <w:color w:val="auto"/>
              </w:rPr>
            </w:pPr>
            <w:r>
              <w:rPr>
                <w:rFonts w:ascii="Arial" w:cs="Arial" w:eastAsia="Arial" w:hAnsi="Arial"/>
                <w:sz w:val="18"/>
                <w:szCs w:val="18"/>
                <w:color w:val="auto"/>
              </w:rPr>
              <w:t>Floating Rate Notes due 2009</w:t>
            </w:r>
          </w:p>
        </w:tc>
      </w:tr>
      <w:tr>
        <w:trPr>
          <w:trHeight w:val="405"/>
        </w:trPr>
        <w:tc>
          <w:tcPr>
            <w:tcW w:w="2620" w:type="dxa"/>
            <w:vAlign w:val="bottom"/>
          </w:tcPr>
          <w:p>
            <w:pPr>
              <w:spacing w:after="0"/>
              <w:rPr>
                <w:sz w:val="24"/>
                <w:szCs w:val="24"/>
                <w:color w:val="auto"/>
              </w:rPr>
            </w:pPr>
          </w:p>
        </w:tc>
        <w:tc>
          <w:tcPr>
            <w:tcW w:w="8800" w:type="dxa"/>
            <w:vAlign w:val="bottom"/>
          </w:tcPr>
          <w:p>
            <w:pPr>
              <w:ind w:left="1380"/>
              <w:spacing w:after="0"/>
              <w:rPr>
                <w:sz w:val="20"/>
                <w:szCs w:val="20"/>
                <w:color w:val="auto"/>
              </w:rPr>
            </w:pPr>
            <w:r>
              <w:rPr>
                <w:rFonts w:ascii="Arial" w:cs="Arial" w:eastAsia="Arial" w:hAnsi="Arial"/>
                <w:sz w:val="18"/>
                <w:szCs w:val="18"/>
                <w:color w:val="auto"/>
              </w:rPr>
              <w:t>6.50% Notes due 2017</w:t>
            </w:r>
          </w:p>
        </w:tc>
      </w:tr>
      <w:tr>
        <w:trPr>
          <w:trHeight w:val="419"/>
        </w:trPr>
        <w:tc>
          <w:tcPr>
            <w:tcW w:w="2620" w:type="dxa"/>
            <w:vAlign w:val="bottom"/>
          </w:tcPr>
          <w:p>
            <w:pPr>
              <w:spacing w:after="0"/>
              <w:rPr>
                <w:sz w:val="20"/>
                <w:szCs w:val="20"/>
                <w:color w:val="auto"/>
              </w:rPr>
            </w:pPr>
            <w:r>
              <w:rPr>
                <w:rFonts w:ascii="Arial" w:cs="Arial" w:eastAsia="Arial" w:hAnsi="Arial"/>
                <w:sz w:val="18"/>
                <w:szCs w:val="18"/>
                <w:b w:val="1"/>
                <w:bCs w:val="1"/>
                <w:color w:val="auto"/>
              </w:rPr>
              <w:t>Denomination:</w:t>
            </w:r>
          </w:p>
        </w:tc>
        <w:tc>
          <w:tcPr>
            <w:tcW w:w="8800" w:type="dxa"/>
            <w:vAlign w:val="bottom"/>
          </w:tcPr>
          <w:p>
            <w:pPr>
              <w:ind w:left="1380"/>
              <w:spacing w:after="0"/>
              <w:rPr>
                <w:sz w:val="20"/>
                <w:szCs w:val="20"/>
                <w:color w:val="auto"/>
              </w:rPr>
            </w:pPr>
            <w:r>
              <w:rPr>
                <w:rFonts w:ascii="Arial" w:cs="Arial" w:eastAsia="Arial" w:hAnsi="Arial"/>
                <w:sz w:val="18"/>
                <w:szCs w:val="18"/>
                <w:color w:val="auto"/>
              </w:rPr>
              <w:t>$1,000 and multiples thereof</w:t>
            </w:r>
          </w:p>
        </w:tc>
      </w:tr>
      <w:tr>
        <w:trPr>
          <w:trHeight w:val="414"/>
        </w:trPr>
        <w:tc>
          <w:tcPr>
            <w:tcW w:w="2620" w:type="dxa"/>
            <w:vAlign w:val="bottom"/>
          </w:tcPr>
          <w:p>
            <w:pPr>
              <w:spacing w:after="0"/>
              <w:rPr>
                <w:sz w:val="20"/>
                <w:szCs w:val="20"/>
                <w:color w:val="auto"/>
              </w:rPr>
            </w:pPr>
            <w:r>
              <w:rPr>
                <w:rFonts w:ascii="Arial" w:cs="Arial" w:eastAsia="Arial" w:hAnsi="Arial"/>
                <w:sz w:val="18"/>
                <w:szCs w:val="18"/>
                <w:b w:val="1"/>
                <w:bCs w:val="1"/>
                <w:color w:val="auto"/>
              </w:rPr>
              <w:t>Indenture:</w:t>
            </w:r>
          </w:p>
        </w:tc>
        <w:tc>
          <w:tcPr>
            <w:tcW w:w="8800" w:type="dxa"/>
            <w:vAlign w:val="bottom"/>
          </w:tcPr>
          <w:p>
            <w:pPr>
              <w:ind w:left="1380"/>
              <w:spacing w:after="0"/>
              <w:rPr>
                <w:sz w:val="20"/>
                <w:szCs w:val="20"/>
                <w:color w:val="auto"/>
              </w:rPr>
            </w:pPr>
            <w:r>
              <w:rPr>
                <w:rFonts w:ascii="Arial" w:cs="Arial" w:eastAsia="Arial" w:hAnsi="Arial"/>
                <w:sz w:val="18"/>
                <w:szCs w:val="18"/>
                <w:color w:val="auto"/>
                <w:w w:val="91"/>
              </w:rPr>
              <w:t>Indenture dated as of January 7, 2003 by and among the Company, the Cable Guarantors (other than</w:t>
            </w:r>
          </w:p>
        </w:tc>
      </w:tr>
      <w:tr>
        <w:trPr>
          <w:trHeight w:val="220"/>
        </w:trPr>
        <w:tc>
          <w:tcPr>
            <w:tcW w:w="2620" w:type="dxa"/>
            <w:vAlign w:val="bottom"/>
          </w:tcPr>
          <w:p>
            <w:pPr>
              <w:spacing w:after="0"/>
              <w:rPr>
                <w:sz w:val="19"/>
                <w:szCs w:val="19"/>
                <w:color w:val="auto"/>
              </w:rPr>
            </w:pPr>
          </w:p>
        </w:tc>
        <w:tc>
          <w:tcPr>
            <w:tcW w:w="8800" w:type="dxa"/>
            <w:vAlign w:val="bottom"/>
          </w:tcPr>
          <w:p>
            <w:pPr>
              <w:ind w:left="1380"/>
              <w:spacing w:after="0"/>
              <w:rPr>
                <w:sz w:val="20"/>
                <w:szCs w:val="20"/>
                <w:color w:val="auto"/>
              </w:rPr>
            </w:pPr>
            <w:r>
              <w:rPr>
                <w:rFonts w:ascii="Arial" w:cs="Arial" w:eastAsia="Arial" w:hAnsi="Arial"/>
                <w:sz w:val="18"/>
                <w:szCs w:val="18"/>
                <w:color w:val="auto"/>
                <w:w w:val="92"/>
              </w:rPr>
              <w:t>Comcast MO of Delaware, LLC) and the Bank of New York, as Trustee (the “</w:t>
            </w:r>
            <w:r>
              <w:rPr>
                <w:rFonts w:ascii="Arial" w:cs="Arial" w:eastAsia="Arial" w:hAnsi="Arial"/>
                <w:sz w:val="18"/>
                <w:szCs w:val="18"/>
                <w:b w:val="1"/>
                <w:bCs w:val="1"/>
                <w:color w:val="auto"/>
                <w:w w:val="92"/>
              </w:rPr>
              <w:t>Trustee</w:t>
            </w:r>
            <w:r>
              <w:rPr>
                <w:rFonts w:ascii="Arial" w:cs="Arial" w:eastAsia="Arial" w:hAnsi="Arial"/>
                <w:sz w:val="18"/>
                <w:szCs w:val="18"/>
                <w:color w:val="auto"/>
                <w:w w:val="92"/>
              </w:rPr>
              <w:t>”), as amended</w:t>
            </w:r>
          </w:p>
        </w:tc>
      </w:tr>
      <w:tr>
        <w:trPr>
          <w:trHeight w:val="216"/>
        </w:trPr>
        <w:tc>
          <w:tcPr>
            <w:tcW w:w="2620" w:type="dxa"/>
            <w:vAlign w:val="bottom"/>
          </w:tcPr>
          <w:p>
            <w:pPr>
              <w:spacing w:after="0"/>
              <w:rPr>
                <w:sz w:val="18"/>
                <w:szCs w:val="18"/>
                <w:color w:val="auto"/>
              </w:rPr>
            </w:pPr>
          </w:p>
        </w:tc>
        <w:tc>
          <w:tcPr>
            <w:tcW w:w="8800" w:type="dxa"/>
            <w:vAlign w:val="bottom"/>
          </w:tcPr>
          <w:p>
            <w:pPr>
              <w:ind w:left="1380"/>
              <w:spacing w:after="0"/>
              <w:rPr>
                <w:sz w:val="20"/>
                <w:szCs w:val="20"/>
                <w:color w:val="auto"/>
              </w:rPr>
            </w:pPr>
            <w:r>
              <w:rPr>
                <w:rFonts w:ascii="Arial" w:cs="Arial" w:eastAsia="Arial" w:hAnsi="Arial"/>
                <w:sz w:val="18"/>
                <w:szCs w:val="18"/>
                <w:color w:val="auto"/>
                <w:w w:val="95"/>
              </w:rPr>
              <w:t>by the First Supplemental Indenture dated as of March 25, 2003 by and among the Company, the</w:t>
            </w:r>
          </w:p>
        </w:tc>
      </w:tr>
      <w:tr>
        <w:trPr>
          <w:trHeight w:val="230"/>
        </w:trPr>
        <w:tc>
          <w:tcPr>
            <w:tcW w:w="2620" w:type="dxa"/>
            <w:vAlign w:val="bottom"/>
          </w:tcPr>
          <w:p>
            <w:pPr>
              <w:spacing w:after="0"/>
              <w:rPr>
                <w:sz w:val="20"/>
                <w:szCs w:val="20"/>
                <w:color w:val="auto"/>
              </w:rPr>
            </w:pPr>
          </w:p>
        </w:tc>
        <w:tc>
          <w:tcPr>
            <w:tcW w:w="8800" w:type="dxa"/>
            <w:vAlign w:val="bottom"/>
          </w:tcPr>
          <w:p>
            <w:pPr>
              <w:ind w:left="1380"/>
              <w:spacing w:after="0"/>
              <w:rPr>
                <w:sz w:val="20"/>
                <w:szCs w:val="20"/>
                <w:color w:val="auto"/>
              </w:rPr>
            </w:pPr>
            <w:r>
              <w:rPr>
                <w:rFonts w:ascii="Arial" w:cs="Arial" w:eastAsia="Arial" w:hAnsi="Arial"/>
                <w:sz w:val="18"/>
                <w:szCs w:val="18"/>
                <w:color w:val="auto"/>
              </w:rPr>
              <w:t>Cable Guarantors and the Trustee</w:t>
            </w:r>
          </w:p>
        </w:tc>
      </w:tr>
      <w:tr>
        <w:trPr>
          <w:trHeight w:val="432"/>
        </w:trPr>
        <w:tc>
          <w:tcPr>
            <w:tcW w:w="2620" w:type="dxa"/>
            <w:vAlign w:val="bottom"/>
          </w:tcPr>
          <w:p>
            <w:pPr>
              <w:spacing w:after="0"/>
              <w:rPr>
                <w:sz w:val="20"/>
                <w:szCs w:val="20"/>
                <w:color w:val="auto"/>
              </w:rPr>
            </w:pPr>
            <w:r>
              <w:rPr>
                <w:rFonts w:ascii="Arial" w:cs="Arial" w:eastAsia="Arial" w:hAnsi="Arial"/>
                <w:sz w:val="18"/>
                <w:szCs w:val="18"/>
                <w:b w:val="1"/>
                <w:bCs w:val="1"/>
                <w:color w:val="auto"/>
              </w:rPr>
              <w:t>Trustee:</w:t>
            </w:r>
          </w:p>
        </w:tc>
        <w:tc>
          <w:tcPr>
            <w:tcW w:w="8800" w:type="dxa"/>
            <w:vAlign w:val="bottom"/>
          </w:tcPr>
          <w:p>
            <w:pPr>
              <w:ind w:left="1380"/>
              <w:spacing w:after="0"/>
              <w:rPr>
                <w:sz w:val="20"/>
                <w:szCs w:val="20"/>
                <w:color w:val="auto"/>
              </w:rPr>
            </w:pPr>
            <w:r>
              <w:rPr>
                <w:rFonts w:ascii="Arial" w:cs="Arial" w:eastAsia="Arial" w:hAnsi="Arial"/>
                <w:sz w:val="18"/>
                <w:szCs w:val="18"/>
                <w:color w:val="auto"/>
              </w:rPr>
              <w:t>The Bank of New York</w:t>
            </w:r>
          </w:p>
        </w:tc>
      </w:tr>
      <w:tr>
        <w:trPr>
          <w:trHeight w:val="432"/>
        </w:trPr>
        <w:tc>
          <w:tcPr>
            <w:tcW w:w="2620" w:type="dxa"/>
            <w:vAlign w:val="bottom"/>
          </w:tcPr>
          <w:p>
            <w:pPr>
              <w:spacing w:after="0"/>
              <w:rPr>
                <w:sz w:val="20"/>
                <w:szCs w:val="20"/>
                <w:color w:val="auto"/>
              </w:rPr>
            </w:pPr>
            <w:r>
              <w:rPr>
                <w:rFonts w:ascii="Arial" w:cs="Arial" w:eastAsia="Arial" w:hAnsi="Arial"/>
                <w:sz w:val="18"/>
                <w:szCs w:val="18"/>
                <w:b w:val="1"/>
                <w:bCs w:val="1"/>
                <w:color w:val="auto"/>
              </w:rPr>
              <w:t>Expected Ratings:</w:t>
            </w:r>
          </w:p>
        </w:tc>
        <w:tc>
          <w:tcPr>
            <w:tcW w:w="8800" w:type="dxa"/>
            <w:vAlign w:val="bottom"/>
          </w:tcPr>
          <w:p>
            <w:pPr>
              <w:ind w:left="1380"/>
              <w:spacing w:after="0"/>
              <w:rPr>
                <w:sz w:val="20"/>
                <w:szCs w:val="20"/>
                <w:color w:val="auto"/>
              </w:rPr>
            </w:pPr>
            <w:r>
              <w:rPr>
                <w:rFonts w:ascii="Arial" w:cs="Arial" w:eastAsia="Arial" w:hAnsi="Arial"/>
                <w:sz w:val="18"/>
                <w:szCs w:val="18"/>
                <w:color w:val="auto"/>
              </w:rPr>
              <w:t>Moody’s: Baa2; S&amp;P: BBB+; Fitch: BBB+</w:t>
            </w:r>
          </w:p>
        </w:tc>
      </w:tr>
      <w:tr>
        <w:trPr>
          <w:trHeight w:val="414"/>
        </w:trPr>
        <w:tc>
          <w:tcPr>
            <w:tcW w:w="2620" w:type="dxa"/>
            <w:vAlign w:val="bottom"/>
          </w:tcPr>
          <w:p>
            <w:pPr>
              <w:spacing w:after="0"/>
              <w:rPr>
                <w:sz w:val="20"/>
                <w:szCs w:val="20"/>
                <w:color w:val="auto"/>
              </w:rPr>
            </w:pPr>
            <w:r>
              <w:rPr>
                <w:rFonts w:ascii="Arial" w:cs="Arial" w:eastAsia="Arial" w:hAnsi="Arial"/>
                <w:sz w:val="18"/>
                <w:szCs w:val="18"/>
                <w:b w:val="1"/>
                <w:bCs w:val="1"/>
                <w:color w:val="auto"/>
              </w:rPr>
              <w:t>Joint Book-Running</w:t>
            </w:r>
          </w:p>
        </w:tc>
        <w:tc>
          <w:tcPr>
            <w:tcW w:w="8800" w:type="dxa"/>
            <w:vAlign w:val="bottom"/>
          </w:tcPr>
          <w:p>
            <w:pPr>
              <w:ind w:left="1380"/>
              <w:spacing w:after="0"/>
              <w:rPr>
                <w:sz w:val="20"/>
                <w:szCs w:val="20"/>
                <w:color w:val="auto"/>
              </w:rPr>
            </w:pPr>
            <w:r>
              <w:rPr>
                <w:rFonts w:ascii="Arial" w:cs="Arial" w:eastAsia="Arial" w:hAnsi="Arial"/>
                <w:sz w:val="18"/>
                <w:szCs w:val="18"/>
                <w:color w:val="auto"/>
              </w:rPr>
              <w:t>Lehman Brothers Inc.</w:t>
            </w:r>
          </w:p>
        </w:tc>
      </w:tr>
      <w:tr>
        <w:trPr>
          <w:trHeight w:val="220"/>
        </w:trPr>
        <w:tc>
          <w:tcPr>
            <w:tcW w:w="2620" w:type="dxa"/>
            <w:vAlign w:val="bottom"/>
          </w:tcPr>
          <w:p>
            <w:pPr>
              <w:spacing w:after="0"/>
              <w:rPr>
                <w:sz w:val="20"/>
                <w:szCs w:val="20"/>
                <w:color w:val="auto"/>
              </w:rPr>
            </w:pPr>
            <w:r>
              <w:rPr>
                <w:rFonts w:ascii="Arial" w:cs="Arial" w:eastAsia="Arial" w:hAnsi="Arial"/>
                <w:sz w:val="18"/>
                <w:szCs w:val="18"/>
                <w:b w:val="1"/>
                <w:bCs w:val="1"/>
                <w:color w:val="auto"/>
              </w:rPr>
              <w:t>Managers:</w:t>
            </w:r>
          </w:p>
        </w:tc>
        <w:tc>
          <w:tcPr>
            <w:tcW w:w="8800" w:type="dxa"/>
            <w:vAlign w:val="bottom"/>
          </w:tcPr>
          <w:p>
            <w:pPr>
              <w:ind w:left="1380"/>
              <w:spacing w:after="0"/>
              <w:rPr>
                <w:sz w:val="20"/>
                <w:szCs w:val="20"/>
                <w:color w:val="auto"/>
              </w:rPr>
            </w:pPr>
            <w:r>
              <w:rPr>
                <w:rFonts w:ascii="Arial" w:cs="Arial" w:eastAsia="Arial" w:hAnsi="Arial"/>
                <w:sz w:val="18"/>
                <w:szCs w:val="18"/>
                <w:color w:val="auto"/>
              </w:rPr>
              <w:t>Morgan Stanley &amp; Co. Incorporated</w:t>
            </w:r>
          </w:p>
        </w:tc>
      </w:tr>
      <w:tr>
        <w:trPr>
          <w:trHeight w:val="230"/>
        </w:trPr>
        <w:tc>
          <w:tcPr>
            <w:tcW w:w="2620" w:type="dxa"/>
            <w:vAlign w:val="bottom"/>
          </w:tcPr>
          <w:p>
            <w:pPr>
              <w:spacing w:after="0"/>
              <w:rPr>
                <w:sz w:val="20"/>
                <w:szCs w:val="20"/>
                <w:color w:val="auto"/>
              </w:rPr>
            </w:pPr>
          </w:p>
        </w:tc>
        <w:tc>
          <w:tcPr>
            <w:tcW w:w="8800" w:type="dxa"/>
            <w:vAlign w:val="bottom"/>
          </w:tcPr>
          <w:p>
            <w:pPr>
              <w:ind w:left="1380"/>
              <w:spacing w:after="0"/>
              <w:rPr>
                <w:sz w:val="20"/>
                <w:szCs w:val="20"/>
                <w:color w:val="auto"/>
              </w:rPr>
            </w:pPr>
            <w:r>
              <w:rPr>
                <w:rFonts w:ascii="Arial" w:cs="Arial" w:eastAsia="Arial" w:hAnsi="Arial"/>
                <w:sz w:val="18"/>
                <w:szCs w:val="18"/>
                <w:color w:val="auto"/>
              </w:rPr>
              <w:t>Greenwich Capital Markets, Inc.</w:t>
            </w:r>
          </w:p>
        </w:tc>
      </w:tr>
      <w:tr>
        <w:trPr>
          <w:trHeight w:val="632"/>
        </w:trPr>
        <w:tc>
          <w:tcPr>
            <w:tcW w:w="2620" w:type="dxa"/>
            <w:vAlign w:val="bottom"/>
            <w:tcBorders>
              <w:bottom w:val="single" w:sz="8" w:color="808080"/>
            </w:tcBorders>
          </w:tcPr>
          <w:p>
            <w:pPr>
              <w:spacing w:after="0"/>
              <w:rPr>
                <w:sz w:val="24"/>
                <w:szCs w:val="24"/>
                <w:color w:val="auto"/>
              </w:rPr>
            </w:pPr>
          </w:p>
        </w:tc>
        <w:tc>
          <w:tcPr>
            <w:tcW w:w="88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0"/>
        </w:trPr>
        <w:tc>
          <w:tcPr>
            <w:tcW w:w="2880" w:type="dxa"/>
            <w:vAlign w:val="bottom"/>
            <w:gridSpan w:val="2"/>
          </w:tcPr>
          <w:p>
            <w:pPr>
              <w:spacing w:after="0"/>
              <w:rPr>
                <w:sz w:val="20"/>
                <w:szCs w:val="20"/>
                <w:color w:val="auto"/>
              </w:rPr>
            </w:pPr>
            <w:r>
              <w:rPr>
                <w:rFonts w:ascii="Arial" w:cs="Arial" w:eastAsia="Arial" w:hAnsi="Arial"/>
                <w:sz w:val="18"/>
                <w:szCs w:val="18"/>
                <w:b w:val="1"/>
                <w:bCs w:val="1"/>
                <w:color w:val="auto"/>
              </w:rPr>
              <w:t>Co-Managers:</w:t>
            </w:r>
          </w:p>
        </w:tc>
        <w:tc>
          <w:tcPr>
            <w:tcW w:w="8540" w:type="dxa"/>
            <w:vAlign w:val="bottom"/>
          </w:tcPr>
          <w:p>
            <w:pPr>
              <w:ind w:left="1120"/>
              <w:spacing w:after="0"/>
              <w:rPr>
                <w:sz w:val="20"/>
                <w:szCs w:val="20"/>
                <w:color w:val="auto"/>
              </w:rPr>
            </w:pPr>
            <w:r>
              <w:rPr>
                <w:rFonts w:ascii="Arial" w:cs="Arial" w:eastAsia="Arial" w:hAnsi="Arial"/>
                <w:sz w:val="18"/>
                <w:szCs w:val="18"/>
                <w:color w:val="auto"/>
              </w:rPr>
              <w:t>Banc of America Securities LLC</w:t>
            </w:r>
          </w:p>
        </w:tc>
      </w:tr>
      <w:tr>
        <w:trPr>
          <w:trHeight w:val="216"/>
        </w:trPr>
        <w:tc>
          <w:tcPr>
            <w:tcW w:w="1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540" w:type="dxa"/>
            <w:vAlign w:val="bottom"/>
          </w:tcPr>
          <w:p>
            <w:pPr>
              <w:ind w:left="1120"/>
              <w:spacing w:after="0"/>
              <w:rPr>
                <w:sz w:val="20"/>
                <w:szCs w:val="20"/>
                <w:color w:val="auto"/>
              </w:rPr>
            </w:pPr>
            <w:r>
              <w:rPr>
                <w:rFonts w:ascii="Arial" w:cs="Arial" w:eastAsia="Arial" w:hAnsi="Arial"/>
                <w:sz w:val="18"/>
                <w:szCs w:val="18"/>
                <w:color w:val="auto"/>
              </w:rPr>
              <w:t>Barclays Capital Inc.</w:t>
            </w:r>
          </w:p>
        </w:tc>
      </w:tr>
      <w:tr>
        <w:trPr>
          <w:trHeight w:val="216"/>
        </w:trPr>
        <w:tc>
          <w:tcPr>
            <w:tcW w:w="1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540" w:type="dxa"/>
            <w:vAlign w:val="bottom"/>
          </w:tcPr>
          <w:p>
            <w:pPr>
              <w:ind w:left="1120"/>
              <w:spacing w:after="0"/>
              <w:rPr>
                <w:sz w:val="20"/>
                <w:szCs w:val="20"/>
                <w:color w:val="auto"/>
              </w:rPr>
            </w:pPr>
            <w:r>
              <w:rPr>
                <w:rFonts w:ascii="Arial" w:cs="Arial" w:eastAsia="Arial" w:hAnsi="Arial"/>
                <w:sz w:val="18"/>
                <w:szCs w:val="18"/>
                <w:color w:val="auto"/>
              </w:rPr>
              <w:t>BNP Paribas Securities Corp.</w:t>
            </w:r>
          </w:p>
        </w:tc>
      </w:tr>
      <w:tr>
        <w:trPr>
          <w:trHeight w:val="216"/>
        </w:trPr>
        <w:tc>
          <w:tcPr>
            <w:tcW w:w="1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540" w:type="dxa"/>
            <w:vAlign w:val="bottom"/>
          </w:tcPr>
          <w:p>
            <w:pPr>
              <w:ind w:left="1120"/>
              <w:spacing w:after="0"/>
              <w:rPr>
                <w:sz w:val="20"/>
                <w:szCs w:val="20"/>
                <w:color w:val="auto"/>
              </w:rPr>
            </w:pPr>
            <w:r>
              <w:rPr>
                <w:rFonts w:ascii="Arial" w:cs="Arial" w:eastAsia="Arial" w:hAnsi="Arial"/>
                <w:sz w:val="18"/>
                <w:szCs w:val="18"/>
                <w:color w:val="auto"/>
              </w:rPr>
              <w:t>Citigroup Global Markets Inc.</w:t>
            </w:r>
          </w:p>
        </w:tc>
      </w:tr>
      <w:tr>
        <w:trPr>
          <w:trHeight w:val="216"/>
        </w:trPr>
        <w:tc>
          <w:tcPr>
            <w:tcW w:w="1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540" w:type="dxa"/>
            <w:vAlign w:val="bottom"/>
          </w:tcPr>
          <w:p>
            <w:pPr>
              <w:ind w:left="1120"/>
              <w:spacing w:after="0"/>
              <w:rPr>
                <w:sz w:val="20"/>
                <w:szCs w:val="20"/>
                <w:color w:val="auto"/>
              </w:rPr>
            </w:pPr>
            <w:r>
              <w:rPr>
                <w:rFonts w:ascii="Arial" w:cs="Arial" w:eastAsia="Arial" w:hAnsi="Arial"/>
                <w:sz w:val="18"/>
                <w:szCs w:val="18"/>
                <w:color w:val="auto"/>
              </w:rPr>
              <w:t>Daiwa Securities America Inc.</w:t>
            </w:r>
          </w:p>
        </w:tc>
      </w:tr>
      <w:tr>
        <w:trPr>
          <w:trHeight w:val="216"/>
        </w:trPr>
        <w:tc>
          <w:tcPr>
            <w:tcW w:w="1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540" w:type="dxa"/>
            <w:vAlign w:val="bottom"/>
          </w:tcPr>
          <w:p>
            <w:pPr>
              <w:ind w:left="1120"/>
              <w:spacing w:after="0"/>
              <w:rPr>
                <w:sz w:val="20"/>
                <w:szCs w:val="20"/>
                <w:color w:val="auto"/>
              </w:rPr>
            </w:pPr>
            <w:r>
              <w:rPr>
                <w:rFonts w:ascii="Arial" w:cs="Arial" w:eastAsia="Arial" w:hAnsi="Arial"/>
                <w:sz w:val="18"/>
                <w:szCs w:val="18"/>
                <w:color w:val="auto"/>
              </w:rPr>
              <w:t>Deutsche Bank Securities Inc.</w:t>
            </w:r>
          </w:p>
        </w:tc>
      </w:tr>
      <w:tr>
        <w:trPr>
          <w:trHeight w:val="216"/>
        </w:trPr>
        <w:tc>
          <w:tcPr>
            <w:tcW w:w="1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540" w:type="dxa"/>
            <w:vAlign w:val="bottom"/>
          </w:tcPr>
          <w:p>
            <w:pPr>
              <w:ind w:left="1120"/>
              <w:spacing w:after="0"/>
              <w:rPr>
                <w:sz w:val="20"/>
                <w:szCs w:val="20"/>
                <w:color w:val="auto"/>
              </w:rPr>
            </w:pPr>
            <w:r>
              <w:rPr>
                <w:rFonts w:ascii="Arial" w:cs="Arial" w:eastAsia="Arial" w:hAnsi="Arial"/>
                <w:sz w:val="18"/>
                <w:szCs w:val="18"/>
                <w:color w:val="auto"/>
              </w:rPr>
              <w:t>Goldman, Sachs &amp; Co.</w:t>
            </w:r>
          </w:p>
        </w:tc>
      </w:tr>
      <w:tr>
        <w:trPr>
          <w:trHeight w:val="216"/>
        </w:trPr>
        <w:tc>
          <w:tcPr>
            <w:tcW w:w="1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540" w:type="dxa"/>
            <w:vAlign w:val="bottom"/>
          </w:tcPr>
          <w:p>
            <w:pPr>
              <w:ind w:left="1120"/>
              <w:spacing w:after="0"/>
              <w:rPr>
                <w:sz w:val="20"/>
                <w:szCs w:val="20"/>
                <w:color w:val="auto"/>
              </w:rPr>
            </w:pPr>
            <w:r>
              <w:rPr>
                <w:rFonts w:ascii="Arial" w:cs="Arial" w:eastAsia="Arial" w:hAnsi="Arial"/>
                <w:sz w:val="18"/>
                <w:szCs w:val="18"/>
                <w:color w:val="auto"/>
              </w:rPr>
              <w:t>J.P. Morgan Securities Inc.</w:t>
            </w:r>
          </w:p>
        </w:tc>
      </w:tr>
      <w:tr>
        <w:trPr>
          <w:trHeight w:val="216"/>
        </w:trPr>
        <w:tc>
          <w:tcPr>
            <w:tcW w:w="1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540" w:type="dxa"/>
            <w:vAlign w:val="bottom"/>
          </w:tcPr>
          <w:p>
            <w:pPr>
              <w:ind w:left="1120"/>
              <w:spacing w:after="0"/>
              <w:rPr>
                <w:sz w:val="20"/>
                <w:szCs w:val="20"/>
                <w:color w:val="auto"/>
              </w:rPr>
            </w:pPr>
            <w:r>
              <w:rPr>
                <w:rFonts w:ascii="Arial" w:cs="Arial" w:eastAsia="Arial" w:hAnsi="Arial"/>
                <w:sz w:val="18"/>
                <w:szCs w:val="18"/>
                <w:color w:val="auto"/>
              </w:rPr>
              <w:t>LaSalle Financial Services, Inc.</w:t>
            </w:r>
          </w:p>
        </w:tc>
      </w:tr>
      <w:tr>
        <w:trPr>
          <w:trHeight w:val="216"/>
        </w:trPr>
        <w:tc>
          <w:tcPr>
            <w:tcW w:w="1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540" w:type="dxa"/>
            <w:vAlign w:val="bottom"/>
          </w:tcPr>
          <w:p>
            <w:pPr>
              <w:ind w:left="1120"/>
              <w:spacing w:after="0"/>
              <w:rPr>
                <w:sz w:val="20"/>
                <w:szCs w:val="20"/>
                <w:color w:val="auto"/>
              </w:rPr>
            </w:pPr>
            <w:r>
              <w:rPr>
                <w:rFonts w:ascii="Arial" w:cs="Arial" w:eastAsia="Arial" w:hAnsi="Arial"/>
                <w:sz w:val="18"/>
                <w:szCs w:val="18"/>
                <w:color w:val="auto"/>
              </w:rPr>
              <w:t>Lazard Capital Markets LLC</w:t>
            </w:r>
          </w:p>
        </w:tc>
      </w:tr>
      <w:tr>
        <w:trPr>
          <w:trHeight w:val="216"/>
        </w:trPr>
        <w:tc>
          <w:tcPr>
            <w:tcW w:w="1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540" w:type="dxa"/>
            <w:vAlign w:val="bottom"/>
          </w:tcPr>
          <w:p>
            <w:pPr>
              <w:ind w:left="1120"/>
              <w:spacing w:after="0"/>
              <w:rPr>
                <w:sz w:val="20"/>
                <w:szCs w:val="20"/>
                <w:color w:val="auto"/>
              </w:rPr>
            </w:pPr>
            <w:r>
              <w:rPr>
                <w:rFonts w:ascii="Arial" w:cs="Arial" w:eastAsia="Arial" w:hAnsi="Arial"/>
                <w:sz w:val="18"/>
                <w:szCs w:val="18"/>
                <w:color w:val="auto"/>
              </w:rPr>
              <w:t>Merrill Lynch, Pierce, Fenner &amp; Smith</w:t>
            </w:r>
          </w:p>
        </w:tc>
      </w:tr>
      <w:tr>
        <w:trPr>
          <w:trHeight w:val="216"/>
        </w:trPr>
        <w:tc>
          <w:tcPr>
            <w:tcW w:w="1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540" w:type="dxa"/>
            <w:vAlign w:val="bottom"/>
          </w:tcPr>
          <w:p>
            <w:pPr>
              <w:ind w:left="2080"/>
              <w:spacing w:after="0"/>
              <w:rPr>
                <w:sz w:val="20"/>
                <w:szCs w:val="20"/>
                <w:color w:val="auto"/>
              </w:rPr>
            </w:pPr>
            <w:r>
              <w:rPr>
                <w:rFonts w:ascii="Arial" w:cs="Arial" w:eastAsia="Arial" w:hAnsi="Arial"/>
                <w:sz w:val="18"/>
                <w:szCs w:val="18"/>
                <w:color w:val="auto"/>
              </w:rPr>
              <w:t>Incorporated</w:t>
            </w:r>
          </w:p>
        </w:tc>
      </w:tr>
      <w:tr>
        <w:trPr>
          <w:trHeight w:val="216"/>
        </w:trPr>
        <w:tc>
          <w:tcPr>
            <w:tcW w:w="1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540" w:type="dxa"/>
            <w:vAlign w:val="bottom"/>
          </w:tcPr>
          <w:p>
            <w:pPr>
              <w:ind w:left="1120"/>
              <w:spacing w:after="0"/>
              <w:rPr>
                <w:sz w:val="20"/>
                <w:szCs w:val="20"/>
                <w:color w:val="auto"/>
              </w:rPr>
            </w:pPr>
            <w:r>
              <w:rPr>
                <w:rFonts w:ascii="Arial" w:cs="Arial" w:eastAsia="Arial" w:hAnsi="Arial"/>
                <w:sz w:val="18"/>
                <w:szCs w:val="18"/>
                <w:color w:val="auto"/>
              </w:rPr>
              <w:t>UBS Securities LLC</w:t>
            </w:r>
          </w:p>
        </w:tc>
      </w:tr>
      <w:tr>
        <w:trPr>
          <w:trHeight w:val="216"/>
        </w:trPr>
        <w:tc>
          <w:tcPr>
            <w:tcW w:w="1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540" w:type="dxa"/>
            <w:vAlign w:val="bottom"/>
          </w:tcPr>
          <w:p>
            <w:pPr>
              <w:ind w:left="1120"/>
              <w:spacing w:after="0"/>
              <w:rPr>
                <w:sz w:val="20"/>
                <w:szCs w:val="20"/>
                <w:color w:val="auto"/>
              </w:rPr>
            </w:pPr>
            <w:r>
              <w:rPr>
                <w:rFonts w:ascii="Arial" w:cs="Arial" w:eastAsia="Arial" w:hAnsi="Arial"/>
                <w:sz w:val="18"/>
                <w:szCs w:val="18"/>
                <w:color w:val="auto"/>
              </w:rPr>
              <w:t>Wachovia Capital Markets, LLC</w:t>
            </w:r>
          </w:p>
        </w:tc>
      </w:tr>
      <w:tr>
        <w:trPr>
          <w:trHeight w:val="216"/>
        </w:trPr>
        <w:tc>
          <w:tcPr>
            <w:tcW w:w="1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540" w:type="dxa"/>
            <w:vAlign w:val="bottom"/>
          </w:tcPr>
          <w:p>
            <w:pPr>
              <w:ind w:left="1120"/>
              <w:spacing w:after="0"/>
              <w:rPr>
                <w:sz w:val="20"/>
                <w:szCs w:val="20"/>
                <w:color w:val="auto"/>
              </w:rPr>
            </w:pPr>
            <w:r>
              <w:rPr>
                <w:rFonts w:ascii="Arial" w:cs="Arial" w:eastAsia="Arial" w:hAnsi="Arial"/>
                <w:sz w:val="18"/>
                <w:szCs w:val="18"/>
                <w:color w:val="auto"/>
              </w:rPr>
              <w:t>BNY Capital Markets, Inc.</w:t>
            </w:r>
          </w:p>
        </w:tc>
      </w:tr>
      <w:tr>
        <w:trPr>
          <w:trHeight w:val="230"/>
        </w:trPr>
        <w:tc>
          <w:tcPr>
            <w:tcW w:w="1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540" w:type="dxa"/>
            <w:vAlign w:val="bottom"/>
          </w:tcPr>
          <w:p>
            <w:pPr>
              <w:ind w:left="1120"/>
              <w:spacing w:after="0"/>
              <w:rPr>
                <w:sz w:val="20"/>
                <w:szCs w:val="20"/>
                <w:color w:val="auto"/>
              </w:rPr>
            </w:pPr>
            <w:r>
              <w:rPr>
                <w:rFonts w:ascii="Arial" w:cs="Arial" w:eastAsia="Arial" w:hAnsi="Arial"/>
                <w:sz w:val="18"/>
                <w:szCs w:val="18"/>
                <w:color w:val="auto"/>
              </w:rPr>
              <w:t>SunTrust Capital Markets, Inc.</w:t>
            </w:r>
          </w:p>
        </w:tc>
      </w:tr>
      <w:tr>
        <w:trPr>
          <w:trHeight w:val="418"/>
        </w:trPr>
        <w:tc>
          <w:tcPr>
            <w:tcW w:w="2880" w:type="dxa"/>
            <w:vAlign w:val="bottom"/>
            <w:gridSpan w:val="2"/>
          </w:tcPr>
          <w:p>
            <w:pPr>
              <w:spacing w:after="0"/>
              <w:rPr>
                <w:sz w:val="20"/>
                <w:szCs w:val="20"/>
                <w:color w:val="auto"/>
              </w:rPr>
            </w:pPr>
            <w:r>
              <w:rPr>
                <w:rFonts w:ascii="Arial" w:cs="Arial" w:eastAsia="Arial" w:hAnsi="Arial"/>
                <w:sz w:val="18"/>
                <w:szCs w:val="18"/>
                <w:b w:val="1"/>
                <w:bCs w:val="1"/>
                <w:color w:val="auto"/>
              </w:rPr>
              <w:t>Junior Co-Managers:</w:t>
            </w:r>
          </w:p>
        </w:tc>
        <w:tc>
          <w:tcPr>
            <w:tcW w:w="8540" w:type="dxa"/>
            <w:vAlign w:val="bottom"/>
          </w:tcPr>
          <w:p>
            <w:pPr>
              <w:ind w:left="1120"/>
              <w:spacing w:after="0"/>
              <w:rPr>
                <w:sz w:val="20"/>
                <w:szCs w:val="20"/>
                <w:color w:val="auto"/>
              </w:rPr>
            </w:pPr>
            <w:r>
              <w:rPr>
                <w:rFonts w:ascii="Arial" w:cs="Arial" w:eastAsia="Arial" w:hAnsi="Arial"/>
                <w:sz w:val="18"/>
                <w:szCs w:val="18"/>
                <w:color w:val="auto"/>
              </w:rPr>
              <w:t>Guzman &amp; Company</w:t>
            </w:r>
          </w:p>
        </w:tc>
      </w:tr>
      <w:tr>
        <w:trPr>
          <w:trHeight w:val="216"/>
        </w:trPr>
        <w:tc>
          <w:tcPr>
            <w:tcW w:w="1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540" w:type="dxa"/>
            <w:vAlign w:val="bottom"/>
          </w:tcPr>
          <w:p>
            <w:pPr>
              <w:ind w:left="1120"/>
              <w:spacing w:after="0"/>
              <w:rPr>
                <w:sz w:val="20"/>
                <w:szCs w:val="20"/>
                <w:color w:val="auto"/>
              </w:rPr>
            </w:pPr>
            <w:r>
              <w:rPr>
                <w:rFonts w:ascii="Arial" w:cs="Arial" w:eastAsia="Arial" w:hAnsi="Arial"/>
                <w:sz w:val="18"/>
                <w:szCs w:val="18"/>
                <w:color w:val="auto"/>
              </w:rPr>
              <w:t>Samuel A. Ramirez &amp; Co., Inc.</w:t>
            </w:r>
          </w:p>
        </w:tc>
      </w:tr>
      <w:tr>
        <w:trPr>
          <w:trHeight w:val="216"/>
        </w:trPr>
        <w:tc>
          <w:tcPr>
            <w:tcW w:w="1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540" w:type="dxa"/>
            <w:vAlign w:val="bottom"/>
          </w:tcPr>
          <w:p>
            <w:pPr>
              <w:ind w:left="1120"/>
              <w:spacing w:after="0"/>
              <w:rPr>
                <w:sz w:val="20"/>
                <w:szCs w:val="20"/>
                <w:color w:val="auto"/>
              </w:rPr>
            </w:pPr>
            <w:r>
              <w:rPr>
                <w:rFonts w:ascii="Arial" w:cs="Arial" w:eastAsia="Arial" w:hAnsi="Arial"/>
                <w:sz w:val="18"/>
                <w:szCs w:val="18"/>
                <w:color w:val="auto"/>
              </w:rPr>
              <w:t>The Williams Capital Group, L.P.</w:t>
            </w:r>
          </w:p>
        </w:tc>
      </w:tr>
      <w:tr>
        <w:trPr>
          <w:trHeight w:val="216"/>
        </w:trPr>
        <w:tc>
          <w:tcPr>
            <w:tcW w:w="1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540" w:type="dxa"/>
            <w:vAlign w:val="bottom"/>
          </w:tcPr>
          <w:p>
            <w:pPr>
              <w:ind w:left="1120"/>
              <w:spacing w:after="0"/>
              <w:rPr>
                <w:sz w:val="20"/>
                <w:szCs w:val="20"/>
                <w:color w:val="auto"/>
              </w:rPr>
            </w:pPr>
            <w:r>
              <w:rPr>
                <w:rFonts w:ascii="Arial" w:cs="Arial" w:eastAsia="Arial" w:hAnsi="Arial"/>
                <w:sz w:val="18"/>
                <w:szCs w:val="18"/>
                <w:color w:val="auto"/>
              </w:rPr>
              <w:t>Cabrera Capital Markets, Inc.</w:t>
            </w:r>
          </w:p>
        </w:tc>
      </w:tr>
      <w:tr>
        <w:trPr>
          <w:trHeight w:val="230"/>
        </w:trPr>
        <w:tc>
          <w:tcPr>
            <w:tcW w:w="1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540" w:type="dxa"/>
            <w:vAlign w:val="bottom"/>
          </w:tcPr>
          <w:p>
            <w:pPr>
              <w:ind w:left="1120"/>
              <w:spacing w:after="0"/>
              <w:rPr>
                <w:sz w:val="20"/>
                <w:szCs w:val="20"/>
                <w:color w:val="auto"/>
              </w:rPr>
            </w:pPr>
            <w:r>
              <w:rPr>
                <w:rFonts w:ascii="Arial" w:cs="Arial" w:eastAsia="Arial" w:hAnsi="Arial"/>
                <w:sz w:val="18"/>
                <w:szCs w:val="18"/>
                <w:color w:val="auto"/>
              </w:rPr>
              <w:t>Loop Capital Markets, LLC</w:t>
            </w:r>
          </w:p>
        </w:tc>
      </w:tr>
      <w:tr>
        <w:trPr>
          <w:trHeight w:val="432"/>
        </w:trPr>
        <w:tc>
          <w:tcPr>
            <w:tcW w:w="2880" w:type="dxa"/>
            <w:vAlign w:val="bottom"/>
            <w:gridSpan w:val="2"/>
          </w:tcPr>
          <w:p>
            <w:pPr>
              <w:spacing w:after="0"/>
              <w:rPr>
                <w:sz w:val="20"/>
                <w:szCs w:val="20"/>
                <w:color w:val="auto"/>
              </w:rPr>
            </w:pPr>
            <w:r>
              <w:rPr>
                <w:rFonts w:ascii="Arial" w:cs="Arial" w:eastAsia="Arial" w:hAnsi="Arial"/>
                <w:sz w:val="18"/>
                <w:szCs w:val="18"/>
                <w:b w:val="1"/>
                <w:bCs w:val="1"/>
                <w:color w:val="auto"/>
              </w:rPr>
              <w:t>Trade Date:</w:t>
            </w:r>
          </w:p>
        </w:tc>
        <w:tc>
          <w:tcPr>
            <w:tcW w:w="8540" w:type="dxa"/>
            <w:vAlign w:val="bottom"/>
          </w:tcPr>
          <w:p>
            <w:pPr>
              <w:ind w:left="1120"/>
              <w:spacing w:after="0"/>
              <w:rPr>
                <w:sz w:val="20"/>
                <w:szCs w:val="20"/>
                <w:color w:val="auto"/>
              </w:rPr>
            </w:pPr>
            <w:r>
              <w:rPr>
                <w:rFonts w:ascii="Arial" w:cs="Arial" w:eastAsia="Arial" w:hAnsi="Arial"/>
                <w:sz w:val="18"/>
                <w:szCs w:val="18"/>
                <w:color w:val="auto"/>
              </w:rPr>
              <w:t>July 11, 2006</w:t>
            </w:r>
          </w:p>
        </w:tc>
      </w:tr>
      <w:tr>
        <w:trPr>
          <w:trHeight w:val="432"/>
        </w:trPr>
        <w:tc>
          <w:tcPr>
            <w:tcW w:w="2880" w:type="dxa"/>
            <w:vAlign w:val="bottom"/>
            <w:gridSpan w:val="2"/>
          </w:tcPr>
          <w:p>
            <w:pPr>
              <w:spacing w:after="0"/>
              <w:rPr>
                <w:sz w:val="20"/>
                <w:szCs w:val="20"/>
                <w:color w:val="auto"/>
              </w:rPr>
            </w:pPr>
            <w:r>
              <w:rPr>
                <w:rFonts w:ascii="Arial" w:cs="Arial" w:eastAsia="Arial" w:hAnsi="Arial"/>
                <w:sz w:val="18"/>
                <w:szCs w:val="18"/>
                <w:b w:val="1"/>
                <w:bCs w:val="1"/>
                <w:color w:val="auto"/>
              </w:rPr>
              <w:t>Settlement Date:</w:t>
            </w:r>
          </w:p>
        </w:tc>
        <w:tc>
          <w:tcPr>
            <w:tcW w:w="8540" w:type="dxa"/>
            <w:vAlign w:val="bottom"/>
          </w:tcPr>
          <w:p>
            <w:pPr>
              <w:ind w:left="1120"/>
              <w:spacing w:after="0"/>
              <w:rPr>
                <w:sz w:val="20"/>
                <w:szCs w:val="20"/>
                <w:color w:val="auto"/>
              </w:rPr>
            </w:pPr>
            <w:r>
              <w:rPr>
                <w:rFonts w:ascii="Arial" w:cs="Arial" w:eastAsia="Arial" w:hAnsi="Arial"/>
                <w:sz w:val="18"/>
                <w:szCs w:val="18"/>
                <w:color w:val="auto"/>
              </w:rPr>
              <w:t>July 14, 2006 (T+3)</w:t>
            </w:r>
          </w:p>
        </w:tc>
      </w:tr>
      <w:tr>
        <w:trPr>
          <w:trHeight w:val="392"/>
        </w:trPr>
        <w:tc>
          <w:tcPr>
            <w:tcW w:w="1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7"/>
              </w:rPr>
              <w:t>Notes Due 2009</w:t>
            </w:r>
          </w:p>
        </w:tc>
        <w:tc>
          <w:tcPr>
            <w:tcW w:w="1680" w:type="dxa"/>
            <w:vAlign w:val="bottom"/>
          </w:tcPr>
          <w:p>
            <w:pPr>
              <w:spacing w:after="0"/>
              <w:rPr>
                <w:sz w:val="24"/>
                <w:szCs w:val="24"/>
                <w:color w:val="auto"/>
              </w:rPr>
            </w:pPr>
          </w:p>
        </w:tc>
        <w:tc>
          <w:tcPr>
            <w:tcW w:w="8540" w:type="dxa"/>
            <w:vAlign w:val="bottom"/>
          </w:tcPr>
          <w:p>
            <w:pPr>
              <w:spacing w:after="0"/>
              <w:rPr>
                <w:sz w:val="24"/>
                <w:szCs w:val="24"/>
                <w:color w:val="auto"/>
              </w:rPr>
            </w:pPr>
          </w:p>
        </w:tc>
      </w:tr>
      <w:tr>
        <w:trPr>
          <w:trHeight w:val="434"/>
        </w:trPr>
        <w:tc>
          <w:tcPr>
            <w:tcW w:w="2880" w:type="dxa"/>
            <w:vAlign w:val="bottom"/>
            <w:gridSpan w:val="2"/>
          </w:tcPr>
          <w:p>
            <w:pPr>
              <w:spacing w:after="0"/>
              <w:rPr>
                <w:sz w:val="20"/>
                <w:szCs w:val="20"/>
                <w:color w:val="auto"/>
              </w:rPr>
            </w:pPr>
            <w:r>
              <w:rPr>
                <w:rFonts w:ascii="Arial" w:cs="Arial" w:eastAsia="Arial" w:hAnsi="Arial"/>
                <w:sz w:val="18"/>
                <w:szCs w:val="18"/>
                <w:b w:val="1"/>
                <w:bCs w:val="1"/>
                <w:color w:val="auto"/>
              </w:rPr>
              <w:t>Aggregate Principal</w:t>
            </w:r>
          </w:p>
        </w:tc>
        <w:tc>
          <w:tcPr>
            <w:tcW w:w="8540" w:type="dxa"/>
            <w:vAlign w:val="bottom"/>
          </w:tcPr>
          <w:p>
            <w:pPr>
              <w:ind w:left="1120"/>
              <w:spacing w:after="0"/>
              <w:rPr>
                <w:sz w:val="20"/>
                <w:szCs w:val="20"/>
                <w:color w:val="auto"/>
              </w:rPr>
            </w:pPr>
            <w:r>
              <w:rPr>
                <w:rFonts w:ascii="Arial" w:cs="Arial" w:eastAsia="Arial" w:hAnsi="Arial"/>
                <w:sz w:val="18"/>
                <w:szCs w:val="18"/>
                <w:color w:val="auto"/>
              </w:rPr>
              <w:t>$1,250,000,000</w:t>
            </w:r>
          </w:p>
        </w:tc>
      </w:tr>
      <w:tr>
        <w:trPr>
          <w:trHeight w:val="234"/>
        </w:trPr>
        <w:tc>
          <w:tcPr>
            <w:tcW w:w="2880" w:type="dxa"/>
            <w:vAlign w:val="bottom"/>
            <w:gridSpan w:val="2"/>
          </w:tcPr>
          <w:p>
            <w:pPr>
              <w:spacing w:after="0"/>
              <w:rPr>
                <w:sz w:val="20"/>
                <w:szCs w:val="20"/>
                <w:color w:val="auto"/>
              </w:rPr>
            </w:pPr>
            <w:r>
              <w:rPr>
                <w:rFonts w:ascii="Arial" w:cs="Arial" w:eastAsia="Arial" w:hAnsi="Arial"/>
                <w:sz w:val="18"/>
                <w:szCs w:val="18"/>
                <w:b w:val="1"/>
                <w:bCs w:val="1"/>
                <w:color w:val="auto"/>
              </w:rPr>
              <w:t>Amount:</w:t>
            </w:r>
          </w:p>
        </w:tc>
        <w:tc>
          <w:tcPr>
            <w:tcW w:w="8540" w:type="dxa"/>
            <w:vAlign w:val="bottom"/>
          </w:tcPr>
          <w:p>
            <w:pPr>
              <w:spacing w:after="0"/>
              <w:rPr>
                <w:sz w:val="20"/>
                <w:szCs w:val="20"/>
                <w:color w:val="auto"/>
              </w:rPr>
            </w:pPr>
          </w:p>
        </w:tc>
      </w:tr>
      <w:tr>
        <w:trPr>
          <w:trHeight w:val="432"/>
        </w:trPr>
        <w:tc>
          <w:tcPr>
            <w:tcW w:w="2880" w:type="dxa"/>
            <w:vAlign w:val="bottom"/>
            <w:gridSpan w:val="2"/>
          </w:tcPr>
          <w:p>
            <w:pPr>
              <w:spacing w:after="0"/>
              <w:rPr>
                <w:sz w:val="20"/>
                <w:szCs w:val="20"/>
                <w:color w:val="auto"/>
              </w:rPr>
            </w:pPr>
            <w:r>
              <w:rPr>
                <w:rFonts w:ascii="Arial" w:cs="Arial" w:eastAsia="Arial" w:hAnsi="Arial"/>
                <w:sz w:val="18"/>
                <w:szCs w:val="18"/>
                <w:b w:val="1"/>
                <w:bCs w:val="1"/>
                <w:color w:val="auto"/>
              </w:rPr>
              <w:t>Benchmark:</w:t>
            </w:r>
          </w:p>
        </w:tc>
        <w:tc>
          <w:tcPr>
            <w:tcW w:w="8540" w:type="dxa"/>
            <w:vAlign w:val="bottom"/>
          </w:tcPr>
          <w:p>
            <w:pPr>
              <w:ind w:left="1120"/>
              <w:spacing w:after="0"/>
              <w:rPr>
                <w:sz w:val="20"/>
                <w:szCs w:val="20"/>
                <w:color w:val="auto"/>
              </w:rPr>
            </w:pPr>
            <w:r>
              <w:rPr>
                <w:rFonts w:ascii="Arial" w:cs="Arial" w:eastAsia="Arial" w:hAnsi="Arial"/>
                <w:sz w:val="18"/>
                <w:szCs w:val="18"/>
                <w:color w:val="auto"/>
              </w:rPr>
              <w:t>3 month LIBOR</w:t>
            </w:r>
          </w:p>
        </w:tc>
      </w:tr>
      <w:tr>
        <w:trPr>
          <w:trHeight w:val="432"/>
        </w:trPr>
        <w:tc>
          <w:tcPr>
            <w:tcW w:w="2880" w:type="dxa"/>
            <w:vAlign w:val="bottom"/>
            <w:gridSpan w:val="2"/>
          </w:tcPr>
          <w:p>
            <w:pPr>
              <w:spacing w:after="0"/>
              <w:rPr>
                <w:sz w:val="20"/>
                <w:szCs w:val="20"/>
                <w:color w:val="auto"/>
              </w:rPr>
            </w:pPr>
            <w:r>
              <w:rPr>
                <w:rFonts w:ascii="Arial" w:cs="Arial" w:eastAsia="Arial" w:hAnsi="Arial"/>
                <w:sz w:val="18"/>
                <w:szCs w:val="18"/>
                <w:b w:val="1"/>
                <w:bCs w:val="1"/>
                <w:color w:val="auto"/>
              </w:rPr>
              <w:t>Spread to Benchmark:</w:t>
            </w:r>
          </w:p>
        </w:tc>
        <w:tc>
          <w:tcPr>
            <w:tcW w:w="8540" w:type="dxa"/>
            <w:vAlign w:val="bottom"/>
          </w:tcPr>
          <w:p>
            <w:pPr>
              <w:ind w:left="1120"/>
              <w:spacing w:after="0"/>
              <w:rPr>
                <w:sz w:val="20"/>
                <w:szCs w:val="20"/>
                <w:color w:val="auto"/>
              </w:rPr>
            </w:pPr>
            <w:r>
              <w:rPr>
                <w:rFonts w:ascii="Arial" w:cs="Arial" w:eastAsia="Arial" w:hAnsi="Arial"/>
                <w:sz w:val="18"/>
                <w:szCs w:val="18"/>
                <w:color w:val="auto"/>
              </w:rPr>
              <w:t>30 basis points</w:t>
            </w:r>
          </w:p>
        </w:tc>
      </w:tr>
      <w:tr>
        <w:trPr>
          <w:trHeight w:val="418"/>
        </w:trPr>
        <w:tc>
          <w:tcPr>
            <w:tcW w:w="2880" w:type="dxa"/>
            <w:vAlign w:val="bottom"/>
            <w:gridSpan w:val="2"/>
          </w:tcPr>
          <w:p>
            <w:pPr>
              <w:spacing w:after="0"/>
              <w:rPr>
                <w:sz w:val="20"/>
                <w:szCs w:val="20"/>
                <w:color w:val="auto"/>
              </w:rPr>
            </w:pPr>
            <w:r>
              <w:rPr>
                <w:rFonts w:ascii="Arial" w:cs="Arial" w:eastAsia="Arial" w:hAnsi="Arial"/>
                <w:sz w:val="18"/>
                <w:szCs w:val="18"/>
                <w:b w:val="1"/>
                <w:bCs w:val="1"/>
                <w:color w:val="auto"/>
              </w:rPr>
              <w:t>Coupon:</w:t>
            </w:r>
          </w:p>
        </w:tc>
        <w:tc>
          <w:tcPr>
            <w:tcW w:w="8540" w:type="dxa"/>
            <w:vAlign w:val="bottom"/>
          </w:tcPr>
          <w:p>
            <w:pPr>
              <w:ind w:left="1120"/>
              <w:spacing w:after="0"/>
              <w:rPr>
                <w:sz w:val="20"/>
                <w:szCs w:val="20"/>
                <w:color w:val="auto"/>
              </w:rPr>
            </w:pPr>
            <w:r>
              <w:rPr>
                <w:rFonts w:ascii="Arial" w:cs="Arial" w:eastAsia="Arial" w:hAnsi="Arial"/>
                <w:sz w:val="18"/>
                <w:szCs w:val="18"/>
                <w:color w:val="auto"/>
                <w:w w:val="93"/>
              </w:rPr>
              <w:t>The interest rate per annum will be reset quarterly on the first day of each interest period and will be</w:t>
            </w:r>
          </w:p>
        </w:tc>
      </w:tr>
      <w:tr>
        <w:trPr>
          <w:trHeight w:val="216"/>
        </w:trPr>
        <w:tc>
          <w:tcPr>
            <w:tcW w:w="1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540" w:type="dxa"/>
            <w:vAlign w:val="bottom"/>
          </w:tcPr>
          <w:p>
            <w:pPr>
              <w:ind w:left="1120"/>
              <w:spacing w:after="0"/>
              <w:rPr>
                <w:sz w:val="20"/>
                <w:szCs w:val="20"/>
                <w:color w:val="auto"/>
              </w:rPr>
            </w:pPr>
            <w:r>
              <w:rPr>
                <w:rFonts w:ascii="Arial" w:cs="Arial" w:eastAsia="Arial" w:hAnsi="Arial"/>
                <w:sz w:val="18"/>
                <w:szCs w:val="18"/>
                <w:color w:val="auto"/>
                <w:w w:val="98"/>
              </w:rPr>
              <w:t>equal to LIBOR plus 0.30%. The interest rate will in no event be higher than the maximum rate</w:t>
            </w:r>
          </w:p>
        </w:tc>
      </w:tr>
      <w:tr>
        <w:trPr>
          <w:trHeight w:val="230"/>
        </w:trPr>
        <w:tc>
          <w:tcPr>
            <w:tcW w:w="1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540" w:type="dxa"/>
            <w:vAlign w:val="bottom"/>
          </w:tcPr>
          <w:p>
            <w:pPr>
              <w:ind w:left="1120"/>
              <w:spacing w:after="0"/>
              <w:rPr>
                <w:sz w:val="20"/>
                <w:szCs w:val="20"/>
                <w:color w:val="auto"/>
              </w:rPr>
            </w:pPr>
            <w:r>
              <w:rPr>
                <w:rFonts w:ascii="Arial" w:cs="Arial" w:eastAsia="Arial" w:hAnsi="Arial"/>
                <w:sz w:val="18"/>
                <w:szCs w:val="18"/>
                <w:color w:val="auto"/>
              </w:rPr>
              <w:t>permitted by</w:t>
            </w:r>
          </w:p>
        </w:tc>
      </w:tr>
      <w:tr>
        <w:trPr>
          <w:trHeight w:val="405"/>
        </w:trPr>
        <w:tc>
          <w:tcPr>
            <w:tcW w:w="1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540" w:type="dxa"/>
            <w:vAlign w:val="bottom"/>
          </w:tcPr>
          <w:p>
            <w:pPr>
              <w:ind w:left="2780"/>
              <w:spacing w:after="0"/>
              <w:rPr>
                <w:sz w:val="20"/>
                <w:szCs w:val="20"/>
                <w:color w:val="auto"/>
              </w:rPr>
            </w:pPr>
            <w:r>
              <w:rPr>
                <w:rFonts w:ascii="Arial" w:cs="Arial" w:eastAsia="Arial" w:hAnsi="Arial"/>
                <w:sz w:val="18"/>
                <w:szCs w:val="18"/>
                <w:color w:val="auto"/>
              </w:rPr>
              <w:t>2</w:t>
            </w:r>
          </w:p>
        </w:tc>
      </w:tr>
      <w:tr>
        <w:trPr>
          <w:trHeight w:val="226"/>
        </w:trPr>
        <w:tc>
          <w:tcPr>
            <w:tcW w:w="120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c>
          <w:tcPr>
            <w:tcW w:w="85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3" w:name="page4"/>
    <w:bookmarkEnd w:id="3"/>
    <w:p>
      <w:pPr>
        <w:ind w:left="2800"/>
        <w:spacing w:after="0"/>
        <w:rPr>
          <w:sz w:val="20"/>
          <w:szCs w:val="20"/>
          <w:color w:val="auto"/>
        </w:rPr>
      </w:pPr>
      <w:r>
        <w:rPr>
          <w:rFonts w:ascii="Arial" w:cs="Arial" w:eastAsia="Arial" w:hAnsi="Arial"/>
          <w:sz w:val="18"/>
          <w:szCs w:val="18"/>
          <w:color w:val="auto"/>
        </w:rPr>
        <w:t>New York law as the same may be modified by United States law of general application.</w:t>
      </w:r>
    </w:p>
    <w:p>
      <w:pPr>
        <w:spacing w:after="0" w:line="225" w:lineRule="exact"/>
        <w:rPr>
          <w:sz w:val="20"/>
          <w:szCs w:val="20"/>
          <w:color w:val="auto"/>
        </w:rPr>
      </w:pPr>
    </w:p>
    <w:p>
      <w:pPr>
        <w:ind w:left="2800" w:right="120"/>
        <w:spacing w:after="0" w:line="257" w:lineRule="auto"/>
        <w:rPr>
          <w:sz w:val="20"/>
          <w:szCs w:val="20"/>
          <w:color w:val="auto"/>
        </w:rPr>
      </w:pPr>
      <w:r>
        <w:rPr>
          <w:rFonts w:ascii="Arial" w:cs="Arial" w:eastAsia="Arial" w:hAnsi="Arial"/>
          <w:sz w:val="18"/>
          <w:szCs w:val="18"/>
          <w:color w:val="auto"/>
        </w:rPr>
        <w:t>The amount of interest for each day the Notes due 2009 are outstanding (the “daily interest amount”) will be calculated by dividing the interest rate in effect for that day by 360 and multiplying the result by the principal amount of the Notes due 2009. The amount of interest to be paid on the Notes due 2009 for each interest period will be calculated by adding the daily interest amounts for each day in the interest period.</w:t>
      </w:r>
    </w:p>
    <w:p>
      <w:pPr>
        <w:spacing w:after="0" w:line="188" w:lineRule="exact"/>
        <w:rPr>
          <w:sz w:val="20"/>
          <w:szCs w:val="20"/>
          <w:color w:val="auto"/>
        </w:rPr>
      </w:pPr>
    </w:p>
    <w:p>
      <w:pPr>
        <w:ind w:left="2800" w:right="100"/>
        <w:spacing w:after="0" w:line="257" w:lineRule="auto"/>
        <w:rPr>
          <w:sz w:val="20"/>
          <w:szCs w:val="20"/>
          <w:color w:val="auto"/>
        </w:rPr>
      </w:pPr>
      <w:r>
        <w:rPr>
          <w:rFonts w:ascii="Arial" w:cs="Arial" w:eastAsia="Arial" w:hAnsi="Arial"/>
          <w:sz w:val="18"/>
          <w:szCs w:val="18"/>
          <w:color w:val="auto"/>
        </w:rPr>
        <w:t>All percentages resulting from these calculations will be rounded, if necessary, to the nearest one hundred thousandth of a percentage point, with five one millionths of a percentage point rounded upwards (e.g., 9.876545% (or .09876545) being rounded to 9.87655% (or .0987655)) and all dollar amounts used in or resulting from such calculations will be rounded to the nearest cent (with one half cent being rounded upwards).</w:t>
      </w:r>
    </w:p>
    <w:p>
      <w:pPr>
        <w:spacing w:after="0" w:line="188" w:lineRule="exact"/>
        <w:rPr>
          <w:sz w:val="20"/>
          <w:szCs w:val="20"/>
          <w:color w:val="auto"/>
        </w:rPr>
      </w:pPr>
    </w:p>
    <w:p>
      <w:pPr>
        <w:ind w:left="2800"/>
        <w:spacing w:after="0" w:line="257" w:lineRule="auto"/>
        <w:rPr>
          <w:sz w:val="20"/>
          <w:szCs w:val="20"/>
          <w:color w:val="auto"/>
        </w:rPr>
      </w:pPr>
      <w:r>
        <w:rPr>
          <w:rFonts w:ascii="Arial" w:cs="Arial" w:eastAsia="Arial" w:hAnsi="Arial"/>
          <w:sz w:val="18"/>
          <w:szCs w:val="18"/>
          <w:color w:val="auto"/>
        </w:rPr>
        <w:t>Except as described below for the first interest period, on each interest payment date, interest will be paid for the period commencing on and including the immediately preceding interest payment date and ending on and including the next day preceding that interest payment date. This period is referred to as an “interest period.” The first interest period will begin on and include July 14, 2006 and will end on but exclude October 16, 2006.</w:t>
      </w:r>
    </w:p>
    <w:p>
      <w:pPr>
        <w:spacing w:after="0" w:line="188" w:lineRule="exact"/>
        <w:rPr>
          <w:sz w:val="20"/>
          <w:szCs w:val="20"/>
          <w:color w:val="auto"/>
        </w:rPr>
      </w:pPr>
    </w:p>
    <w:p>
      <w:pPr>
        <w:ind w:left="2800" w:right="200"/>
        <w:spacing w:after="0" w:line="255" w:lineRule="auto"/>
        <w:rPr>
          <w:sz w:val="20"/>
          <w:szCs w:val="20"/>
          <w:color w:val="auto"/>
        </w:rPr>
      </w:pPr>
      <w:r>
        <w:rPr>
          <w:rFonts w:ascii="Arial" w:cs="Arial" w:eastAsia="Arial" w:hAnsi="Arial"/>
          <w:sz w:val="18"/>
          <w:szCs w:val="18"/>
          <w:color w:val="auto"/>
        </w:rPr>
        <w:t>“LIBOR,” with respect to an interest period, shall be the rate (expressed as a percentage per annum) for deposits in United States dollars for a three month period beginning on the second London Banking Day after the Determination Date that appears on Telerate Page 3750 as of 11:00 a.m., London time, on the Determination Date. If Telerate Page 3750 does not include this rate or is unavailable on the Determination Date, the calculation agent will obtain such rate from Bloomberg L.P.’s page</w:t>
      </w:r>
    </w:p>
    <w:p>
      <w:pPr>
        <w:spacing w:after="0" w:line="16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00"/>
          </w:cols>
          <w:pgMar w:left="1440" w:top="1152" w:right="259" w:bottom="1440" w:gutter="0" w:footer="0" w:header="0"/>
        </w:sectPr>
      </w:pPr>
    </w:p>
    <w:bookmarkStart w:id="4" w:name="page5"/>
    <w:bookmarkEnd w:id="4"/>
    <w:p>
      <w:pPr>
        <w:ind w:left="2800"/>
        <w:spacing w:after="0" w:line="285" w:lineRule="auto"/>
        <w:rPr>
          <w:sz w:val="20"/>
          <w:szCs w:val="20"/>
          <w:color w:val="auto"/>
        </w:rPr>
      </w:pPr>
      <w:r>
        <w:rPr>
          <w:rFonts w:ascii="Arial" w:cs="Arial" w:eastAsia="Arial" w:hAnsi="Arial"/>
          <w:sz w:val="16"/>
          <w:szCs w:val="16"/>
          <w:color w:val="auto"/>
        </w:rPr>
        <w:t>“BBAM.” If neither Telerate Page 3750 nor Bloomberg L.P. page “BBAM’ includes this rate, the calculation agent will request the principal London office of each of four major banks in the London interbank market, as selected by the calculation agent (after consultation with Company), to provide that bank’s offered quotation (expressed as a percentage per annum) as of approximately 11:00 a.m., London time, on the Determination Date to prime banks in the London interbank market for deposits in a Representative Amount in United States dollars for a three month period beginning on the second London Banking Day after the Determination Date. If at least two offered quotations are so provided, LIBOR for the interest period will be the arithmetic mean of those quotations. If fewer than two quotations are so provided, the calculation agent will request each of three major banks in New York City, as selected by the calculation agent, to provide that bank’s rate (expressed as a percentage per annum), as of approximately 11:00 a.m. New York City time, on the Determination Date for loans in a Representative Amount in United States dollars to leading European banks for a three month period beginning on the second London Banking Day after the Determination Date. If at least two rates are so provided, LIBOR for the interest period will be the arithmetic mean of those rates. If fewer than two rates are so provided, then LIBOR for the interest period will be LIBOR in effect with respect to the immediately preceding interest period.</w:t>
      </w:r>
    </w:p>
    <w:p>
      <w:pPr>
        <w:spacing w:after="0" w:line="178" w:lineRule="exact"/>
        <w:rPr>
          <w:sz w:val="20"/>
          <w:szCs w:val="20"/>
          <w:color w:val="auto"/>
        </w:rPr>
      </w:pPr>
    </w:p>
    <w:p>
      <w:pPr>
        <w:ind w:left="2800" w:right="460"/>
        <w:spacing w:after="0" w:line="277" w:lineRule="auto"/>
        <w:rPr>
          <w:sz w:val="20"/>
          <w:szCs w:val="20"/>
          <w:color w:val="auto"/>
        </w:rPr>
      </w:pPr>
      <w:r>
        <w:rPr>
          <w:rFonts w:ascii="Arial" w:cs="Arial" w:eastAsia="Arial" w:hAnsi="Arial"/>
          <w:sz w:val="18"/>
          <w:szCs w:val="18"/>
          <w:color w:val="auto"/>
        </w:rPr>
        <w:t>“Determination Date” with respect to an interest period will be the second London Banking Day preceding the first day of the interest period.</w:t>
      </w:r>
    </w:p>
    <w:p>
      <w:pPr>
        <w:spacing w:after="0" w:line="170" w:lineRule="exact"/>
        <w:rPr>
          <w:sz w:val="20"/>
          <w:szCs w:val="20"/>
          <w:color w:val="auto"/>
        </w:rPr>
      </w:pPr>
    </w:p>
    <w:p>
      <w:pPr>
        <w:ind w:left="2800" w:right="220"/>
        <w:spacing w:after="0" w:line="308" w:lineRule="auto"/>
        <w:rPr>
          <w:sz w:val="20"/>
          <w:szCs w:val="20"/>
          <w:color w:val="auto"/>
        </w:rPr>
      </w:pPr>
      <w:r>
        <w:rPr>
          <w:rFonts w:ascii="Arial" w:cs="Arial" w:eastAsia="Arial" w:hAnsi="Arial"/>
          <w:sz w:val="17"/>
          <w:szCs w:val="17"/>
          <w:color w:val="auto"/>
        </w:rPr>
        <w:t>“London Banking Day” is any day in which dealings in United States dollars are transacted or, with respect to any future date, are expected to be transacted in the London interbank market.</w:t>
      </w:r>
    </w:p>
    <w:p>
      <w:pPr>
        <w:spacing w:after="0" w:line="147" w:lineRule="exact"/>
        <w:rPr>
          <w:sz w:val="20"/>
          <w:szCs w:val="20"/>
          <w:color w:val="auto"/>
        </w:rPr>
      </w:pPr>
    </w:p>
    <w:p>
      <w:pPr>
        <w:ind w:left="2800" w:right="420"/>
        <w:spacing w:after="0" w:line="277" w:lineRule="auto"/>
        <w:rPr>
          <w:sz w:val="20"/>
          <w:szCs w:val="20"/>
          <w:color w:val="auto"/>
        </w:rPr>
      </w:pPr>
      <w:r>
        <w:rPr>
          <w:rFonts w:ascii="Arial" w:cs="Arial" w:eastAsia="Arial" w:hAnsi="Arial"/>
          <w:sz w:val="18"/>
          <w:szCs w:val="18"/>
          <w:color w:val="auto"/>
        </w:rPr>
        <w:t>“Representative Amount” means a principal amount that is not less than $1.0 million for a single transaction in the relevant market at the relevant time.</w:t>
      </w:r>
    </w:p>
    <w:p>
      <w:pPr>
        <w:spacing w:after="0" w:line="14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00"/>
          </w:cols>
          <w:pgMar w:left="1440" w:top="1152" w:right="2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2940" w:type="dxa"/>
            <w:vAlign w:val="bottom"/>
          </w:tcPr>
          <w:p>
            <w:pPr>
              <w:spacing w:after="0"/>
              <w:rPr>
                <w:sz w:val="18"/>
                <w:szCs w:val="18"/>
                <w:color w:val="auto"/>
              </w:rPr>
            </w:pPr>
          </w:p>
        </w:tc>
        <w:tc>
          <w:tcPr>
            <w:tcW w:w="8480" w:type="dxa"/>
            <w:vAlign w:val="bottom"/>
          </w:tcPr>
          <w:p>
            <w:pPr>
              <w:ind w:left="1060"/>
              <w:spacing w:after="0"/>
              <w:rPr>
                <w:sz w:val="20"/>
                <w:szCs w:val="20"/>
                <w:color w:val="auto"/>
              </w:rPr>
            </w:pPr>
            <w:r>
              <w:rPr>
                <w:rFonts w:ascii="Arial" w:cs="Arial" w:eastAsia="Arial" w:hAnsi="Arial"/>
                <w:sz w:val="18"/>
                <w:szCs w:val="18"/>
                <w:color w:val="auto"/>
                <w:w w:val="90"/>
              </w:rPr>
              <w:t>“Telerate Page 3750” means the display designated as “Page 3750” on Moneyline Telerate, Inc. or any</w:t>
            </w:r>
          </w:p>
        </w:tc>
      </w:tr>
      <w:tr>
        <w:trPr>
          <w:trHeight w:val="230"/>
        </w:trPr>
        <w:tc>
          <w:tcPr>
            <w:tcW w:w="2940" w:type="dxa"/>
            <w:vAlign w:val="bottom"/>
          </w:tcPr>
          <w:p>
            <w:pPr>
              <w:spacing w:after="0"/>
              <w:rPr>
                <w:sz w:val="20"/>
                <w:szCs w:val="20"/>
                <w:color w:val="auto"/>
              </w:rPr>
            </w:pPr>
          </w:p>
        </w:tc>
        <w:tc>
          <w:tcPr>
            <w:tcW w:w="8480" w:type="dxa"/>
            <w:vAlign w:val="bottom"/>
          </w:tcPr>
          <w:p>
            <w:pPr>
              <w:ind w:left="1060"/>
              <w:spacing w:after="0"/>
              <w:rPr>
                <w:sz w:val="20"/>
                <w:szCs w:val="20"/>
                <w:color w:val="auto"/>
              </w:rPr>
            </w:pPr>
            <w:r>
              <w:rPr>
                <w:rFonts w:ascii="Arial" w:cs="Arial" w:eastAsia="Arial" w:hAnsi="Arial"/>
                <w:sz w:val="18"/>
                <w:szCs w:val="18"/>
                <w:color w:val="auto"/>
                <w:w w:val="88"/>
              </w:rPr>
              <w:t>successor service (or such other page as may replace Page 3750 on that service or a successor service)</w:t>
            </w:r>
          </w:p>
        </w:tc>
      </w:tr>
      <w:tr>
        <w:trPr>
          <w:trHeight w:val="432"/>
        </w:trPr>
        <w:tc>
          <w:tcPr>
            <w:tcW w:w="2940" w:type="dxa"/>
            <w:vAlign w:val="bottom"/>
          </w:tcPr>
          <w:p>
            <w:pPr>
              <w:spacing w:after="0"/>
              <w:rPr>
                <w:sz w:val="24"/>
                <w:szCs w:val="24"/>
                <w:color w:val="auto"/>
              </w:rPr>
            </w:pPr>
          </w:p>
        </w:tc>
        <w:tc>
          <w:tcPr>
            <w:tcW w:w="8480" w:type="dxa"/>
            <w:vAlign w:val="bottom"/>
          </w:tcPr>
          <w:p>
            <w:pPr>
              <w:ind w:left="1060"/>
              <w:spacing w:after="0"/>
              <w:rPr>
                <w:sz w:val="20"/>
                <w:szCs w:val="20"/>
                <w:color w:val="auto"/>
              </w:rPr>
            </w:pPr>
            <w:r>
              <w:rPr>
                <w:rFonts w:ascii="Arial" w:cs="Arial" w:eastAsia="Arial" w:hAnsi="Arial"/>
                <w:sz w:val="18"/>
                <w:szCs w:val="18"/>
                <w:color w:val="auto"/>
              </w:rPr>
              <w:t>The Bank of New York will act as calculation agent.</w:t>
            </w:r>
          </w:p>
        </w:tc>
      </w:tr>
      <w:tr>
        <w:trPr>
          <w:trHeight w:val="418"/>
        </w:trPr>
        <w:tc>
          <w:tcPr>
            <w:tcW w:w="2940" w:type="dxa"/>
            <w:vAlign w:val="bottom"/>
          </w:tcPr>
          <w:p>
            <w:pPr>
              <w:spacing w:after="0"/>
              <w:rPr>
                <w:sz w:val="20"/>
                <w:szCs w:val="20"/>
                <w:color w:val="auto"/>
              </w:rPr>
            </w:pPr>
            <w:r>
              <w:rPr>
                <w:rFonts w:ascii="Arial" w:cs="Arial" w:eastAsia="Arial" w:hAnsi="Arial"/>
                <w:sz w:val="18"/>
                <w:szCs w:val="18"/>
                <w:b w:val="1"/>
                <w:bCs w:val="1"/>
                <w:color w:val="auto"/>
              </w:rPr>
              <w:t>Interest Payment Dates:</w:t>
            </w:r>
          </w:p>
        </w:tc>
        <w:tc>
          <w:tcPr>
            <w:tcW w:w="8480" w:type="dxa"/>
            <w:vAlign w:val="bottom"/>
          </w:tcPr>
          <w:p>
            <w:pPr>
              <w:ind w:left="1060"/>
              <w:spacing w:after="0"/>
              <w:rPr>
                <w:sz w:val="20"/>
                <w:szCs w:val="20"/>
                <w:color w:val="auto"/>
              </w:rPr>
            </w:pPr>
            <w:r>
              <w:rPr>
                <w:rFonts w:ascii="Arial" w:cs="Arial" w:eastAsia="Arial" w:hAnsi="Arial"/>
                <w:sz w:val="18"/>
                <w:szCs w:val="18"/>
                <w:color w:val="auto"/>
                <w:w w:val="93"/>
              </w:rPr>
              <w:t>Quarterly on July 14, October 14, January 14 and April 14, beginning on October 16, 2006 (the first</w:t>
            </w:r>
          </w:p>
        </w:tc>
      </w:tr>
      <w:tr>
        <w:trPr>
          <w:trHeight w:val="216"/>
        </w:trPr>
        <w:tc>
          <w:tcPr>
            <w:tcW w:w="2940" w:type="dxa"/>
            <w:vAlign w:val="bottom"/>
          </w:tcPr>
          <w:p>
            <w:pPr>
              <w:spacing w:after="0"/>
              <w:rPr>
                <w:sz w:val="18"/>
                <w:szCs w:val="18"/>
                <w:color w:val="auto"/>
              </w:rPr>
            </w:pPr>
          </w:p>
        </w:tc>
        <w:tc>
          <w:tcPr>
            <w:tcW w:w="8480" w:type="dxa"/>
            <w:vAlign w:val="bottom"/>
          </w:tcPr>
          <w:p>
            <w:pPr>
              <w:ind w:left="1060"/>
              <w:spacing w:after="0"/>
              <w:rPr>
                <w:sz w:val="20"/>
                <w:szCs w:val="20"/>
                <w:color w:val="auto"/>
              </w:rPr>
            </w:pPr>
            <w:r>
              <w:rPr>
                <w:rFonts w:ascii="Arial" w:cs="Arial" w:eastAsia="Arial" w:hAnsi="Arial"/>
                <w:sz w:val="18"/>
                <w:szCs w:val="18"/>
                <w:color w:val="auto"/>
                <w:w w:val="95"/>
              </w:rPr>
              <w:t>business day following the October 14, 2006 interest payment date); provided however, that if any</w:t>
            </w:r>
          </w:p>
        </w:tc>
      </w:tr>
      <w:tr>
        <w:trPr>
          <w:trHeight w:val="216"/>
        </w:trPr>
        <w:tc>
          <w:tcPr>
            <w:tcW w:w="2940" w:type="dxa"/>
            <w:vAlign w:val="bottom"/>
          </w:tcPr>
          <w:p>
            <w:pPr>
              <w:spacing w:after="0"/>
              <w:rPr>
                <w:sz w:val="18"/>
                <w:szCs w:val="18"/>
                <w:color w:val="auto"/>
              </w:rPr>
            </w:pPr>
          </w:p>
        </w:tc>
        <w:tc>
          <w:tcPr>
            <w:tcW w:w="8480" w:type="dxa"/>
            <w:vAlign w:val="bottom"/>
          </w:tcPr>
          <w:p>
            <w:pPr>
              <w:ind w:left="1060"/>
              <w:spacing w:after="0"/>
              <w:rPr>
                <w:sz w:val="20"/>
                <w:szCs w:val="20"/>
                <w:color w:val="auto"/>
              </w:rPr>
            </w:pPr>
            <w:r>
              <w:rPr>
                <w:rFonts w:ascii="Arial" w:cs="Arial" w:eastAsia="Arial" w:hAnsi="Arial"/>
                <w:sz w:val="18"/>
                <w:szCs w:val="18"/>
                <w:color w:val="auto"/>
                <w:w w:val="96"/>
              </w:rPr>
              <w:t>such interest payment date would fall on a day that is not a business day, other than the interest</w:t>
            </w:r>
          </w:p>
        </w:tc>
      </w:tr>
      <w:tr>
        <w:trPr>
          <w:trHeight w:val="216"/>
        </w:trPr>
        <w:tc>
          <w:tcPr>
            <w:tcW w:w="2940" w:type="dxa"/>
            <w:vAlign w:val="bottom"/>
          </w:tcPr>
          <w:p>
            <w:pPr>
              <w:spacing w:after="0"/>
              <w:rPr>
                <w:sz w:val="18"/>
                <w:szCs w:val="18"/>
                <w:color w:val="auto"/>
              </w:rPr>
            </w:pPr>
          </w:p>
        </w:tc>
        <w:tc>
          <w:tcPr>
            <w:tcW w:w="8480" w:type="dxa"/>
            <w:vAlign w:val="bottom"/>
          </w:tcPr>
          <w:p>
            <w:pPr>
              <w:ind w:left="1060"/>
              <w:spacing w:after="0"/>
              <w:rPr>
                <w:sz w:val="20"/>
                <w:szCs w:val="20"/>
                <w:color w:val="auto"/>
              </w:rPr>
            </w:pPr>
            <w:r>
              <w:rPr>
                <w:rFonts w:ascii="Arial" w:cs="Arial" w:eastAsia="Arial" w:hAnsi="Arial"/>
                <w:sz w:val="18"/>
                <w:szCs w:val="18"/>
                <w:color w:val="auto"/>
                <w:w w:val="95"/>
              </w:rPr>
              <w:t>payment date that is also the date of maturity, that interest payment date will be postponed to the</w:t>
            </w:r>
          </w:p>
        </w:tc>
      </w:tr>
      <w:tr>
        <w:trPr>
          <w:trHeight w:val="216"/>
        </w:trPr>
        <w:tc>
          <w:tcPr>
            <w:tcW w:w="2940" w:type="dxa"/>
            <w:vAlign w:val="bottom"/>
          </w:tcPr>
          <w:p>
            <w:pPr>
              <w:spacing w:after="0"/>
              <w:rPr>
                <w:sz w:val="18"/>
                <w:szCs w:val="18"/>
                <w:color w:val="auto"/>
              </w:rPr>
            </w:pPr>
          </w:p>
        </w:tc>
        <w:tc>
          <w:tcPr>
            <w:tcW w:w="8480" w:type="dxa"/>
            <w:vAlign w:val="bottom"/>
          </w:tcPr>
          <w:p>
            <w:pPr>
              <w:ind w:left="1060"/>
              <w:spacing w:after="0"/>
              <w:rPr>
                <w:sz w:val="20"/>
                <w:szCs w:val="20"/>
                <w:color w:val="auto"/>
              </w:rPr>
            </w:pPr>
            <w:r>
              <w:rPr>
                <w:rFonts w:ascii="Arial" w:cs="Arial" w:eastAsia="Arial" w:hAnsi="Arial"/>
                <w:sz w:val="18"/>
                <w:szCs w:val="18"/>
                <w:color w:val="auto"/>
                <w:w w:val="91"/>
              </w:rPr>
              <w:t>following day that is a business day, except that if such next business day is in a different month, then</w:t>
            </w:r>
          </w:p>
        </w:tc>
      </w:tr>
      <w:tr>
        <w:trPr>
          <w:trHeight w:val="216"/>
        </w:trPr>
        <w:tc>
          <w:tcPr>
            <w:tcW w:w="2940" w:type="dxa"/>
            <w:vAlign w:val="bottom"/>
          </w:tcPr>
          <w:p>
            <w:pPr>
              <w:spacing w:after="0"/>
              <w:rPr>
                <w:sz w:val="18"/>
                <w:szCs w:val="18"/>
                <w:color w:val="auto"/>
              </w:rPr>
            </w:pPr>
          </w:p>
        </w:tc>
        <w:tc>
          <w:tcPr>
            <w:tcW w:w="8480" w:type="dxa"/>
            <w:vAlign w:val="bottom"/>
          </w:tcPr>
          <w:p>
            <w:pPr>
              <w:ind w:left="1060"/>
              <w:spacing w:after="0"/>
              <w:rPr>
                <w:sz w:val="20"/>
                <w:szCs w:val="20"/>
                <w:color w:val="auto"/>
              </w:rPr>
            </w:pPr>
            <w:r>
              <w:rPr>
                <w:rFonts w:ascii="Arial" w:cs="Arial" w:eastAsia="Arial" w:hAnsi="Arial"/>
                <w:sz w:val="18"/>
                <w:szCs w:val="18"/>
                <w:color w:val="auto"/>
                <w:w w:val="91"/>
              </w:rPr>
              <w:t>that interest payment date will be the immediately preceding day that is a business day; and provided</w:t>
            </w:r>
          </w:p>
        </w:tc>
      </w:tr>
      <w:tr>
        <w:trPr>
          <w:trHeight w:val="216"/>
        </w:trPr>
        <w:tc>
          <w:tcPr>
            <w:tcW w:w="2940" w:type="dxa"/>
            <w:vAlign w:val="bottom"/>
          </w:tcPr>
          <w:p>
            <w:pPr>
              <w:spacing w:after="0"/>
              <w:rPr>
                <w:sz w:val="18"/>
                <w:szCs w:val="18"/>
                <w:color w:val="auto"/>
              </w:rPr>
            </w:pPr>
          </w:p>
        </w:tc>
        <w:tc>
          <w:tcPr>
            <w:tcW w:w="8480" w:type="dxa"/>
            <w:vAlign w:val="bottom"/>
          </w:tcPr>
          <w:p>
            <w:pPr>
              <w:ind w:left="1060"/>
              <w:spacing w:after="0"/>
              <w:rPr>
                <w:sz w:val="20"/>
                <w:szCs w:val="20"/>
                <w:color w:val="auto"/>
              </w:rPr>
            </w:pPr>
            <w:r>
              <w:rPr>
                <w:rFonts w:ascii="Arial" w:cs="Arial" w:eastAsia="Arial" w:hAnsi="Arial"/>
                <w:sz w:val="18"/>
                <w:szCs w:val="18"/>
                <w:color w:val="auto"/>
                <w:w w:val="90"/>
              </w:rPr>
              <w:t>further, that if the date of maturity is not a business day, payment of principal and interest will be made</w:t>
            </w:r>
          </w:p>
        </w:tc>
      </w:tr>
      <w:tr>
        <w:trPr>
          <w:trHeight w:val="216"/>
        </w:trPr>
        <w:tc>
          <w:tcPr>
            <w:tcW w:w="2940" w:type="dxa"/>
            <w:vAlign w:val="bottom"/>
          </w:tcPr>
          <w:p>
            <w:pPr>
              <w:spacing w:after="0"/>
              <w:rPr>
                <w:sz w:val="18"/>
                <w:szCs w:val="18"/>
                <w:color w:val="auto"/>
              </w:rPr>
            </w:pPr>
          </w:p>
        </w:tc>
        <w:tc>
          <w:tcPr>
            <w:tcW w:w="8480" w:type="dxa"/>
            <w:vAlign w:val="bottom"/>
          </w:tcPr>
          <w:p>
            <w:pPr>
              <w:ind w:left="1060"/>
              <w:spacing w:after="0"/>
              <w:rPr>
                <w:sz w:val="20"/>
                <w:szCs w:val="20"/>
                <w:color w:val="auto"/>
              </w:rPr>
            </w:pPr>
            <w:r>
              <w:rPr>
                <w:rFonts w:ascii="Arial" w:cs="Arial" w:eastAsia="Arial" w:hAnsi="Arial"/>
                <w:sz w:val="18"/>
                <w:szCs w:val="18"/>
                <w:color w:val="auto"/>
                <w:w w:val="95"/>
              </w:rPr>
              <w:t>on the following day that is a business day and no interest will accrue for the period from and after</w:t>
            </w:r>
          </w:p>
        </w:tc>
      </w:tr>
      <w:tr>
        <w:trPr>
          <w:trHeight w:val="230"/>
        </w:trPr>
        <w:tc>
          <w:tcPr>
            <w:tcW w:w="2940" w:type="dxa"/>
            <w:vAlign w:val="bottom"/>
          </w:tcPr>
          <w:p>
            <w:pPr>
              <w:spacing w:after="0"/>
              <w:rPr>
                <w:sz w:val="20"/>
                <w:szCs w:val="20"/>
                <w:color w:val="auto"/>
              </w:rPr>
            </w:pPr>
          </w:p>
        </w:tc>
        <w:tc>
          <w:tcPr>
            <w:tcW w:w="8480" w:type="dxa"/>
            <w:vAlign w:val="bottom"/>
          </w:tcPr>
          <w:p>
            <w:pPr>
              <w:ind w:left="1060"/>
              <w:spacing w:after="0"/>
              <w:rPr>
                <w:sz w:val="20"/>
                <w:szCs w:val="20"/>
                <w:color w:val="auto"/>
              </w:rPr>
            </w:pPr>
            <w:r>
              <w:rPr>
                <w:rFonts w:ascii="Arial" w:cs="Arial" w:eastAsia="Arial" w:hAnsi="Arial"/>
                <w:sz w:val="18"/>
                <w:szCs w:val="18"/>
                <w:color w:val="auto"/>
              </w:rPr>
              <w:t>such date of maturity.</w:t>
            </w:r>
          </w:p>
        </w:tc>
      </w:tr>
      <w:tr>
        <w:trPr>
          <w:trHeight w:val="432"/>
        </w:trPr>
        <w:tc>
          <w:tcPr>
            <w:tcW w:w="2940" w:type="dxa"/>
            <w:vAlign w:val="bottom"/>
          </w:tcPr>
          <w:p>
            <w:pPr>
              <w:spacing w:after="0"/>
              <w:rPr>
                <w:sz w:val="20"/>
                <w:szCs w:val="20"/>
                <w:color w:val="auto"/>
              </w:rPr>
            </w:pPr>
            <w:r>
              <w:rPr>
                <w:rFonts w:ascii="Arial" w:cs="Arial" w:eastAsia="Arial" w:hAnsi="Arial"/>
                <w:sz w:val="18"/>
                <w:szCs w:val="18"/>
                <w:b w:val="1"/>
                <w:bCs w:val="1"/>
                <w:color w:val="auto"/>
              </w:rPr>
              <w:t>Day Count:</w:t>
            </w:r>
          </w:p>
        </w:tc>
        <w:tc>
          <w:tcPr>
            <w:tcW w:w="8480" w:type="dxa"/>
            <w:vAlign w:val="bottom"/>
          </w:tcPr>
          <w:p>
            <w:pPr>
              <w:ind w:left="1060"/>
              <w:spacing w:after="0"/>
              <w:rPr>
                <w:sz w:val="20"/>
                <w:szCs w:val="20"/>
                <w:color w:val="auto"/>
              </w:rPr>
            </w:pPr>
            <w:r>
              <w:rPr>
                <w:rFonts w:ascii="Arial" w:cs="Arial" w:eastAsia="Arial" w:hAnsi="Arial"/>
                <w:sz w:val="18"/>
                <w:szCs w:val="18"/>
                <w:color w:val="auto"/>
              </w:rPr>
              <w:t>Actual/360</w:t>
            </w:r>
          </w:p>
        </w:tc>
      </w:tr>
      <w:tr>
        <w:trPr>
          <w:trHeight w:val="432"/>
        </w:trPr>
        <w:tc>
          <w:tcPr>
            <w:tcW w:w="2940" w:type="dxa"/>
            <w:vAlign w:val="bottom"/>
          </w:tcPr>
          <w:p>
            <w:pPr>
              <w:spacing w:after="0"/>
              <w:rPr>
                <w:sz w:val="20"/>
                <w:szCs w:val="20"/>
                <w:color w:val="auto"/>
              </w:rPr>
            </w:pPr>
            <w:r>
              <w:rPr>
                <w:rFonts w:ascii="Arial" w:cs="Arial" w:eastAsia="Arial" w:hAnsi="Arial"/>
                <w:sz w:val="18"/>
                <w:szCs w:val="18"/>
                <w:b w:val="1"/>
                <w:bCs w:val="1"/>
                <w:color w:val="auto"/>
              </w:rPr>
              <w:t>Record Dates:</w:t>
            </w:r>
          </w:p>
        </w:tc>
        <w:tc>
          <w:tcPr>
            <w:tcW w:w="8480" w:type="dxa"/>
            <w:vAlign w:val="bottom"/>
          </w:tcPr>
          <w:p>
            <w:pPr>
              <w:ind w:left="1060"/>
              <w:spacing w:after="0"/>
              <w:rPr>
                <w:sz w:val="20"/>
                <w:szCs w:val="20"/>
                <w:color w:val="auto"/>
              </w:rPr>
            </w:pPr>
            <w:r>
              <w:rPr>
                <w:rFonts w:ascii="Arial" w:cs="Arial" w:eastAsia="Arial" w:hAnsi="Arial"/>
                <w:sz w:val="18"/>
                <w:szCs w:val="18"/>
                <w:color w:val="auto"/>
                <w:w w:val="94"/>
              </w:rPr>
              <w:t>Fifteenth calendar day, whether or not a business day, before the applicable interest payment date</w:t>
            </w:r>
          </w:p>
        </w:tc>
      </w:tr>
      <w:tr>
        <w:trPr>
          <w:trHeight w:val="432"/>
        </w:trPr>
        <w:tc>
          <w:tcPr>
            <w:tcW w:w="2940" w:type="dxa"/>
            <w:vAlign w:val="bottom"/>
          </w:tcPr>
          <w:p>
            <w:pPr>
              <w:spacing w:after="0"/>
              <w:rPr>
                <w:sz w:val="20"/>
                <w:szCs w:val="20"/>
                <w:color w:val="auto"/>
              </w:rPr>
            </w:pPr>
            <w:r>
              <w:rPr>
                <w:rFonts w:ascii="Arial" w:cs="Arial" w:eastAsia="Arial" w:hAnsi="Arial"/>
                <w:sz w:val="18"/>
                <w:szCs w:val="18"/>
                <w:b w:val="1"/>
                <w:bCs w:val="1"/>
                <w:color w:val="auto"/>
              </w:rPr>
              <w:t>Maturity:</w:t>
            </w:r>
          </w:p>
        </w:tc>
        <w:tc>
          <w:tcPr>
            <w:tcW w:w="8480" w:type="dxa"/>
            <w:vAlign w:val="bottom"/>
          </w:tcPr>
          <w:p>
            <w:pPr>
              <w:ind w:left="1060"/>
              <w:spacing w:after="0"/>
              <w:rPr>
                <w:sz w:val="20"/>
                <w:szCs w:val="20"/>
                <w:color w:val="auto"/>
              </w:rPr>
            </w:pPr>
            <w:r>
              <w:rPr>
                <w:rFonts w:ascii="Arial" w:cs="Arial" w:eastAsia="Arial" w:hAnsi="Arial"/>
                <w:sz w:val="18"/>
                <w:szCs w:val="18"/>
                <w:color w:val="auto"/>
              </w:rPr>
              <w:t>July 14, 2009</w:t>
            </w:r>
          </w:p>
        </w:tc>
      </w:tr>
      <w:tr>
        <w:trPr>
          <w:trHeight w:val="418"/>
        </w:trPr>
        <w:tc>
          <w:tcPr>
            <w:tcW w:w="2940" w:type="dxa"/>
            <w:vAlign w:val="bottom"/>
          </w:tcPr>
          <w:p>
            <w:pPr>
              <w:spacing w:after="0"/>
              <w:rPr>
                <w:sz w:val="20"/>
                <w:szCs w:val="20"/>
                <w:color w:val="auto"/>
              </w:rPr>
            </w:pPr>
            <w:r>
              <w:rPr>
                <w:rFonts w:ascii="Arial" w:cs="Arial" w:eastAsia="Arial" w:hAnsi="Arial"/>
                <w:sz w:val="18"/>
                <w:szCs w:val="18"/>
                <w:b w:val="1"/>
                <w:bCs w:val="1"/>
                <w:color w:val="auto"/>
              </w:rPr>
              <w:t>Redemption:</w:t>
            </w:r>
          </w:p>
        </w:tc>
        <w:tc>
          <w:tcPr>
            <w:tcW w:w="8480" w:type="dxa"/>
            <w:vAlign w:val="bottom"/>
          </w:tcPr>
          <w:p>
            <w:pPr>
              <w:ind w:left="1060"/>
              <w:spacing w:after="0"/>
              <w:rPr>
                <w:sz w:val="20"/>
                <w:szCs w:val="20"/>
                <w:color w:val="auto"/>
              </w:rPr>
            </w:pPr>
            <w:r>
              <w:rPr>
                <w:rFonts w:ascii="Arial" w:cs="Arial" w:eastAsia="Arial" w:hAnsi="Arial"/>
                <w:sz w:val="18"/>
                <w:szCs w:val="18"/>
                <w:color w:val="auto"/>
                <w:w w:val="94"/>
              </w:rPr>
              <w:t>The Company may at its option redeem the Notes due 2009 in whole or in part, at any time or from</w:t>
            </w:r>
          </w:p>
        </w:tc>
      </w:tr>
      <w:tr>
        <w:trPr>
          <w:trHeight w:val="216"/>
        </w:trPr>
        <w:tc>
          <w:tcPr>
            <w:tcW w:w="2940" w:type="dxa"/>
            <w:vAlign w:val="bottom"/>
          </w:tcPr>
          <w:p>
            <w:pPr>
              <w:spacing w:after="0"/>
              <w:rPr>
                <w:sz w:val="18"/>
                <w:szCs w:val="18"/>
                <w:color w:val="auto"/>
              </w:rPr>
            </w:pPr>
          </w:p>
        </w:tc>
        <w:tc>
          <w:tcPr>
            <w:tcW w:w="8480" w:type="dxa"/>
            <w:vAlign w:val="bottom"/>
          </w:tcPr>
          <w:p>
            <w:pPr>
              <w:ind w:left="1060"/>
              <w:spacing w:after="0"/>
              <w:rPr>
                <w:sz w:val="20"/>
                <w:szCs w:val="20"/>
                <w:color w:val="auto"/>
              </w:rPr>
            </w:pPr>
            <w:r>
              <w:rPr>
                <w:rFonts w:ascii="Arial" w:cs="Arial" w:eastAsia="Arial" w:hAnsi="Arial"/>
                <w:sz w:val="18"/>
                <w:szCs w:val="18"/>
                <w:color w:val="auto"/>
                <w:w w:val="93"/>
              </w:rPr>
              <w:t>time to time after July 14, 2007 and prior to their maturity, on at least 30 days, but not more than 60</w:t>
            </w:r>
          </w:p>
        </w:tc>
      </w:tr>
      <w:tr>
        <w:trPr>
          <w:trHeight w:val="216"/>
        </w:trPr>
        <w:tc>
          <w:tcPr>
            <w:tcW w:w="2940" w:type="dxa"/>
            <w:vAlign w:val="bottom"/>
          </w:tcPr>
          <w:p>
            <w:pPr>
              <w:spacing w:after="0"/>
              <w:rPr>
                <w:sz w:val="18"/>
                <w:szCs w:val="18"/>
                <w:color w:val="auto"/>
              </w:rPr>
            </w:pPr>
          </w:p>
        </w:tc>
        <w:tc>
          <w:tcPr>
            <w:tcW w:w="8480" w:type="dxa"/>
            <w:vAlign w:val="bottom"/>
          </w:tcPr>
          <w:p>
            <w:pPr>
              <w:ind w:left="1060"/>
              <w:spacing w:after="0"/>
              <w:rPr>
                <w:sz w:val="20"/>
                <w:szCs w:val="20"/>
                <w:color w:val="auto"/>
              </w:rPr>
            </w:pPr>
            <w:r>
              <w:rPr>
                <w:rFonts w:ascii="Arial" w:cs="Arial" w:eastAsia="Arial" w:hAnsi="Arial"/>
                <w:sz w:val="18"/>
                <w:szCs w:val="18"/>
                <w:color w:val="auto"/>
                <w:w w:val="91"/>
              </w:rPr>
              <w:t>days, prior notice mailed to the registered address of each holder at a redemption price equal to 100%</w:t>
            </w:r>
          </w:p>
        </w:tc>
      </w:tr>
      <w:tr>
        <w:trPr>
          <w:trHeight w:val="216"/>
        </w:trPr>
        <w:tc>
          <w:tcPr>
            <w:tcW w:w="2940" w:type="dxa"/>
            <w:vAlign w:val="bottom"/>
          </w:tcPr>
          <w:p>
            <w:pPr>
              <w:spacing w:after="0"/>
              <w:rPr>
                <w:sz w:val="18"/>
                <w:szCs w:val="18"/>
                <w:color w:val="auto"/>
              </w:rPr>
            </w:pPr>
          </w:p>
        </w:tc>
        <w:tc>
          <w:tcPr>
            <w:tcW w:w="8480" w:type="dxa"/>
            <w:vAlign w:val="bottom"/>
          </w:tcPr>
          <w:p>
            <w:pPr>
              <w:ind w:left="1060"/>
              <w:spacing w:after="0"/>
              <w:rPr>
                <w:sz w:val="20"/>
                <w:szCs w:val="20"/>
                <w:color w:val="auto"/>
              </w:rPr>
            </w:pPr>
            <w:r>
              <w:rPr>
                <w:rFonts w:ascii="Arial" w:cs="Arial" w:eastAsia="Arial" w:hAnsi="Arial"/>
                <w:sz w:val="18"/>
                <w:szCs w:val="18"/>
                <w:color w:val="auto"/>
                <w:w w:val="92"/>
              </w:rPr>
              <w:t>of the principal amount of such notes plus accrued interest thereon to the date of redemption; and as</w:t>
            </w:r>
          </w:p>
        </w:tc>
      </w:tr>
      <w:tr>
        <w:trPr>
          <w:trHeight w:val="230"/>
        </w:trPr>
        <w:tc>
          <w:tcPr>
            <w:tcW w:w="2940" w:type="dxa"/>
            <w:vAlign w:val="bottom"/>
          </w:tcPr>
          <w:p>
            <w:pPr>
              <w:spacing w:after="0"/>
              <w:rPr>
                <w:sz w:val="20"/>
                <w:szCs w:val="20"/>
                <w:color w:val="auto"/>
              </w:rPr>
            </w:pPr>
          </w:p>
        </w:tc>
        <w:tc>
          <w:tcPr>
            <w:tcW w:w="8480" w:type="dxa"/>
            <w:vAlign w:val="bottom"/>
          </w:tcPr>
          <w:p>
            <w:pPr>
              <w:ind w:left="1060"/>
              <w:spacing w:after="0"/>
              <w:rPr>
                <w:sz w:val="20"/>
                <w:szCs w:val="20"/>
                <w:color w:val="auto"/>
              </w:rPr>
            </w:pPr>
            <w:r>
              <w:rPr>
                <w:rFonts w:ascii="Arial" w:cs="Arial" w:eastAsia="Arial" w:hAnsi="Arial"/>
                <w:sz w:val="18"/>
                <w:szCs w:val="18"/>
                <w:color w:val="auto"/>
              </w:rPr>
              <w:t>further described in the Prospectus Supplement dated</w:t>
            </w:r>
          </w:p>
        </w:tc>
      </w:tr>
      <w:tr>
        <w:trPr>
          <w:trHeight w:val="405"/>
        </w:trPr>
        <w:tc>
          <w:tcPr>
            <w:tcW w:w="2940" w:type="dxa"/>
            <w:vAlign w:val="bottom"/>
          </w:tcPr>
          <w:p>
            <w:pPr>
              <w:spacing w:after="0"/>
              <w:rPr>
                <w:sz w:val="24"/>
                <w:szCs w:val="24"/>
                <w:color w:val="auto"/>
              </w:rPr>
            </w:pPr>
          </w:p>
        </w:tc>
        <w:tc>
          <w:tcPr>
            <w:tcW w:w="8480" w:type="dxa"/>
            <w:vAlign w:val="bottom"/>
          </w:tcPr>
          <w:p>
            <w:pPr>
              <w:ind w:left="2720"/>
              <w:spacing w:after="0"/>
              <w:rPr>
                <w:sz w:val="20"/>
                <w:szCs w:val="20"/>
                <w:color w:val="auto"/>
              </w:rPr>
            </w:pPr>
            <w:r>
              <w:rPr>
                <w:rFonts w:ascii="Arial" w:cs="Arial" w:eastAsia="Arial" w:hAnsi="Arial"/>
                <w:sz w:val="18"/>
                <w:szCs w:val="18"/>
                <w:color w:val="auto"/>
              </w:rPr>
              <w:t>5</w:t>
            </w:r>
          </w:p>
        </w:tc>
      </w:tr>
      <w:tr>
        <w:trPr>
          <w:trHeight w:val="226"/>
        </w:trPr>
        <w:tc>
          <w:tcPr>
            <w:tcW w:w="2940" w:type="dxa"/>
            <w:vAlign w:val="bottom"/>
            <w:tcBorders>
              <w:bottom w:val="single" w:sz="8" w:color="808080"/>
            </w:tcBorders>
          </w:tcPr>
          <w:p>
            <w:pPr>
              <w:spacing w:after="0"/>
              <w:rPr>
                <w:sz w:val="19"/>
                <w:szCs w:val="19"/>
                <w:color w:val="auto"/>
              </w:rPr>
            </w:pPr>
          </w:p>
        </w:tc>
        <w:tc>
          <w:tcPr>
            <w:tcW w:w="84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17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440" w:type="dxa"/>
            <w:vAlign w:val="bottom"/>
          </w:tcPr>
          <w:p>
            <w:pPr>
              <w:ind w:left="1020"/>
              <w:spacing w:after="0"/>
              <w:rPr>
                <w:sz w:val="20"/>
                <w:szCs w:val="20"/>
                <w:color w:val="auto"/>
              </w:rPr>
            </w:pPr>
            <w:r>
              <w:rPr>
                <w:rFonts w:ascii="Arial" w:cs="Arial" w:eastAsia="Arial" w:hAnsi="Arial"/>
                <w:sz w:val="18"/>
                <w:szCs w:val="18"/>
                <w:color w:val="auto"/>
              </w:rPr>
              <w:t>July 11, 2006.</w:t>
            </w:r>
          </w:p>
        </w:tc>
      </w:tr>
      <w:tr>
        <w:trPr>
          <w:trHeight w:val="418"/>
        </w:trPr>
        <w:tc>
          <w:tcPr>
            <w:tcW w:w="2980" w:type="dxa"/>
            <w:vAlign w:val="bottom"/>
            <w:gridSpan w:val="2"/>
          </w:tcPr>
          <w:p>
            <w:pPr>
              <w:spacing w:after="0"/>
              <w:rPr>
                <w:sz w:val="20"/>
                <w:szCs w:val="20"/>
                <w:color w:val="auto"/>
              </w:rPr>
            </w:pPr>
            <w:r>
              <w:rPr>
                <w:rFonts w:ascii="Arial" w:cs="Arial" w:eastAsia="Arial" w:hAnsi="Arial"/>
                <w:sz w:val="18"/>
                <w:szCs w:val="18"/>
                <w:b w:val="1"/>
                <w:bCs w:val="1"/>
                <w:color w:val="auto"/>
              </w:rPr>
              <w:t>Additional Issuances:</w:t>
            </w:r>
          </w:p>
        </w:tc>
        <w:tc>
          <w:tcPr>
            <w:tcW w:w="8440" w:type="dxa"/>
            <w:vAlign w:val="bottom"/>
          </w:tcPr>
          <w:p>
            <w:pPr>
              <w:ind w:left="1020"/>
              <w:spacing w:after="0"/>
              <w:rPr>
                <w:sz w:val="20"/>
                <w:szCs w:val="20"/>
                <w:color w:val="auto"/>
              </w:rPr>
            </w:pPr>
            <w:r>
              <w:rPr>
                <w:rFonts w:ascii="Arial" w:cs="Arial" w:eastAsia="Arial" w:hAnsi="Arial"/>
                <w:sz w:val="18"/>
                <w:szCs w:val="18"/>
                <w:color w:val="auto"/>
                <w:w w:val="97"/>
              </w:rPr>
              <w:t>An unlimited amount of additional Notes due 2009 may be issued. The Notes due 2009 and any</w:t>
            </w:r>
          </w:p>
        </w:tc>
      </w:tr>
      <w:tr>
        <w:trPr>
          <w:trHeight w:val="216"/>
        </w:trPr>
        <w:tc>
          <w:tcPr>
            <w:tcW w:w="17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440" w:type="dxa"/>
            <w:vAlign w:val="bottom"/>
          </w:tcPr>
          <w:p>
            <w:pPr>
              <w:ind w:left="1020"/>
              <w:spacing w:after="0"/>
              <w:rPr>
                <w:sz w:val="20"/>
                <w:szCs w:val="20"/>
                <w:color w:val="auto"/>
              </w:rPr>
            </w:pPr>
            <w:r>
              <w:rPr>
                <w:rFonts w:ascii="Arial" w:cs="Arial" w:eastAsia="Arial" w:hAnsi="Arial"/>
                <w:sz w:val="18"/>
                <w:szCs w:val="18"/>
                <w:color w:val="auto"/>
                <w:w w:val="91"/>
              </w:rPr>
              <w:t>additional Notes due 2009 that may be issued will be treated as a single series for all purposes under</w:t>
            </w:r>
          </w:p>
        </w:tc>
      </w:tr>
      <w:tr>
        <w:trPr>
          <w:trHeight w:val="230"/>
        </w:trPr>
        <w:tc>
          <w:tcPr>
            <w:tcW w:w="17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440" w:type="dxa"/>
            <w:vAlign w:val="bottom"/>
          </w:tcPr>
          <w:p>
            <w:pPr>
              <w:ind w:left="1020"/>
              <w:spacing w:after="0"/>
              <w:rPr>
                <w:sz w:val="20"/>
                <w:szCs w:val="20"/>
                <w:color w:val="auto"/>
              </w:rPr>
            </w:pPr>
            <w:r>
              <w:rPr>
                <w:rFonts w:ascii="Arial" w:cs="Arial" w:eastAsia="Arial" w:hAnsi="Arial"/>
                <w:sz w:val="18"/>
                <w:szCs w:val="18"/>
                <w:color w:val="auto"/>
              </w:rPr>
              <w:t>the indenture.</w:t>
            </w:r>
          </w:p>
        </w:tc>
      </w:tr>
      <w:tr>
        <w:trPr>
          <w:trHeight w:val="432"/>
        </w:trPr>
        <w:tc>
          <w:tcPr>
            <w:tcW w:w="2980" w:type="dxa"/>
            <w:vAlign w:val="bottom"/>
            <w:gridSpan w:val="2"/>
          </w:tcPr>
          <w:p>
            <w:pPr>
              <w:spacing w:after="0"/>
              <w:rPr>
                <w:sz w:val="20"/>
                <w:szCs w:val="20"/>
                <w:color w:val="auto"/>
              </w:rPr>
            </w:pPr>
            <w:r>
              <w:rPr>
                <w:rFonts w:ascii="Arial" w:cs="Arial" w:eastAsia="Arial" w:hAnsi="Arial"/>
                <w:sz w:val="18"/>
                <w:szCs w:val="18"/>
                <w:b w:val="1"/>
                <w:bCs w:val="1"/>
                <w:color w:val="auto"/>
              </w:rPr>
              <w:t>CUSIP Number:</w:t>
            </w:r>
          </w:p>
        </w:tc>
        <w:tc>
          <w:tcPr>
            <w:tcW w:w="8440" w:type="dxa"/>
            <w:vAlign w:val="bottom"/>
          </w:tcPr>
          <w:p>
            <w:pPr>
              <w:ind w:left="1020"/>
              <w:spacing w:after="0"/>
              <w:rPr>
                <w:sz w:val="20"/>
                <w:szCs w:val="20"/>
                <w:color w:val="auto"/>
              </w:rPr>
            </w:pPr>
            <w:r>
              <w:rPr>
                <w:rFonts w:ascii="Arial" w:cs="Arial" w:eastAsia="Arial" w:hAnsi="Arial"/>
                <w:sz w:val="18"/>
                <w:szCs w:val="18"/>
                <w:color w:val="auto"/>
              </w:rPr>
              <w:t>20030N AN 1</w:t>
            </w:r>
          </w:p>
        </w:tc>
      </w:tr>
      <w:tr>
        <w:trPr>
          <w:trHeight w:val="432"/>
        </w:trPr>
        <w:tc>
          <w:tcPr>
            <w:tcW w:w="2980" w:type="dxa"/>
            <w:vAlign w:val="bottom"/>
            <w:gridSpan w:val="2"/>
          </w:tcPr>
          <w:p>
            <w:pPr>
              <w:spacing w:after="0"/>
              <w:rPr>
                <w:sz w:val="20"/>
                <w:szCs w:val="20"/>
                <w:color w:val="auto"/>
              </w:rPr>
            </w:pPr>
            <w:r>
              <w:rPr>
                <w:rFonts w:ascii="Arial" w:cs="Arial" w:eastAsia="Arial" w:hAnsi="Arial"/>
                <w:sz w:val="18"/>
                <w:szCs w:val="18"/>
                <w:b w:val="1"/>
                <w:bCs w:val="1"/>
                <w:color w:val="auto"/>
              </w:rPr>
              <w:t>Public Offering Price:</w:t>
            </w:r>
          </w:p>
        </w:tc>
        <w:tc>
          <w:tcPr>
            <w:tcW w:w="8440" w:type="dxa"/>
            <w:vAlign w:val="bottom"/>
          </w:tcPr>
          <w:p>
            <w:pPr>
              <w:ind w:left="1020"/>
              <w:spacing w:after="0"/>
              <w:rPr>
                <w:sz w:val="20"/>
                <w:szCs w:val="20"/>
                <w:color w:val="auto"/>
              </w:rPr>
            </w:pPr>
            <w:r>
              <w:rPr>
                <w:rFonts w:ascii="Arial" w:cs="Arial" w:eastAsia="Arial" w:hAnsi="Arial"/>
                <w:sz w:val="18"/>
                <w:szCs w:val="18"/>
                <w:color w:val="auto"/>
              </w:rPr>
              <w:t>100% plus accrued interest, if any, from July 14, 2006</w:t>
            </w:r>
          </w:p>
        </w:tc>
      </w:tr>
      <w:tr>
        <w:trPr>
          <w:trHeight w:val="432"/>
        </w:trPr>
        <w:tc>
          <w:tcPr>
            <w:tcW w:w="2980" w:type="dxa"/>
            <w:vAlign w:val="bottom"/>
            <w:gridSpan w:val="2"/>
          </w:tcPr>
          <w:p>
            <w:pPr>
              <w:spacing w:after="0"/>
              <w:rPr>
                <w:sz w:val="20"/>
                <w:szCs w:val="20"/>
                <w:color w:val="auto"/>
              </w:rPr>
            </w:pPr>
            <w:r>
              <w:rPr>
                <w:rFonts w:ascii="Arial" w:cs="Arial" w:eastAsia="Arial" w:hAnsi="Arial"/>
                <w:sz w:val="18"/>
                <w:szCs w:val="18"/>
                <w:b w:val="1"/>
                <w:bCs w:val="1"/>
                <w:color w:val="auto"/>
              </w:rPr>
              <w:t>Gross Spread:</w:t>
            </w:r>
          </w:p>
        </w:tc>
        <w:tc>
          <w:tcPr>
            <w:tcW w:w="8440" w:type="dxa"/>
            <w:vAlign w:val="bottom"/>
          </w:tcPr>
          <w:p>
            <w:pPr>
              <w:ind w:left="1020"/>
              <w:spacing w:after="0"/>
              <w:rPr>
                <w:sz w:val="20"/>
                <w:szCs w:val="20"/>
                <w:color w:val="auto"/>
              </w:rPr>
            </w:pPr>
            <w:r>
              <w:rPr>
                <w:rFonts w:ascii="Arial" w:cs="Arial" w:eastAsia="Arial" w:hAnsi="Arial"/>
                <w:sz w:val="18"/>
                <w:szCs w:val="18"/>
                <w:color w:val="auto"/>
              </w:rPr>
              <w:t>0.35%</w:t>
            </w:r>
          </w:p>
        </w:tc>
      </w:tr>
      <w:tr>
        <w:trPr>
          <w:trHeight w:val="414"/>
        </w:trPr>
        <w:tc>
          <w:tcPr>
            <w:tcW w:w="2980" w:type="dxa"/>
            <w:vAlign w:val="bottom"/>
            <w:gridSpan w:val="2"/>
          </w:tcPr>
          <w:p>
            <w:pPr>
              <w:spacing w:after="0"/>
              <w:rPr>
                <w:sz w:val="20"/>
                <w:szCs w:val="20"/>
                <w:color w:val="auto"/>
              </w:rPr>
            </w:pPr>
            <w:r>
              <w:rPr>
                <w:rFonts w:ascii="Arial" w:cs="Arial" w:eastAsia="Arial" w:hAnsi="Arial"/>
                <w:sz w:val="18"/>
                <w:szCs w:val="18"/>
                <w:b w:val="1"/>
                <w:bCs w:val="1"/>
                <w:color w:val="auto"/>
              </w:rPr>
              <w:t>Net proceeds to Comcast,</w:t>
            </w:r>
          </w:p>
        </w:tc>
        <w:tc>
          <w:tcPr>
            <w:tcW w:w="8440" w:type="dxa"/>
            <w:vAlign w:val="bottom"/>
          </w:tcPr>
          <w:p>
            <w:pPr>
              <w:ind w:left="1020"/>
              <w:spacing w:after="0"/>
              <w:rPr>
                <w:sz w:val="20"/>
                <w:szCs w:val="20"/>
                <w:color w:val="auto"/>
              </w:rPr>
            </w:pPr>
            <w:r>
              <w:rPr>
                <w:rFonts w:ascii="Arial" w:cs="Arial" w:eastAsia="Arial" w:hAnsi="Arial"/>
                <w:sz w:val="18"/>
                <w:szCs w:val="18"/>
                <w:color w:val="auto"/>
              </w:rPr>
              <w:t>99.65% per $1,000 principal amount of Notes due 2009; $1,245,625,000 total</w:t>
            </w:r>
          </w:p>
        </w:tc>
      </w:tr>
      <w:tr>
        <w:trPr>
          <w:trHeight w:val="234"/>
        </w:trPr>
        <w:tc>
          <w:tcPr>
            <w:tcW w:w="2980" w:type="dxa"/>
            <w:vAlign w:val="bottom"/>
            <w:gridSpan w:val="2"/>
          </w:tcPr>
          <w:p>
            <w:pPr>
              <w:spacing w:after="0"/>
              <w:rPr>
                <w:sz w:val="20"/>
                <w:szCs w:val="20"/>
                <w:color w:val="auto"/>
              </w:rPr>
            </w:pPr>
            <w:r>
              <w:rPr>
                <w:rFonts w:ascii="Arial" w:cs="Arial" w:eastAsia="Arial" w:hAnsi="Arial"/>
                <w:sz w:val="18"/>
                <w:szCs w:val="18"/>
                <w:b w:val="1"/>
                <w:bCs w:val="1"/>
                <w:color w:val="auto"/>
              </w:rPr>
              <w:t>before expenses:</w:t>
            </w:r>
          </w:p>
        </w:tc>
        <w:tc>
          <w:tcPr>
            <w:tcW w:w="8440" w:type="dxa"/>
            <w:vAlign w:val="bottom"/>
          </w:tcPr>
          <w:p>
            <w:pPr>
              <w:spacing w:after="0"/>
              <w:rPr>
                <w:sz w:val="20"/>
                <w:szCs w:val="20"/>
                <w:color w:val="auto"/>
              </w:rPr>
            </w:pPr>
          </w:p>
        </w:tc>
      </w:tr>
      <w:tr>
        <w:trPr>
          <w:trHeight w:val="392"/>
        </w:trPr>
        <w:tc>
          <w:tcPr>
            <w:tcW w:w="1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6.</w:t>
            </w:r>
            <w:r>
              <w:rPr>
                <w:rFonts w:ascii="Arial" w:cs="Arial" w:eastAsia="Arial" w:hAnsi="Arial"/>
                <w:sz w:val="18"/>
                <w:szCs w:val="18"/>
                <w:b w:val="1"/>
                <w:bCs w:val="1"/>
                <w:u w:val="single" w:color="auto"/>
                <w:color w:val="auto"/>
                <w:w w:val="90"/>
              </w:rPr>
              <w:t>50%</w:t>
            </w:r>
            <w:r>
              <w:rPr>
                <w:rFonts w:ascii="Arial" w:cs="Arial" w:eastAsia="Arial" w:hAnsi="Arial"/>
                <w:sz w:val="18"/>
                <w:szCs w:val="18"/>
                <w:b w:val="1"/>
                <w:bCs w:val="1"/>
                <w:color w:val="auto"/>
                <w:w w:val="90"/>
              </w:rPr>
              <w:t xml:space="preserve"> Notes Due 2017</w:t>
            </w:r>
          </w:p>
        </w:tc>
        <w:tc>
          <w:tcPr>
            <w:tcW w:w="1240" w:type="dxa"/>
            <w:vAlign w:val="bottom"/>
          </w:tcPr>
          <w:p>
            <w:pPr>
              <w:spacing w:after="0"/>
              <w:rPr>
                <w:sz w:val="24"/>
                <w:szCs w:val="24"/>
                <w:color w:val="auto"/>
              </w:rPr>
            </w:pPr>
          </w:p>
        </w:tc>
        <w:tc>
          <w:tcPr>
            <w:tcW w:w="8440" w:type="dxa"/>
            <w:vAlign w:val="bottom"/>
          </w:tcPr>
          <w:p>
            <w:pPr>
              <w:spacing w:after="0"/>
              <w:rPr>
                <w:sz w:val="24"/>
                <w:szCs w:val="24"/>
                <w:color w:val="auto"/>
              </w:rPr>
            </w:pPr>
          </w:p>
        </w:tc>
      </w:tr>
      <w:tr>
        <w:trPr>
          <w:trHeight w:val="434"/>
        </w:trPr>
        <w:tc>
          <w:tcPr>
            <w:tcW w:w="2980" w:type="dxa"/>
            <w:vAlign w:val="bottom"/>
            <w:gridSpan w:val="2"/>
          </w:tcPr>
          <w:p>
            <w:pPr>
              <w:spacing w:after="0"/>
              <w:rPr>
                <w:sz w:val="20"/>
                <w:szCs w:val="20"/>
                <w:color w:val="auto"/>
              </w:rPr>
            </w:pPr>
            <w:r>
              <w:rPr>
                <w:rFonts w:ascii="Arial" w:cs="Arial" w:eastAsia="Arial" w:hAnsi="Arial"/>
                <w:sz w:val="18"/>
                <w:szCs w:val="18"/>
                <w:b w:val="1"/>
                <w:bCs w:val="1"/>
                <w:color w:val="auto"/>
              </w:rPr>
              <w:t>Aggregate Principal:</w:t>
            </w:r>
          </w:p>
        </w:tc>
        <w:tc>
          <w:tcPr>
            <w:tcW w:w="8440" w:type="dxa"/>
            <w:vAlign w:val="bottom"/>
          </w:tcPr>
          <w:p>
            <w:pPr>
              <w:ind w:left="1020"/>
              <w:spacing w:after="0"/>
              <w:rPr>
                <w:sz w:val="20"/>
                <w:szCs w:val="20"/>
                <w:color w:val="auto"/>
              </w:rPr>
            </w:pPr>
            <w:r>
              <w:rPr>
                <w:rFonts w:ascii="Arial" w:cs="Arial" w:eastAsia="Arial" w:hAnsi="Arial"/>
                <w:sz w:val="18"/>
                <w:szCs w:val="18"/>
                <w:color w:val="auto"/>
              </w:rPr>
              <w:t>$1,000,000,000</w:t>
            </w:r>
          </w:p>
        </w:tc>
      </w:tr>
      <w:tr>
        <w:trPr>
          <w:trHeight w:val="234"/>
        </w:trPr>
        <w:tc>
          <w:tcPr>
            <w:tcW w:w="2980" w:type="dxa"/>
            <w:vAlign w:val="bottom"/>
            <w:gridSpan w:val="2"/>
          </w:tcPr>
          <w:p>
            <w:pPr>
              <w:spacing w:after="0"/>
              <w:rPr>
                <w:sz w:val="20"/>
                <w:szCs w:val="20"/>
                <w:color w:val="auto"/>
              </w:rPr>
            </w:pPr>
            <w:r>
              <w:rPr>
                <w:rFonts w:ascii="Arial" w:cs="Arial" w:eastAsia="Arial" w:hAnsi="Arial"/>
                <w:sz w:val="18"/>
                <w:szCs w:val="18"/>
                <w:b w:val="1"/>
                <w:bCs w:val="1"/>
                <w:color w:val="auto"/>
              </w:rPr>
              <w:t>Amount:</w:t>
            </w:r>
          </w:p>
        </w:tc>
        <w:tc>
          <w:tcPr>
            <w:tcW w:w="8440" w:type="dxa"/>
            <w:vAlign w:val="bottom"/>
          </w:tcPr>
          <w:p>
            <w:pPr>
              <w:spacing w:after="0"/>
              <w:rPr>
                <w:sz w:val="20"/>
                <w:szCs w:val="20"/>
                <w:color w:val="auto"/>
              </w:rPr>
            </w:pPr>
          </w:p>
        </w:tc>
      </w:tr>
      <w:tr>
        <w:trPr>
          <w:trHeight w:val="432"/>
        </w:trPr>
        <w:tc>
          <w:tcPr>
            <w:tcW w:w="2980" w:type="dxa"/>
            <w:vAlign w:val="bottom"/>
            <w:gridSpan w:val="2"/>
          </w:tcPr>
          <w:p>
            <w:pPr>
              <w:spacing w:after="0"/>
              <w:rPr>
                <w:sz w:val="20"/>
                <w:szCs w:val="20"/>
                <w:color w:val="auto"/>
              </w:rPr>
            </w:pPr>
            <w:r>
              <w:rPr>
                <w:rFonts w:ascii="Arial" w:cs="Arial" w:eastAsia="Arial" w:hAnsi="Arial"/>
                <w:sz w:val="18"/>
                <w:szCs w:val="18"/>
                <w:b w:val="1"/>
                <w:bCs w:val="1"/>
                <w:color w:val="auto"/>
              </w:rPr>
              <w:t>Maturity:</w:t>
            </w:r>
          </w:p>
        </w:tc>
        <w:tc>
          <w:tcPr>
            <w:tcW w:w="8440" w:type="dxa"/>
            <w:vAlign w:val="bottom"/>
          </w:tcPr>
          <w:p>
            <w:pPr>
              <w:ind w:left="1020"/>
              <w:spacing w:after="0"/>
              <w:rPr>
                <w:sz w:val="20"/>
                <w:szCs w:val="20"/>
                <w:color w:val="auto"/>
              </w:rPr>
            </w:pPr>
            <w:r>
              <w:rPr>
                <w:rFonts w:ascii="Arial" w:cs="Arial" w:eastAsia="Arial" w:hAnsi="Arial"/>
                <w:sz w:val="18"/>
                <w:szCs w:val="18"/>
                <w:color w:val="auto"/>
              </w:rPr>
              <w:t>January 15, 2017</w:t>
            </w:r>
          </w:p>
        </w:tc>
      </w:tr>
      <w:tr>
        <w:trPr>
          <w:trHeight w:val="418"/>
        </w:trPr>
        <w:tc>
          <w:tcPr>
            <w:tcW w:w="2980" w:type="dxa"/>
            <w:vAlign w:val="bottom"/>
            <w:gridSpan w:val="2"/>
          </w:tcPr>
          <w:p>
            <w:pPr>
              <w:spacing w:after="0"/>
              <w:rPr>
                <w:sz w:val="20"/>
                <w:szCs w:val="20"/>
                <w:color w:val="auto"/>
              </w:rPr>
            </w:pPr>
            <w:r>
              <w:rPr>
                <w:rFonts w:ascii="Arial" w:cs="Arial" w:eastAsia="Arial" w:hAnsi="Arial"/>
                <w:sz w:val="18"/>
                <w:szCs w:val="18"/>
                <w:b w:val="1"/>
                <w:bCs w:val="1"/>
                <w:color w:val="auto"/>
              </w:rPr>
              <w:t>Interest Rate:</w:t>
            </w:r>
          </w:p>
        </w:tc>
        <w:tc>
          <w:tcPr>
            <w:tcW w:w="8440" w:type="dxa"/>
            <w:vAlign w:val="bottom"/>
          </w:tcPr>
          <w:p>
            <w:pPr>
              <w:ind w:left="1020"/>
              <w:spacing w:after="0"/>
              <w:rPr>
                <w:sz w:val="20"/>
                <w:szCs w:val="20"/>
                <w:color w:val="auto"/>
              </w:rPr>
            </w:pPr>
            <w:r>
              <w:rPr>
                <w:rFonts w:ascii="Arial" w:cs="Arial" w:eastAsia="Arial" w:hAnsi="Arial"/>
                <w:sz w:val="18"/>
                <w:szCs w:val="18"/>
                <w:color w:val="auto"/>
                <w:w w:val="90"/>
              </w:rPr>
              <w:t>6.50% per annum, accruing from July 14, 2006 (calculated on the basis of a 360-day year consisting of</w:t>
            </w:r>
          </w:p>
        </w:tc>
      </w:tr>
      <w:tr>
        <w:trPr>
          <w:trHeight w:val="230"/>
        </w:trPr>
        <w:tc>
          <w:tcPr>
            <w:tcW w:w="17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440" w:type="dxa"/>
            <w:vAlign w:val="bottom"/>
          </w:tcPr>
          <w:p>
            <w:pPr>
              <w:ind w:left="1020"/>
              <w:spacing w:after="0"/>
              <w:rPr>
                <w:sz w:val="20"/>
                <w:szCs w:val="20"/>
                <w:color w:val="auto"/>
              </w:rPr>
            </w:pPr>
            <w:r>
              <w:rPr>
                <w:rFonts w:ascii="Arial" w:cs="Arial" w:eastAsia="Arial" w:hAnsi="Arial"/>
                <w:sz w:val="18"/>
                <w:szCs w:val="18"/>
                <w:color w:val="auto"/>
              </w:rPr>
              <w:t>twelve 30-day months)</w:t>
            </w:r>
          </w:p>
        </w:tc>
      </w:tr>
      <w:tr>
        <w:trPr>
          <w:trHeight w:val="432"/>
        </w:trPr>
        <w:tc>
          <w:tcPr>
            <w:tcW w:w="2980" w:type="dxa"/>
            <w:vAlign w:val="bottom"/>
            <w:gridSpan w:val="2"/>
          </w:tcPr>
          <w:p>
            <w:pPr>
              <w:spacing w:after="0"/>
              <w:rPr>
                <w:sz w:val="20"/>
                <w:szCs w:val="20"/>
                <w:color w:val="auto"/>
              </w:rPr>
            </w:pPr>
            <w:r>
              <w:rPr>
                <w:rFonts w:ascii="Arial" w:cs="Arial" w:eastAsia="Arial" w:hAnsi="Arial"/>
                <w:sz w:val="18"/>
                <w:szCs w:val="18"/>
                <w:b w:val="1"/>
                <w:bCs w:val="1"/>
                <w:color w:val="auto"/>
              </w:rPr>
              <w:t>Interest Payment Dates:</w:t>
            </w:r>
          </w:p>
        </w:tc>
        <w:tc>
          <w:tcPr>
            <w:tcW w:w="8440" w:type="dxa"/>
            <w:vAlign w:val="bottom"/>
          </w:tcPr>
          <w:p>
            <w:pPr>
              <w:ind w:left="1020"/>
              <w:spacing w:after="0"/>
              <w:rPr>
                <w:sz w:val="20"/>
                <w:szCs w:val="20"/>
                <w:color w:val="auto"/>
              </w:rPr>
            </w:pPr>
            <w:r>
              <w:rPr>
                <w:rFonts w:ascii="Arial" w:cs="Arial" w:eastAsia="Arial" w:hAnsi="Arial"/>
                <w:sz w:val="18"/>
                <w:szCs w:val="18"/>
                <w:color w:val="auto"/>
              </w:rPr>
              <w:t>July 15 and January 15 commencing January 15, 2007</w:t>
            </w:r>
          </w:p>
        </w:tc>
      </w:tr>
      <w:tr>
        <w:trPr>
          <w:trHeight w:val="432"/>
        </w:trPr>
        <w:tc>
          <w:tcPr>
            <w:tcW w:w="2980" w:type="dxa"/>
            <w:vAlign w:val="bottom"/>
            <w:gridSpan w:val="2"/>
          </w:tcPr>
          <w:p>
            <w:pPr>
              <w:spacing w:after="0"/>
              <w:rPr>
                <w:sz w:val="20"/>
                <w:szCs w:val="20"/>
                <w:color w:val="auto"/>
              </w:rPr>
            </w:pPr>
            <w:r>
              <w:rPr>
                <w:rFonts w:ascii="Arial" w:cs="Arial" w:eastAsia="Arial" w:hAnsi="Arial"/>
                <w:sz w:val="18"/>
                <w:szCs w:val="18"/>
                <w:b w:val="1"/>
                <w:bCs w:val="1"/>
                <w:color w:val="auto"/>
              </w:rPr>
              <w:t>Pricing Benchmark:</w:t>
            </w:r>
          </w:p>
        </w:tc>
        <w:tc>
          <w:tcPr>
            <w:tcW w:w="8440" w:type="dxa"/>
            <w:vAlign w:val="bottom"/>
          </w:tcPr>
          <w:p>
            <w:pPr>
              <w:ind w:left="1020"/>
              <w:spacing w:after="0"/>
              <w:rPr>
                <w:sz w:val="20"/>
                <w:szCs w:val="20"/>
                <w:color w:val="auto"/>
              </w:rPr>
            </w:pPr>
            <w:r>
              <w:rPr>
                <w:rFonts w:ascii="Arial" w:cs="Arial" w:eastAsia="Arial" w:hAnsi="Arial"/>
                <w:sz w:val="18"/>
                <w:szCs w:val="18"/>
                <w:color w:val="auto"/>
              </w:rPr>
              <w:t>5.125% due 05/16</w:t>
            </w:r>
          </w:p>
        </w:tc>
      </w:tr>
      <w:tr>
        <w:trPr>
          <w:trHeight w:val="432"/>
        </w:trPr>
        <w:tc>
          <w:tcPr>
            <w:tcW w:w="2980" w:type="dxa"/>
            <w:vAlign w:val="bottom"/>
            <w:gridSpan w:val="2"/>
          </w:tcPr>
          <w:p>
            <w:pPr>
              <w:spacing w:after="0"/>
              <w:rPr>
                <w:sz w:val="20"/>
                <w:szCs w:val="20"/>
                <w:color w:val="auto"/>
              </w:rPr>
            </w:pPr>
            <w:r>
              <w:rPr>
                <w:rFonts w:ascii="Arial" w:cs="Arial" w:eastAsia="Arial" w:hAnsi="Arial"/>
                <w:sz w:val="18"/>
                <w:szCs w:val="18"/>
                <w:b w:val="1"/>
                <w:bCs w:val="1"/>
                <w:color w:val="auto"/>
              </w:rPr>
              <w:t>UST Spot (Yield):</w:t>
            </w:r>
          </w:p>
        </w:tc>
        <w:tc>
          <w:tcPr>
            <w:tcW w:w="8440" w:type="dxa"/>
            <w:vAlign w:val="bottom"/>
          </w:tcPr>
          <w:p>
            <w:pPr>
              <w:ind w:left="1020"/>
              <w:spacing w:after="0"/>
              <w:rPr>
                <w:sz w:val="20"/>
                <w:szCs w:val="20"/>
                <w:color w:val="auto"/>
              </w:rPr>
            </w:pPr>
            <w:r>
              <w:rPr>
                <w:rFonts w:ascii="Arial" w:cs="Arial" w:eastAsia="Arial" w:hAnsi="Arial"/>
                <w:sz w:val="18"/>
                <w:szCs w:val="18"/>
                <w:color w:val="auto"/>
              </w:rPr>
              <w:t>5.102%</w:t>
            </w:r>
          </w:p>
        </w:tc>
      </w:tr>
      <w:tr>
        <w:trPr>
          <w:trHeight w:val="432"/>
        </w:trPr>
        <w:tc>
          <w:tcPr>
            <w:tcW w:w="2980" w:type="dxa"/>
            <w:vAlign w:val="bottom"/>
            <w:gridSpan w:val="2"/>
          </w:tcPr>
          <w:p>
            <w:pPr>
              <w:spacing w:after="0"/>
              <w:rPr>
                <w:sz w:val="20"/>
                <w:szCs w:val="20"/>
                <w:color w:val="auto"/>
              </w:rPr>
            </w:pPr>
            <w:r>
              <w:rPr>
                <w:rFonts w:ascii="Arial" w:cs="Arial" w:eastAsia="Arial" w:hAnsi="Arial"/>
                <w:sz w:val="18"/>
                <w:szCs w:val="18"/>
                <w:b w:val="1"/>
                <w:bCs w:val="1"/>
                <w:color w:val="auto"/>
              </w:rPr>
              <w:t>Spread to Benchmark:</w:t>
            </w:r>
          </w:p>
        </w:tc>
        <w:tc>
          <w:tcPr>
            <w:tcW w:w="8440" w:type="dxa"/>
            <w:vAlign w:val="bottom"/>
          </w:tcPr>
          <w:p>
            <w:pPr>
              <w:ind w:left="1020"/>
              <w:spacing w:after="0"/>
              <w:rPr>
                <w:sz w:val="20"/>
                <w:szCs w:val="20"/>
                <w:color w:val="auto"/>
              </w:rPr>
            </w:pPr>
            <w:r>
              <w:rPr>
                <w:rFonts w:ascii="Arial" w:cs="Arial" w:eastAsia="Arial" w:hAnsi="Arial"/>
                <w:sz w:val="18"/>
                <w:szCs w:val="18"/>
                <w:color w:val="auto"/>
              </w:rPr>
              <w:t>+143 bps</w:t>
            </w:r>
          </w:p>
        </w:tc>
      </w:tr>
      <w:tr>
        <w:trPr>
          <w:trHeight w:val="405"/>
        </w:trPr>
        <w:tc>
          <w:tcPr>
            <w:tcW w:w="1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440" w:type="dxa"/>
            <w:vAlign w:val="bottom"/>
          </w:tcPr>
          <w:p>
            <w:pPr>
              <w:ind w:left="2680"/>
              <w:spacing w:after="0"/>
              <w:rPr>
                <w:sz w:val="20"/>
                <w:szCs w:val="20"/>
                <w:color w:val="auto"/>
              </w:rPr>
            </w:pPr>
            <w:r>
              <w:rPr>
                <w:rFonts w:ascii="Arial" w:cs="Arial" w:eastAsia="Arial" w:hAnsi="Arial"/>
                <w:sz w:val="18"/>
                <w:szCs w:val="18"/>
                <w:color w:val="auto"/>
              </w:rPr>
              <w:t>6</w:t>
            </w:r>
          </w:p>
        </w:tc>
      </w:tr>
      <w:tr>
        <w:trPr>
          <w:trHeight w:val="226"/>
        </w:trPr>
        <w:tc>
          <w:tcPr>
            <w:tcW w:w="174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84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7" w:name="page8"/>
    <w:bookmarkEnd w:id="7"/>
    <w:p>
      <w:pPr>
        <w:spacing w:after="0"/>
        <w:rPr>
          <w:sz w:val="20"/>
          <w:szCs w:val="20"/>
          <w:color w:val="auto"/>
        </w:rPr>
      </w:pPr>
      <w:r>
        <w:rPr>
          <w:rFonts w:ascii="Arial" w:cs="Arial" w:eastAsia="Arial" w:hAnsi="Arial"/>
          <w:sz w:val="17"/>
          <w:szCs w:val="17"/>
          <w:b w:val="1"/>
          <w:bCs w:val="1"/>
          <w:color w:val="auto"/>
        </w:rPr>
        <w:t>Yield to Maturity: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6.532%</w:t>
      </w:r>
    </w:p>
    <w:p>
      <w:pPr>
        <w:spacing w:after="0" w:line="207" w:lineRule="exact"/>
        <w:rPr>
          <w:sz w:val="20"/>
          <w:szCs w:val="20"/>
          <w:color w:val="auto"/>
        </w:rPr>
      </w:pPr>
    </w:p>
    <w:p>
      <w:pPr>
        <w:sectPr>
          <w:pgSz w:w="11900" w:h="16838" w:orient="portrait"/>
          <w:cols w:equalWidth="0" w:num="2">
            <w:col w:w="3280" w:space="720"/>
            <w:col w:w="7380"/>
          </w:cols>
          <w:pgMar w:left="240" w:top="1148" w:right="279" w:bottom="1440" w:gutter="0" w:footer="0" w:header="0"/>
        </w:sectPr>
      </w:pP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Makewhole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Redemption:</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6.50% Notes due 2017 are redeemable at the option of the Company at any time, in whole or in part, at a redemption price equal to the greater of (i) 100% of the principal amount of such notes and (ii) the sum of the present values of remaining scheduled payments of principal and interest (exclusive of interest accrued to the date of redemption) discounted to the redemption date on a semiannual basis at the Treasury Rate plus 25 basis points, plus in each case accrued interest thereon to the date of redemption.</w:t>
      </w:r>
    </w:p>
    <w:p>
      <w:pPr>
        <w:spacing w:after="0" w:line="189" w:lineRule="exact"/>
        <w:rPr>
          <w:sz w:val="20"/>
          <w:szCs w:val="20"/>
          <w:color w:val="auto"/>
        </w:rPr>
      </w:pPr>
    </w:p>
    <w:p>
      <w:pPr>
        <w:sectPr>
          <w:pgSz w:w="11900" w:h="16838" w:orient="portrait"/>
          <w:cols w:equalWidth="0" w:num="2">
            <w:col w:w="3280" w:space="720"/>
            <w:col w:w="7380"/>
          </w:cols>
          <w:pgMar w:left="240" w:top="1148" w:right="2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Additional Issuances:</w:t>
      </w:r>
    </w:p>
    <w:p>
      <w:pPr>
        <w:spacing w:after="0" w:line="20" w:lineRule="exact"/>
        <w:rPr>
          <w:sz w:val="20"/>
          <w:szCs w:val="20"/>
          <w:color w:val="auto"/>
        </w:rPr>
      </w:pPr>
      <w:r>
        <w:rPr>
          <w:sz w:val="20"/>
          <w:szCs w:val="20"/>
          <w:color w:val="auto"/>
        </w:rPr>
        <w:br w:type="column"/>
      </w:r>
    </w:p>
    <w:p>
      <w:pPr>
        <w:ind w:right="80"/>
        <w:spacing w:after="0" w:line="264" w:lineRule="auto"/>
        <w:rPr>
          <w:sz w:val="20"/>
          <w:szCs w:val="20"/>
          <w:color w:val="auto"/>
        </w:rPr>
      </w:pPr>
      <w:r>
        <w:rPr>
          <w:rFonts w:ascii="Arial" w:cs="Arial" w:eastAsia="Arial" w:hAnsi="Arial"/>
          <w:sz w:val="18"/>
          <w:szCs w:val="18"/>
          <w:color w:val="auto"/>
        </w:rPr>
        <w:t>An unlimited amount of additional 6.50% Notes due 2017 may be issued. The 6.50% Notes due 2017 and any additional 6.50% Notes due 2017 that may be issued will be treated as a single series for all purposes under the indenture.</w:t>
      </w:r>
    </w:p>
    <w:p>
      <w:pPr>
        <w:spacing w:after="0" w:line="177" w:lineRule="exact"/>
        <w:rPr>
          <w:sz w:val="20"/>
          <w:szCs w:val="20"/>
          <w:color w:val="auto"/>
        </w:rPr>
      </w:pPr>
    </w:p>
    <w:p>
      <w:pPr>
        <w:sectPr>
          <w:pgSz w:w="11900" w:h="16838" w:orient="portrait"/>
          <w:cols w:equalWidth="0" w:num="2">
            <w:col w:w="3280" w:space="720"/>
            <w:col w:w="7380"/>
          </w:cols>
          <w:pgMar w:left="240" w:top="1148" w:right="27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CUSIP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20030N AP 6</w:t>
      </w:r>
    </w:p>
    <w:p>
      <w:pPr>
        <w:spacing w:after="0" w:line="207" w:lineRule="exact"/>
        <w:rPr>
          <w:sz w:val="20"/>
          <w:szCs w:val="20"/>
          <w:color w:val="auto"/>
        </w:rPr>
      </w:pPr>
    </w:p>
    <w:p>
      <w:pPr>
        <w:sectPr>
          <w:pgSz w:w="11900" w:h="16838" w:orient="portrait"/>
          <w:cols w:equalWidth="0" w:num="2">
            <w:col w:w="3280" w:space="720"/>
            <w:col w:w="7380"/>
          </w:cols>
          <w:pgMar w:left="240" w:top="1148" w:right="27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Public Offering Price:</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99.759% plus accrued interest, if any, from July 14, 2006</w:t>
      </w:r>
    </w:p>
    <w:p>
      <w:pPr>
        <w:spacing w:after="0" w:line="200" w:lineRule="exact"/>
        <w:rPr>
          <w:sz w:val="20"/>
          <w:szCs w:val="20"/>
          <w:color w:val="auto"/>
        </w:rPr>
      </w:pPr>
    </w:p>
    <w:p>
      <w:pPr>
        <w:sectPr>
          <w:pgSz w:w="11900" w:h="16838" w:orient="portrait"/>
          <w:cols w:equalWidth="0" w:num="2">
            <w:col w:w="3280" w:space="720"/>
            <w:col w:w="7380"/>
          </w:cols>
          <w:pgMar w:left="240" w:top="1148" w:right="27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Gross Spread:</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0.65%</w:t>
      </w:r>
    </w:p>
    <w:p>
      <w:pPr>
        <w:spacing w:after="0" w:line="200" w:lineRule="exact"/>
        <w:rPr>
          <w:sz w:val="20"/>
          <w:szCs w:val="20"/>
          <w:color w:val="auto"/>
        </w:rPr>
      </w:pPr>
    </w:p>
    <w:p>
      <w:pPr>
        <w:sectPr>
          <w:pgSz w:w="11900" w:h="16838" w:orient="portrait"/>
          <w:cols w:equalWidth="0" w:num="2">
            <w:col w:w="3280" w:space="720"/>
            <w:col w:w="7380"/>
          </w:cols>
          <w:pgMar w:left="240" w:top="1148" w:right="27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proceeds to Comcast,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before expenses: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99.109% per $1,000 principal amount of Notes due 2017; $991,090,000 total</w:t>
      </w:r>
    </w:p>
    <w:p>
      <w:pPr>
        <w:spacing w:after="0" w:line="356" w:lineRule="exact"/>
        <w:rPr>
          <w:sz w:val="20"/>
          <w:szCs w:val="20"/>
          <w:color w:val="auto"/>
        </w:rPr>
      </w:pPr>
    </w:p>
    <w:p>
      <w:pPr>
        <w:sectPr>
          <w:pgSz w:w="11900" w:h="16838" w:orient="portrait"/>
          <w:cols w:equalWidth="0" w:num="2">
            <w:col w:w="3280" w:space="720"/>
            <w:col w:w="7380"/>
          </w:cols>
          <w:pgMar w:left="240" w:top="1148" w:right="279" w:bottom="1440" w:gutter="0" w:footer="0" w:header="0"/>
          <w:type w:val="continuous"/>
        </w:sectPr>
      </w:pPr>
    </w:p>
    <w:p>
      <w:pPr>
        <w:ind w:right="100"/>
        <w:spacing w:after="0" w:line="257" w:lineRule="auto"/>
        <w:rPr>
          <w:sz w:val="20"/>
          <w:szCs w:val="20"/>
          <w:color w:val="auto"/>
        </w:rPr>
      </w:pPr>
      <w:r>
        <w:rPr>
          <w:rFonts w:ascii="Arial" w:cs="Arial" w:eastAsia="Arial" w:hAnsi="Arial"/>
          <w:sz w:val="18"/>
          <w:szCs w:val="18"/>
          <w:color w:val="auto"/>
        </w:rPr>
        <w:t xml:space="preserve">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t>
      </w:r>
      <w:r>
        <w:rPr>
          <w:rFonts w:ascii="Arial" w:cs="Arial" w:eastAsia="Arial" w:hAnsi="Arial"/>
          <w:sz w:val="18"/>
          <w:szCs w:val="18"/>
          <w:u w:val="single" w:color="auto"/>
          <w:color w:val="auto"/>
        </w:rPr>
        <w:t>www.sec.gov</w:t>
      </w:r>
      <w:r>
        <w:rPr>
          <w:rFonts w:ascii="Arial" w:cs="Arial" w:eastAsia="Arial" w:hAnsi="Arial"/>
          <w:sz w:val="18"/>
          <w:szCs w:val="18"/>
          <w:color w:val="auto"/>
        </w:rPr>
        <w:t>. Alternatively, the issuer, any underwriter or any dealer participating in the offering will arrange to send you the prospectus if you request it by calling Lehman Brothers Inc. toll-free at 1-888-603-5847, Morgan</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148" w:right="279" w:bottom="1440" w:gutter="0" w:footer="0" w:header="0"/>
          <w:type w:val="continuous"/>
        </w:sectPr>
      </w:pPr>
    </w:p>
    <w:bookmarkStart w:id="8" w:name="page9"/>
    <w:bookmarkEnd w:id="8"/>
    <w:p>
      <w:pPr>
        <w:ind w:right="459"/>
        <w:spacing w:after="0" w:line="277" w:lineRule="auto"/>
        <w:rPr>
          <w:sz w:val="20"/>
          <w:szCs w:val="20"/>
          <w:color w:val="auto"/>
        </w:rPr>
      </w:pPr>
      <w:r>
        <w:rPr>
          <w:rFonts w:ascii="Arial" w:cs="Arial" w:eastAsia="Arial" w:hAnsi="Arial"/>
          <w:sz w:val="18"/>
          <w:szCs w:val="18"/>
          <w:color w:val="auto"/>
        </w:rPr>
        <w:t>Stanley &amp; Co. Incorporated toll-free at 1-866-718-1649 or Greenwich Capital Markets, Inc. toll-free at 1-866-884-2071 or via e-mail at offeringmaterials@rbsgc.com.</w:t>
      </w:r>
    </w:p>
    <w:p>
      <w:pPr>
        <w:spacing w:after="0" w:line="14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8</w:t>
      </w:r>
    </w:p>
    <w:sectPr>
      <w:pgSz w:w="11900" w:h="16838" w:orient="portrait"/>
      <w:cols w:equalWidth="0" w:num="1">
        <w:col w:w="10219"/>
      </w:cols>
      <w:pgMar w:left="240" w:top="9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2019-12-15T06:42:47Z</dcterms:created>
  <dcterms:modified xsi:type="dcterms:W3CDTF">2019-12-15T06:42:47Z</dcterms:modified>
</cp:coreProperties>
</file>