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3, 2006</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-17780</wp:posOffset>
            </wp:positionV>
            <wp:extent cx="3346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121"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1880" w:type="dxa"/>
            <w:vAlign w:val="bottom"/>
          </w:tcPr>
          <w:p>
            <w:pPr>
              <w:jc w:val="center"/>
              <w:ind w:right="42"/>
              <w:spacing w:after="0"/>
              <w:rPr>
                <w:sz w:val="20"/>
                <w:szCs w:val="20"/>
                <w:color w:val="auto"/>
              </w:rPr>
            </w:pPr>
            <w:r>
              <w:rPr>
                <w:rFonts w:ascii="Arial" w:cs="Arial" w:eastAsia="Arial" w:hAnsi="Arial"/>
                <w:sz w:val="18"/>
                <w:szCs w:val="18"/>
                <w:b w:val="1"/>
                <w:bCs w:val="1"/>
                <w:color w:val="auto"/>
                <w:w w:val="86"/>
              </w:rPr>
              <w:t>Pennsylvania</w:t>
            </w:r>
          </w:p>
        </w:tc>
        <w:tc>
          <w:tcPr>
            <w:tcW w:w="5860" w:type="dxa"/>
            <w:vAlign w:val="bottom"/>
            <w:gridSpan w:val="3"/>
          </w:tcPr>
          <w:p>
            <w:pPr>
              <w:jc w:val="right"/>
              <w:ind w:right="552"/>
              <w:spacing w:after="0"/>
              <w:rPr>
                <w:sz w:val="20"/>
                <w:szCs w:val="20"/>
                <w:color w:val="auto"/>
              </w:rPr>
            </w:pPr>
            <w:r>
              <w:rPr>
                <w:rFonts w:ascii="Arial" w:cs="Arial" w:eastAsia="Arial" w:hAnsi="Arial"/>
                <w:sz w:val="18"/>
                <w:szCs w:val="18"/>
                <w:b w:val="1"/>
                <w:bCs w:val="1"/>
                <w:color w:val="auto"/>
              </w:rPr>
              <w:t>27-0000798</w:t>
            </w:r>
          </w:p>
        </w:tc>
      </w:tr>
      <w:tr>
        <w:trPr>
          <w:trHeight w:val="149"/>
        </w:trPr>
        <w:tc>
          <w:tcPr>
            <w:tcW w:w="18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8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020" w:type="dxa"/>
            <w:vAlign w:val="bottom"/>
          </w:tcPr>
          <w:p>
            <w:pPr>
              <w:jc w:val="center"/>
              <w:ind w:left="89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1880" w:type="dxa"/>
            <w:vAlign w:val="bottom"/>
          </w:tcPr>
          <w:p>
            <w:pPr>
              <w:jc w:val="center"/>
              <w:ind w:right="42"/>
              <w:spacing w:after="0"/>
              <w:rPr>
                <w:sz w:val="20"/>
                <w:szCs w:val="20"/>
                <w:color w:val="auto"/>
              </w:rPr>
            </w:pPr>
            <w:r>
              <w:rPr>
                <w:rFonts w:ascii="Arial" w:cs="Arial" w:eastAsia="Arial" w:hAnsi="Arial"/>
                <w:sz w:val="14"/>
                <w:szCs w:val="14"/>
                <w:b w:val="1"/>
                <w:bCs w:val="1"/>
                <w:color w:val="auto"/>
                <w:w w:val="88"/>
              </w:rPr>
              <w:t>incorporation or organization)</w:t>
            </w:r>
          </w:p>
        </w:tc>
        <w:tc>
          <w:tcPr>
            <w:tcW w:w="8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351"/>
        </w:trPr>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80" w:type="dxa"/>
            <w:vAlign w:val="bottom"/>
            <w:gridSpan w:val="2"/>
          </w:tcPr>
          <w:p>
            <w:pPr>
              <w:jc w:val="center"/>
              <w:ind w:right="2972"/>
              <w:spacing w:after="0"/>
              <w:rPr>
                <w:sz w:val="20"/>
                <w:szCs w:val="20"/>
                <w:color w:val="auto"/>
              </w:rPr>
            </w:pPr>
            <w:r>
              <w:rPr>
                <w:rFonts w:ascii="Arial" w:cs="Arial" w:eastAsia="Arial" w:hAnsi="Arial"/>
                <w:sz w:val="18"/>
                <w:szCs w:val="18"/>
                <w:b w:val="1"/>
                <w:bCs w:val="1"/>
                <w:color w:val="auto"/>
                <w:w w:val="91"/>
              </w:rPr>
              <w:t>1500 Market Street</w:t>
            </w:r>
          </w:p>
        </w:tc>
      </w:tr>
      <w:tr>
        <w:trPr>
          <w:trHeight w:val="216"/>
        </w:trPr>
        <w:tc>
          <w:tcPr>
            <w:tcW w:w="1880" w:type="dxa"/>
            <w:vAlign w:val="bottom"/>
          </w:tcPr>
          <w:p>
            <w:pPr>
              <w:spacing w:after="0"/>
              <w:rPr>
                <w:sz w:val="18"/>
                <w:szCs w:val="18"/>
                <w:color w:val="auto"/>
              </w:rPr>
            </w:pPr>
          </w:p>
        </w:tc>
        <w:tc>
          <w:tcPr>
            <w:tcW w:w="5860" w:type="dxa"/>
            <w:vAlign w:val="bottom"/>
            <w:gridSpan w:val="3"/>
          </w:tcPr>
          <w:p>
            <w:pPr>
              <w:jc w:val="center"/>
              <w:ind w:right="2092"/>
              <w:spacing w:after="0"/>
              <w:rPr>
                <w:sz w:val="20"/>
                <w:szCs w:val="20"/>
                <w:color w:val="auto"/>
              </w:rPr>
            </w:pPr>
            <w:r>
              <w:rPr>
                <w:rFonts w:ascii="Arial" w:cs="Arial" w:eastAsia="Arial" w:hAnsi="Arial"/>
                <w:sz w:val="18"/>
                <w:szCs w:val="18"/>
                <w:b w:val="1"/>
                <w:bCs w:val="1"/>
                <w:color w:val="auto"/>
                <w:w w:val="88"/>
              </w:rPr>
              <w:t>Philadelphia, PA 19102-2148</w:t>
            </w:r>
          </w:p>
        </w:tc>
      </w:tr>
      <w:tr>
        <w:trPr>
          <w:trHeight w:val="218"/>
        </w:trPr>
        <w:tc>
          <w:tcPr>
            <w:tcW w:w="1880" w:type="dxa"/>
            <w:vAlign w:val="bottom"/>
          </w:tcPr>
          <w:p>
            <w:pPr>
              <w:spacing w:after="0"/>
              <w:rPr>
                <w:sz w:val="18"/>
                <w:szCs w:val="18"/>
                <w:color w:val="auto"/>
              </w:rPr>
            </w:pPr>
          </w:p>
        </w:tc>
        <w:tc>
          <w:tcPr>
            <w:tcW w:w="2840" w:type="dxa"/>
            <w:vAlign w:val="bottom"/>
            <w:gridSpan w:val="2"/>
          </w:tcPr>
          <w:p>
            <w:pPr>
              <w:jc w:val="center"/>
              <w:ind w:left="778"/>
              <w:spacing w:after="0"/>
              <w:rPr>
                <w:sz w:val="20"/>
                <w:szCs w:val="20"/>
                <w:color w:val="auto"/>
              </w:rPr>
            </w:pPr>
            <w:r>
              <w:rPr>
                <w:rFonts w:ascii="Arial" w:cs="Arial" w:eastAsia="Arial" w:hAnsi="Arial"/>
                <w:sz w:val="18"/>
                <w:szCs w:val="18"/>
                <w:b w:val="1"/>
                <w:bCs w:val="1"/>
                <w:color w:val="auto"/>
                <w:w w:val="89"/>
              </w:rPr>
              <w:t>(215) 665-1700</w:t>
            </w:r>
          </w:p>
        </w:tc>
        <w:tc>
          <w:tcPr>
            <w:tcW w:w="3020" w:type="dxa"/>
            <w:vAlign w:val="bottom"/>
          </w:tcPr>
          <w:p>
            <w:pPr>
              <w:spacing w:after="0"/>
              <w:rPr>
                <w:sz w:val="18"/>
                <w:szCs w:val="18"/>
                <w:color w:val="auto"/>
              </w:rPr>
            </w:pPr>
          </w:p>
        </w:tc>
      </w:tr>
      <w:tr>
        <w:trPr>
          <w:trHeight w:val="174"/>
        </w:trPr>
        <w:tc>
          <w:tcPr>
            <w:tcW w:w="1880" w:type="dxa"/>
            <w:vAlign w:val="bottom"/>
          </w:tcPr>
          <w:p>
            <w:pPr>
              <w:spacing w:after="0"/>
              <w:rPr>
                <w:sz w:val="15"/>
                <w:szCs w:val="15"/>
                <w:color w:val="auto"/>
              </w:rPr>
            </w:pPr>
          </w:p>
        </w:tc>
        <w:tc>
          <w:tcPr>
            <w:tcW w:w="5860" w:type="dxa"/>
            <w:vAlign w:val="bottom"/>
            <w:gridSpan w:val="3"/>
          </w:tcPr>
          <w:p>
            <w:pPr>
              <w:jc w:val="center"/>
              <w:ind w:right="2072"/>
              <w:spacing w:after="0"/>
              <w:rPr>
                <w:sz w:val="20"/>
                <w:szCs w:val="20"/>
                <w:color w:val="auto"/>
              </w:rPr>
            </w:pPr>
            <w:r>
              <w:rPr>
                <w:rFonts w:ascii="Arial" w:cs="Arial" w:eastAsia="Arial" w:hAnsi="Arial"/>
                <w:sz w:val="14"/>
                <w:szCs w:val="14"/>
                <w:b w:val="1"/>
                <w:bCs w:val="1"/>
                <w:color w:val="auto"/>
                <w:w w:val="85"/>
              </w:rPr>
              <w:t>(Address of principal executive offices)</w:t>
            </w:r>
          </w:p>
        </w:tc>
      </w:tr>
      <w:tr>
        <w:trPr>
          <w:trHeight w:val="339"/>
        </w:trPr>
        <w:tc>
          <w:tcPr>
            <w:tcW w:w="7740" w:type="dxa"/>
            <w:vAlign w:val="bottom"/>
            <w:gridSpan w:val="4"/>
          </w:tcPr>
          <w:p>
            <w:pPr>
              <w:jc w:val="center"/>
              <w:ind w:right="212"/>
              <w:spacing w:after="0"/>
              <w:rPr>
                <w:sz w:val="20"/>
                <w:szCs w:val="20"/>
                <w:color w:val="auto"/>
              </w:rPr>
            </w:pPr>
            <w:r>
              <w:rPr>
                <w:rFonts w:ascii="Arial" w:cs="Arial" w:eastAsia="Arial" w:hAnsi="Arial"/>
                <w:sz w:val="18"/>
                <w:szCs w:val="18"/>
                <w:b w:val="1"/>
                <w:bCs w:val="1"/>
                <w:color w:val="auto"/>
                <w:w w:val="96"/>
              </w:rPr>
              <w:t>COMCAST CORPORATION 2002 RESTRICTED STOCK PLAN</w:t>
            </w:r>
          </w:p>
        </w:tc>
      </w:tr>
      <w:tr>
        <w:trPr>
          <w:trHeight w:val="174"/>
        </w:trPr>
        <w:tc>
          <w:tcPr>
            <w:tcW w:w="1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980" w:type="dxa"/>
            <w:vAlign w:val="bottom"/>
            <w:gridSpan w:val="2"/>
          </w:tcPr>
          <w:p>
            <w:pPr>
              <w:jc w:val="center"/>
              <w:ind w:right="2972"/>
              <w:spacing w:after="0"/>
              <w:rPr>
                <w:sz w:val="20"/>
                <w:szCs w:val="20"/>
                <w:color w:val="auto"/>
              </w:rPr>
            </w:pPr>
            <w:r>
              <w:rPr>
                <w:rFonts w:ascii="Arial" w:cs="Arial" w:eastAsia="Arial" w:hAnsi="Arial"/>
                <w:sz w:val="14"/>
                <w:szCs w:val="14"/>
                <w:b w:val="1"/>
                <w:bCs w:val="1"/>
                <w:color w:val="auto"/>
                <w:w w:val="88"/>
              </w:rPr>
              <w:t>(Full title of the plan)</w:t>
            </w:r>
          </w:p>
        </w:tc>
      </w:tr>
      <w:tr>
        <w:trPr>
          <w:trHeight w:val="337"/>
        </w:trPr>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80" w:type="dxa"/>
            <w:vAlign w:val="bottom"/>
            <w:gridSpan w:val="2"/>
          </w:tcPr>
          <w:p>
            <w:pPr>
              <w:jc w:val="center"/>
              <w:ind w:right="2972"/>
              <w:spacing w:after="0"/>
              <w:rPr>
                <w:sz w:val="20"/>
                <w:szCs w:val="20"/>
                <w:color w:val="auto"/>
              </w:rPr>
            </w:pPr>
            <w:r>
              <w:rPr>
                <w:rFonts w:ascii="Arial" w:cs="Arial" w:eastAsia="Arial" w:hAnsi="Arial"/>
                <w:sz w:val="18"/>
                <w:szCs w:val="18"/>
                <w:b w:val="1"/>
                <w:bCs w:val="1"/>
                <w:color w:val="auto"/>
                <w:w w:val="92"/>
              </w:rPr>
              <w:t>Arthur R. Block</w:t>
            </w:r>
          </w:p>
        </w:tc>
      </w:tr>
      <w:tr>
        <w:trPr>
          <w:trHeight w:val="216"/>
        </w:trPr>
        <w:tc>
          <w:tcPr>
            <w:tcW w:w="1880" w:type="dxa"/>
            <w:vAlign w:val="bottom"/>
          </w:tcPr>
          <w:p>
            <w:pPr>
              <w:spacing w:after="0"/>
              <w:rPr>
                <w:sz w:val="18"/>
                <w:szCs w:val="18"/>
                <w:color w:val="auto"/>
              </w:rPr>
            </w:pPr>
          </w:p>
        </w:tc>
        <w:tc>
          <w:tcPr>
            <w:tcW w:w="5860" w:type="dxa"/>
            <w:vAlign w:val="bottom"/>
            <w:gridSpan w:val="3"/>
          </w:tcPr>
          <w:p>
            <w:pPr>
              <w:jc w:val="center"/>
              <w:ind w:right="2072"/>
              <w:spacing w:after="0"/>
              <w:rPr>
                <w:sz w:val="20"/>
                <w:szCs w:val="20"/>
                <w:color w:val="auto"/>
              </w:rPr>
            </w:pPr>
            <w:r>
              <w:rPr>
                <w:rFonts w:ascii="Arial" w:cs="Arial" w:eastAsia="Arial" w:hAnsi="Arial"/>
                <w:sz w:val="18"/>
                <w:szCs w:val="18"/>
                <w:b w:val="1"/>
                <w:bCs w:val="1"/>
                <w:color w:val="auto"/>
                <w:w w:val="87"/>
              </w:rPr>
              <w:t>Senior Vice President and General Counsel</w:t>
            </w:r>
          </w:p>
        </w:tc>
      </w:tr>
      <w:tr>
        <w:trPr>
          <w:trHeight w:val="216"/>
        </w:trPr>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980" w:type="dxa"/>
            <w:vAlign w:val="bottom"/>
            <w:gridSpan w:val="2"/>
          </w:tcPr>
          <w:p>
            <w:pPr>
              <w:jc w:val="center"/>
              <w:ind w:right="2952"/>
              <w:spacing w:after="0"/>
              <w:rPr>
                <w:sz w:val="20"/>
                <w:szCs w:val="20"/>
                <w:color w:val="auto"/>
              </w:rPr>
            </w:pPr>
            <w:r>
              <w:rPr>
                <w:rFonts w:ascii="Arial" w:cs="Arial" w:eastAsia="Arial" w:hAnsi="Arial"/>
                <w:sz w:val="18"/>
                <w:szCs w:val="18"/>
                <w:b w:val="1"/>
                <w:bCs w:val="1"/>
                <w:color w:val="auto"/>
                <w:w w:val="89"/>
              </w:rPr>
              <w:t>Comcast Corporation</w:t>
            </w:r>
          </w:p>
        </w:tc>
      </w:tr>
      <w:tr>
        <w:trPr>
          <w:trHeight w:val="216"/>
        </w:trPr>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980" w:type="dxa"/>
            <w:vAlign w:val="bottom"/>
            <w:gridSpan w:val="2"/>
          </w:tcPr>
          <w:p>
            <w:pPr>
              <w:jc w:val="center"/>
              <w:ind w:right="2972"/>
              <w:spacing w:after="0"/>
              <w:rPr>
                <w:sz w:val="20"/>
                <w:szCs w:val="20"/>
                <w:color w:val="auto"/>
              </w:rPr>
            </w:pPr>
            <w:r>
              <w:rPr>
                <w:rFonts w:ascii="Arial" w:cs="Arial" w:eastAsia="Arial" w:hAnsi="Arial"/>
                <w:sz w:val="18"/>
                <w:szCs w:val="18"/>
                <w:b w:val="1"/>
                <w:bCs w:val="1"/>
                <w:color w:val="auto"/>
                <w:w w:val="91"/>
              </w:rPr>
              <w:t>1500 Market Street</w:t>
            </w:r>
          </w:p>
        </w:tc>
      </w:tr>
      <w:tr>
        <w:trPr>
          <w:trHeight w:val="218"/>
        </w:trPr>
        <w:tc>
          <w:tcPr>
            <w:tcW w:w="1880" w:type="dxa"/>
            <w:vAlign w:val="bottom"/>
          </w:tcPr>
          <w:p>
            <w:pPr>
              <w:spacing w:after="0"/>
              <w:rPr>
                <w:sz w:val="18"/>
                <w:szCs w:val="18"/>
                <w:color w:val="auto"/>
              </w:rPr>
            </w:pPr>
          </w:p>
        </w:tc>
        <w:tc>
          <w:tcPr>
            <w:tcW w:w="5860" w:type="dxa"/>
            <w:vAlign w:val="bottom"/>
            <w:gridSpan w:val="3"/>
          </w:tcPr>
          <w:p>
            <w:pPr>
              <w:jc w:val="center"/>
              <w:ind w:right="2072"/>
              <w:spacing w:after="0"/>
              <w:rPr>
                <w:sz w:val="20"/>
                <w:szCs w:val="20"/>
                <w:color w:val="auto"/>
              </w:rPr>
            </w:pPr>
            <w:r>
              <w:rPr>
                <w:rFonts w:ascii="Arial" w:cs="Arial" w:eastAsia="Arial" w:hAnsi="Arial"/>
                <w:sz w:val="18"/>
                <w:szCs w:val="18"/>
                <w:b w:val="1"/>
                <w:bCs w:val="1"/>
                <w:color w:val="auto"/>
                <w:w w:val="87"/>
              </w:rPr>
              <w:t>Philadelphia, Pennsylvania 19102-2148</w:t>
            </w:r>
          </w:p>
        </w:tc>
      </w:tr>
      <w:tr>
        <w:trPr>
          <w:trHeight w:val="174"/>
        </w:trPr>
        <w:tc>
          <w:tcPr>
            <w:tcW w:w="1880" w:type="dxa"/>
            <w:vAlign w:val="bottom"/>
          </w:tcPr>
          <w:p>
            <w:pPr>
              <w:spacing w:after="0"/>
              <w:rPr>
                <w:sz w:val="15"/>
                <w:szCs w:val="15"/>
                <w:color w:val="auto"/>
              </w:rPr>
            </w:pPr>
          </w:p>
        </w:tc>
        <w:tc>
          <w:tcPr>
            <w:tcW w:w="5860" w:type="dxa"/>
            <w:vAlign w:val="bottom"/>
            <w:gridSpan w:val="3"/>
          </w:tcPr>
          <w:p>
            <w:pPr>
              <w:jc w:val="center"/>
              <w:ind w:right="2072"/>
              <w:spacing w:after="0"/>
              <w:rPr>
                <w:sz w:val="20"/>
                <w:szCs w:val="20"/>
                <w:color w:val="auto"/>
              </w:rPr>
            </w:pPr>
            <w:r>
              <w:rPr>
                <w:rFonts w:ascii="Arial" w:cs="Arial" w:eastAsia="Arial" w:hAnsi="Arial"/>
                <w:sz w:val="14"/>
                <w:szCs w:val="14"/>
                <w:b w:val="1"/>
                <w:bCs w:val="1"/>
                <w:color w:val="auto"/>
                <w:w w:val="85"/>
              </w:rPr>
              <w:t>(Name and address of agent for service)</w:t>
            </w:r>
          </w:p>
        </w:tc>
      </w:tr>
      <w:tr>
        <w:trPr>
          <w:trHeight w:val="339"/>
        </w:trPr>
        <w:tc>
          <w:tcPr>
            <w:tcW w:w="1880" w:type="dxa"/>
            <w:vAlign w:val="bottom"/>
          </w:tcPr>
          <w:p>
            <w:pPr>
              <w:spacing w:after="0"/>
              <w:rPr>
                <w:sz w:val="24"/>
                <w:szCs w:val="24"/>
                <w:color w:val="auto"/>
              </w:rPr>
            </w:pPr>
          </w:p>
        </w:tc>
        <w:tc>
          <w:tcPr>
            <w:tcW w:w="2840" w:type="dxa"/>
            <w:vAlign w:val="bottom"/>
            <w:gridSpan w:val="2"/>
          </w:tcPr>
          <w:p>
            <w:pPr>
              <w:jc w:val="center"/>
              <w:ind w:left="778"/>
              <w:spacing w:after="0"/>
              <w:rPr>
                <w:sz w:val="20"/>
                <w:szCs w:val="20"/>
                <w:color w:val="auto"/>
              </w:rPr>
            </w:pPr>
            <w:r>
              <w:rPr>
                <w:rFonts w:ascii="Arial" w:cs="Arial" w:eastAsia="Arial" w:hAnsi="Arial"/>
                <w:sz w:val="18"/>
                <w:szCs w:val="18"/>
                <w:b w:val="1"/>
                <w:bCs w:val="1"/>
                <w:color w:val="auto"/>
                <w:w w:val="89"/>
              </w:rPr>
              <w:t>(215) 665-1700</w:t>
            </w:r>
          </w:p>
        </w:tc>
        <w:tc>
          <w:tcPr>
            <w:tcW w:w="3020" w:type="dxa"/>
            <w:vAlign w:val="bottom"/>
          </w:tcPr>
          <w:p>
            <w:pPr>
              <w:spacing w:after="0"/>
              <w:rPr>
                <w:sz w:val="24"/>
                <w:szCs w:val="24"/>
                <w:color w:val="auto"/>
              </w:rPr>
            </w:pPr>
          </w:p>
        </w:tc>
      </w:tr>
      <w:tr>
        <w:trPr>
          <w:trHeight w:val="174"/>
        </w:trPr>
        <w:tc>
          <w:tcPr>
            <w:tcW w:w="1880" w:type="dxa"/>
            <w:vAlign w:val="bottom"/>
          </w:tcPr>
          <w:p>
            <w:pPr>
              <w:spacing w:after="0"/>
              <w:rPr>
                <w:sz w:val="15"/>
                <w:szCs w:val="15"/>
                <w:color w:val="auto"/>
              </w:rPr>
            </w:pPr>
          </w:p>
        </w:tc>
        <w:tc>
          <w:tcPr>
            <w:tcW w:w="5860" w:type="dxa"/>
            <w:vAlign w:val="bottom"/>
            <w:gridSpan w:val="3"/>
          </w:tcPr>
          <w:p>
            <w:pPr>
              <w:jc w:val="center"/>
              <w:ind w:right="2072"/>
              <w:spacing w:after="0"/>
              <w:rPr>
                <w:sz w:val="20"/>
                <w:szCs w:val="20"/>
                <w:color w:val="auto"/>
              </w:rPr>
            </w:pPr>
            <w:r>
              <w:rPr>
                <w:rFonts w:ascii="Arial" w:cs="Arial" w:eastAsia="Arial" w:hAnsi="Arial"/>
                <w:sz w:val="14"/>
                <w:szCs w:val="14"/>
                <w:b w:val="1"/>
                <w:bCs w:val="1"/>
                <w:color w:val="auto"/>
                <w:w w:val="85"/>
              </w:rPr>
              <w:t>(Telephone number, including area code, of agent for service)</w:t>
            </w:r>
          </w:p>
        </w:tc>
      </w:tr>
      <w:tr>
        <w:trPr>
          <w:trHeight w:val="163"/>
        </w:trPr>
        <w:tc>
          <w:tcPr>
            <w:tcW w:w="1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3020" w:type="dxa"/>
            <w:vAlign w:val="bottom"/>
          </w:tcPr>
          <w:p>
            <w:pPr>
              <w:spacing w:after="0"/>
              <w:rPr>
                <w:sz w:val="14"/>
                <w:szCs w:val="14"/>
                <w:color w:val="auto"/>
              </w:rPr>
            </w:pPr>
          </w:p>
        </w:tc>
      </w:tr>
      <w:tr>
        <w:trPr>
          <w:trHeight w:val="383"/>
        </w:trPr>
        <w:tc>
          <w:tcPr>
            <w:tcW w:w="1880" w:type="dxa"/>
            <w:vAlign w:val="bottom"/>
          </w:tcPr>
          <w:p>
            <w:pPr>
              <w:spacing w:after="0"/>
              <w:rPr>
                <w:sz w:val="24"/>
                <w:szCs w:val="24"/>
                <w:color w:val="auto"/>
              </w:rPr>
            </w:pPr>
          </w:p>
        </w:tc>
        <w:tc>
          <w:tcPr>
            <w:tcW w:w="5860" w:type="dxa"/>
            <w:vAlign w:val="bottom"/>
            <w:gridSpan w:val="3"/>
          </w:tcPr>
          <w:p>
            <w:pPr>
              <w:jc w:val="center"/>
              <w:ind w:right="2092"/>
              <w:spacing w:after="0"/>
              <w:rPr>
                <w:sz w:val="20"/>
                <w:szCs w:val="20"/>
                <w:color w:val="auto"/>
              </w:rPr>
            </w:pPr>
            <w:r>
              <w:rPr>
                <w:rFonts w:ascii="Arial" w:cs="Arial" w:eastAsia="Arial" w:hAnsi="Arial"/>
                <w:sz w:val="18"/>
                <w:szCs w:val="18"/>
                <w:b w:val="1"/>
                <w:bCs w:val="1"/>
                <w:color w:val="auto"/>
                <w:w w:val="99"/>
              </w:rPr>
              <w:t>CALCULATION OF REGISTRATION FEE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3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Proposed</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maximum</w:t>
            </w:r>
          </w:p>
        </w:tc>
        <w:tc>
          <w:tcPr>
            <w:tcW w:w="13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20" w:type="dxa"/>
            <w:vAlign w:val="bottom"/>
          </w:tcPr>
          <w:p>
            <w:pPr>
              <w:jc w:val="center"/>
              <w:ind w:left="386"/>
              <w:spacing w:after="0" w:line="149" w:lineRule="exact"/>
              <w:rPr>
                <w:sz w:val="20"/>
                <w:szCs w:val="20"/>
                <w:color w:val="auto"/>
              </w:rPr>
            </w:pPr>
            <w:r>
              <w:rPr>
                <w:rFonts w:ascii="Arial" w:cs="Arial" w:eastAsia="Arial" w:hAnsi="Arial"/>
                <w:sz w:val="14"/>
                <w:szCs w:val="14"/>
                <w:b w:val="1"/>
                <w:bCs w:val="1"/>
                <w:color w:val="auto"/>
                <w:w w:val="85"/>
              </w:rPr>
              <w:t>Title of securities</w:t>
            </w:r>
          </w:p>
        </w:tc>
        <w:tc>
          <w:tcPr>
            <w:tcW w:w="2220" w:type="dxa"/>
            <w:vAlign w:val="bottom"/>
          </w:tcPr>
          <w:p>
            <w:pPr>
              <w:jc w:val="center"/>
              <w:ind w:left="646"/>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maximum offering</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340" w:type="dxa"/>
            <w:vAlign w:val="bottom"/>
          </w:tcPr>
          <w:p>
            <w:pPr>
              <w:jc w:val="center"/>
              <w:ind w:left="20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4520" w:type="dxa"/>
            <w:vAlign w:val="bottom"/>
            <w:tcBorders>
              <w:bottom w:val="single" w:sz="8" w:color="auto"/>
            </w:tcBorders>
          </w:tcPr>
          <w:p>
            <w:pPr>
              <w:jc w:val="center"/>
              <w:ind w:left="386"/>
              <w:spacing w:after="0"/>
              <w:rPr>
                <w:sz w:val="20"/>
                <w:szCs w:val="20"/>
                <w:color w:val="auto"/>
              </w:rPr>
            </w:pPr>
            <w:r>
              <w:rPr>
                <w:rFonts w:ascii="Arial" w:cs="Arial" w:eastAsia="Arial" w:hAnsi="Arial"/>
                <w:sz w:val="14"/>
                <w:szCs w:val="14"/>
                <w:b w:val="1"/>
                <w:bCs w:val="1"/>
                <w:color w:val="auto"/>
                <w:w w:val="85"/>
              </w:rPr>
              <w:t>to be registered</w:t>
            </w:r>
          </w:p>
        </w:tc>
        <w:tc>
          <w:tcPr>
            <w:tcW w:w="2220" w:type="dxa"/>
            <w:vAlign w:val="bottom"/>
            <w:tcBorders>
              <w:bottom w:val="single" w:sz="8" w:color="auto"/>
            </w:tcBorders>
          </w:tcPr>
          <w:p>
            <w:pPr>
              <w:jc w:val="center"/>
              <w:ind w:left="646"/>
              <w:spacing w:after="0"/>
              <w:rPr>
                <w:sz w:val="20"/>
                <w:szCs w:val="20"/>
                <w:color w:val="auto"/>
              </w:rPr>
            </w:pPr>
            <w:r>
              <w:rPr>
                <w:rFonts w:ascii="Arial" w:cs="Arial" w:eastAsia="Arial" w:hAnsi="Arial"/>
                <w:sz w:val="14"/>
                <w:szCs w:val="14"/>
                <w:b w:val="1"/>
                <w:bCs w:val="1"/>
                <w:color w:val="auto"/>
                <w:w w:val="85"/>
              </w:rPr>
              <w:t>registered (1) (2)</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 per unit (1)</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offering price (3)</w:t>
            </w:r>
          </w:p>
        </w:tc>
        <w:tc>
          <w:tcPr>
            <w:tcW w:w="1340" w:type="dxa"/>
            <w:vAlign w:val="bottom"/>
            <w:tcBorders>
              <w:bottom w:val="single" w:sz="8" w:color="auto"/>
            </w:tcBorders>
          </w:tcPr>
          <w:p>
            <w:pPr>
              <w:jc w:val="center"/>
              <w:ind w:left="206"/>
              <w:spacing w:after="0"/>
              <w:rPr>
                <w:sz w:val="20"/>
                <w:szCs w:val="20"/>
                <w:color w:val="auto"/>
              </w:rPr>
            </w:pPr>
            <w:r>
              <w:rPr>
                <w:rFonts w:ascii="Arial" w:cs="Arial" w:eastAsia="Arial" w:hAnsi="Arial"/>
                <w:sz w:val="14"/>
                <w:szCs w:val="14"/>
                <w:b w:val="1"/>
                <w:bCs w:val="1"/>
                <w:color w:val="auto"/>
                <w:w w:val="86"/>
              </w:rPr>
              <w:t>registration fee (3)</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Class A Common Stock, par value $0.01 per share</w:t>
            </w:r>
          </w:p>
        </w:tc>
        <w:tc>
          <w:tcPr>
            <w:tcW w:w="2220" w:type="dxa"/>
            <w:vAlign w:val="bottom"/>
          </w:tcPr>
          <w:p>
            <w:pPr>
              <w:jc w:val="center"/>
              <w:ind w:left="646"/>
              <w:spacing w:after="0"/>
              <w:rPr>
                <w:sz w:val="20"/>
                <w:szCs w:val="20"/>
                <w:color w:val="auto"/>
              </w:rPr>
            </w:pPr>
            <w:r>
              <w:rPr>
                <w:rFonts w:ascii="Arial" w:cs="Arial" w:eastAsia="Arial" w:hAnsi="Arial"/>
                <w:sz w:val="18"/>
                <w:szCs w:val="18"/>
                <w:color w:val="auto"/>
                <w:w w:val="86"/>
              </w:rPr>
              <w:t>20,000,000</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$25.98</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$519,600,000.00</w:t>
            </w:r>
          </w:p>
        </w:tc>
        <w:tc>
          <w:tcPr>
            <w:tcW w:w="1340" w:type="dxa"/>
            <w:vAlign w:val="bottom"/>
          </w:tcPr>
          <w:p>
            <w:pPr>
              <w:jc w:val="center"/>
              <w:ind w:left="206"/>
              <w:spacing w:after="0"/>
              <w:rPr>
                <w:sz w:val="20"/>
                <w:szCs w:val="20"/>
                <w:color w:val="auto"/>
              </w:rPr>
            </w:pPr>
            <w:r>
              <w:rPr>
                <w:rFonts w:ascii="Arial" w:cs="Arial" w:eastAsia="Arial" w:hAnsi="Arial"/>
                <w:sz w:val="18"/>
                <w:szCs w:val="18"/>
                <w:color w:val="auto"/>
                <w:w w:val="86"/>
              </w:rPr>
              <w:t>$55,597.20</w:t>
            </w:r>
          </w:p>
        </w:tc>
      </w:tr>
      <w:tr>
        <w:trPr>
          <w:trHeight w:val="125"/>
        </w:trPr>
        <w:tc>
          <w:tcPr>
            <w:tcW w:w="20" w:type="dxa"/>
            <w:vAlign w:val="bottom"/>
            <w:tcBorders>
              <w:bottom w:val="single" w:sz="8" w:color="auto"/>
            </w:tcBorders>
          </w:tcPr>
          <w:p>
            <w:pPr>
              <w:spacing w:after="0"/>
              <w:rPr>
                <w:sz w:val="10"/>
                <w:szCs w:val="10"/>
                <w:color w:val="auto"/>
              </w:rPr>
            </w:pPr>
          </w:p>
        </w:tc>
        <w:tc>
          <w:tcPr>
            <w:tcW w:w="45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4"/>
          <w:szCs w:val="24"/>
          <w:color w:val="auto"/>
        </w:rPr>
      </w:pPr>
    </w:p>
    <w:p>
      <w:pPr>
        <w:ind w:left="460" w:right="2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(the “Registration Statement”) registers the issuance of 20,000,000 shares of the Class A Common Stock (the “Common Stock”) of Comcast Corporation (the “Registrant”), par value $0.01, which are issuable pursuant to the Comcast Corporation 2002 Restricted Stock Plan, as amended and restated (the “Plan”).</w:t>
      </w:r>
    </w:p>
    <w:p>
      <w:pPr>
        <w:spacing w:after="0" w:line="45" w:lineRule="exact"/>
        <w:rPr>
          <w:rFonts w:ascii="Arial" w:cs="Arial" w:eastAsia="Arial" w:hAnsi="Arial"/>
          <w:sz w:val="18"/>
          <w:szCs w:val="18"/>
          <w:color w:val="auto"/>
        </w:rPr>
      </w:pPr>
    </w:p>
    <w:p>
      <w:pPr>
        <w:ind w:left="460" w:right="32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there shall also be deemed covered hereby such additional shares as may result from anti-dilution adjustments under the Plan and which may hereinafter be offered or issued to prevent dilution resulting from stock splits, stock dividends, recapitalizations or certain other capital adjustments.</w:t>
      </w:r>
    </w:p>
    <w:p>
      <w:pPr>
        <w:spacing w:after="0" w:line="45"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pursuant to paragraphs (c) and (h) of Rule 457 of the Securities Act of 1933, as amended, solely for the purpose of calculating the registration fee on the basis of the high and low sales prices of shares of Class A Common Stock on the Nasdaq National Market on December 30,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EXPLANATORY NOTE</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Pursuant to General Instruction E of Form S-8, this registration statement on Form S-8 (the “Registration Statement”) is being filed in order to register an additional 20,000,000 shares of the Registrant’s Class A Common Stock, par value $0.01 per share, which are securities of the same class and relate to the same employee benefit plan, the Comcast Corporation 2002 Restricted Stock Plan, as amended and restated, as those shares registered in the Registrant’s registration statements on Form S-8 and Form S-8 POS, previously filed with the Commission on March 1, 2005 (Registration No. 333-123059), April 8, 2003 (Registration No. 333-104385), November 19, 2002, December 4, 2002 (Registration No. 333-101295) and December 4, 2002 (Registration No. 333-101645), which are hereby incorporated by reference.</w:t>
      </w:r>
    </w:p>
    <w:p>
      <w:pPr>
        <w:spacing w:after="0" w:line="1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w:t>
      </w:r>
    </w:p>
    <w:p>
      <w:pPr>
        <w:spacing w:after="0" w:line="164"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Pepper Hamilton LLP.</w:t>
      </w:r>
    </w:p>
    <w:p>
      <w:pPr>
        <w:spacing w:after="0" w:line="117"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Opinion of Pepper Hamilton LLP.</w:t>
      </w:r>
    </w:p>
    <w:p>
      <w:pPr>
        <w:spacing w:after="0" w:line="117" w:lineRule="exact"/>
        <w:rPr>
          <w:sz w:val="20"/>
          <w:szCs w:val="20"/>
          <w:color w:val="auto"/>
        </w:rPr>
      </w:pPr>
    </w:p>
    <w:p>
      <w:pPr>
        <w:ind w:left="480"/>
        <w:spacing w:after="0"/>
        <w:tabs>
          <w:tab w:leader="none" w:pos="10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117" w:lineRule="exact"/>
        <w:rPr>
          <w:sz w:val="20"/>
          <w:szCs w:val="20"/>
          <w:color w:val="auto"/>
        </w:rPr>
      </w:pPr>
    </w:p>
    <w:p>
      <w:pPr>
        <w:ind w:left="480"/>
        <w:spacing w:after="0"/>
        <w:tabs>
          <w:tab w:leader="none" w:pos="10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Pepper Hamilton LLP (contained in Exhibits 5.1 and 5.2).</w:t>
      </w:r>
    </w:p>
    <w:p>
      <w:pPr>
        <w:spacing w:after="0" w:line="117" w:lineRule="exact"/>
        <w:rPr>
          <w:sz w:val="20"/>
          <w:szCs w:val="20"/>
          <w:color w:val="auto"/>
        </w:rPr>
      </w:pPr>
    </w:p>
    <w:p>
      <w:pPr>
        <w:ind w:left="480"/>
        <w:spacing w:after="0"/>
        <w:tabs>
          <w:tab w:leader="none" w:pos="10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(contained in the signature pages hereto).</w:t>
      </w:r>
    </w:p>
    <w:p>
      <w:pPr>
        <w:sectPr>
          <w:pgSz w:w="11900" w:h="16838" w:orient="portrait"/>
          <w:cols w:equalWidth="0" w:num="1">
            <w:col w:w="11280"/>
          </w:cols>
          <w:pgMar w:left="240" w:top="274"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Commonwealth of Pennsylvania, on December 30, 2005.</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Arthur R. Block</w:t>
            </w:r>
          </w:p>
        </w:tc>
      </w:tr>
      <w:tr>
        <w:trPr>
          <w:trHeight w:val="199"/>
        </w:trPr>
        <w:tc>
          <w:tcPr>
            <w:tcW w:w="460" w:type="dxa"/>
            <w:vAlign w:val="bottom"/>
          </w:tcPr>
          <w:p>
            <w:pPr>
              <w:spacing w:after="0" w:line="199" w:lineRule="exact"/>
              <w:rPr>
                <w:sz w:val="20"/>
                <w:szCs w:val="20"/>
                <w:color w:val="auto"/>
              </w:rPr>
            </w:pPr>
            <w:r>
              <w:rPr>
                <w:rFonts w:ascii="Arial" w:cs="Arial" w:eastAsia="Arial" w:hAnsi="Arial"/>
                <w:sz w:val="18"/>
                <w:szCs w:val="18"/>
                <w:color w:val="auto"/>
                <w:w w:val="82"/>
              </w:rPr>
              <w:t>Name: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8"/>
              </w:rPr>
              <w:t>Arthur R. Block, Senior Vice</w:t>
            </w:r>
          </w:p>
        </w:tc>
      </w:tr>
      <w:tr>
        <w:trPr>
          <w:trHeight w:val="174"/>
        </w:trPr>
        <w:tc>
          <w:tcPr>
            <w:tcW w:w="46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6"/>
              </w:rPr>
              <w:t>President, General Counsel and Secretary</w:t>
            </w: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5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each of David L. Cohen, Lawrence S. Smith, Arthur R. Block and Lawrence J. Salva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might or could do in person, hereby ratifying and confirming all that said attorney-in-fact and agent or either of them, or their or his substitute or substitutes, may lawfully do or cause to be done by virtue hereof.</w:t>
      </w:r>
    </w:p>
    <w:p>
      <w:pPr>
        <w:spacing w:after="0" w:line="10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14" w:lineRule="exact"/>
        <w:rPr>
          <w:sz w:val="20"/>
          <w:szCs w:val="20"/>
          <w:color w:val="auto"/>
        </w:rPr>
      </w:pPr>
    </w:p>
    <w:p>
      <w:pPr>
        <w:ind w:left="2120"/>
        <w:spacing w:after="0"/>
        <w:tabs>
          <w:tab w:leader="none" w:pos="7000" w:val="left"/>
          <w:tab w:leader="none" w:pos="103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68580</wp:posOffset>
            </wp:positionV>
            <wp:extent cx="660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68580</wp:posOffset>
            </wp:positionV>
            <wp:extent cx="4114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6428105</wp:posOffset>
            </wp:positionH>
            <wp:positionV relativeFrom="paragraph">
              <wp:posOffset>68580</wp:posOffset>
            </wp:positionV>
            <wp:extent cx="4203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jc w:val="center"/>
              <w:spacing w:after="0"/>
              <w:rPr>
                <w:sz w:val="20"/>
                <w:szCs w:val="20"/>
                <w:color w:val="auto"/>
              </w:rPr>
            </w:pPr>
            <w:r>
              <w:rPr>
                <w:rFonts w:ascii="Arial" w:cs="Arial" w:eastAsia="Arial" w:hAnsi="Arial"/>
                <w:sz w:val="18"/>
                <w:szCs w:val="18"/>
                <w:color w:val="auto"/>
                <w:w w:val="87"/>
              </w:rPr>
              <w:t>/s/ Ralph J. Roberts</w:t>
            </w:r>
          </w:p>
        </w:tc>
        <w:tc>
          <w:tcPr>
            <w:tcW w:w="4700" w:type="dxa"/>
            <w:vAlign w:val="bottom"/>
          </w:tcPr>
          <w:p>
            <w:pPr>
              <w:ind w:left="240"/>
              <w:spacing w:after="0"/>
              <w:rPr>
                <w:sz w:val="20"/>
                <w:szCs w:val="20"/>
                <w:color w:val="auto"/>
              </w:rPr>
            </w:pPr>
            <w:r>
              <w:rPr>
                <w:rFonts w:ascii="Arial" w:cs="Arial" w:eastAsia="Arial" w:hAnsi="Arial"/>
                <w:sz w:val="18"/>
                <w:szCs w:val="18"/>
                <w:color w:val="auto"/>
                <w:w w:val="97"/>
              </w:rPr>
              <w:t>Chairman of the Executive and Finance Committee of the</w:t>
            </w:r>
          </w:p>
        </w:tc>
        <w:tc>
          <w:tcPr>
            <w:tcW w:w="1520" w:type="dxa"/>
            <w:vAlign w:val="bottom"/>
          </w:tcPr>
          <w:p>
            <w:pPr>
              <w:ind w:left="40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6"/>
        </w:trPr>
        <w:tc>
          <w:tcPr>
            <w:tcW w:w="4800" w:type="dxa"/>
            <w:vAlign w:val="bottom"/>
            <w:tcBorders>
              <w:bottom w:val="single" w:sz="8" w:color="auto"/>
            </w:tcBorders>
          </w:tcPr>
          <w:p>
            <w:pPr>
              <w:spacing w:after="0"/>
              <w:rPr>
                <w:sz w:val="10"/>
                <w:szCs w:val="10"/>
                <w:color w:val="auto"/>
              </w:rPr>
            </w:pPr>
          </w:p>
        </w:tc>
        <w:tc>
          <w:tcPr>
            <w:tcW w:w="4700" w:type="dxa"/>
            <w:vAlign w:val="bottom"/>
            <w:vMerge w:val="restart"/>
          </w:tcPr>
          <w:p>
            <w:pPr>
              <w:ind w:left="240"/>
              <w:spacing w:after="0"/>
              <w:rPr>
                <w:sz w:val="20"/>
                <w:szCs w:val="20"/>
                <w:color w:val="auto"/>
              </w:rPr>
            </w:pPr>
            <w:r>
              <w:rPr>
                <w:rFonts w:ascii="Arial" w:cs="Arial" w:eastAsia="Arial" w:hAnsi="Arial"/>
                <w:sz w:val="18"/>
                <w:szCs w:val="18"/>
                <w:color w:val="auto"/>
              </w:rPr>
              <w:t>Board of Directors; Director</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Ralph J. Roberts</w:t>
            </w:r>
          </w:p>
        </w:tc>
        <w:tc>
          <w:tcPr>
            <w:tcW w:w="470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800" w:type="dxa"/>
            <w:vAlign w:val="bottom"/>
            <w:vMerge w:val="continue"/>
          </w:tcPr>
          <w:p>
            <w:pPr>
              <w:spacing w:after="0"/>
              <w:rPr>
                <w:sz w:val="15"/>
                <w:szCs w:val="15"/>
                <w:color w:val="auto"/>
              </w:rPr>
            </w:pPr>
          </w:p>
        </w:tc>
        <w:tc>
          <w:tcPr>
            <w:tcW w:w="47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4800" w:type="dxa"/>
            <w:vAlign w:val="bottom"/>
          </w:tcPr>
          <w:p>
            <w:pPr>
              <w:jc w:val="center"/>
              <w:spacing w:after="0"/>
              <w:rPr>
                <w:sz w:val="20"/>
                <w:szCs w:val="20"/>
                <w:color w:val="auto"/>
              </w:rPr>
            </w:pPr>
            <w:r>
              <w:rPr>
                <w:rFonts w:ascii="Arial" w:cs="Arial" w:eastAsia="Arial" w:hAnsi="Arial"/>
                <w:sz w:val="18"/>
                <w:szCs w:val="18"/>
                <w:color w:val="auto"/>
                <w:w w:val="89"/>
              </w:rPr>
              <w:t>/s/ Brian L. Roberts</w:t>
            </w:r>
          </w:p>
        </w:tc>
        <w:tc>
          <w:tcPr>
            <w:tcW w:w="4700" w:type="dxa"/>
            <w:vAlign w:val="bottom"/>
          </w:tcPr>
          <w:p>
            <w:pPr>
              <w:ind w:left="240"/>
              <w:spacing w:after="0"/>
              <w:rPr>
                <w:sz w:val="20"/>
                <w:szCs w:val="20"/>
                <w:color w:val="auto"/>
              </w:rPr>
            </w:pPr>
            <w:r>
              <w:rPr>
                <w:rFonts w:ascii="Arial" w:cs="Arial" w:eastAsia="Arial" w:hAnsi="Arial"/>
                <w:sz w:val="18"/>
                <w:szCs w:val="18"/>
                <w:color w:val="auto"/>
              </w:rPr>
              <w:t>Chairman of the Board, President and Chief Executive</w:t>
            </w:r>
          </w:p>
        </w:tc>
        <w:tc>
          <w:tcPr>
            <w:tcW w:w="1520" w:type="dxa"/>
            <w:vAlign w:val="bottom"/>
          </w:tcPr>
          <w:p>
            <w:pPr>
              <w:ind w:left="40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6"/>
        </w:trPr>
        <w:tc>
          <w:tcPr>
            <w:tcW w:w="4800" w:type="dxa"/>
            <w:vAlign w:val="bottom"/>
            <w:tcBorders>
              <w:bottom w:val="single" w:sz="8" w:color="auto"/>
            </w:tcBorders>
          </w:tcPr>
          <w:p>
            <w:pPr>
              <w:spacing w:after="0"/>
              <w:rPr>
                <w:sz w:val="10"/>
                <w:szCs w:val="10"/>
                <w:color w:val="auto"/>
              </w:rPr>
            </w:pPr>
          </w:p>
        </w:tc>
        <w:tc>
          <w:tcPr>
            <w:tcW w:w="4700" w:type="dxa"/>
            <w:vAlign w:val="bottom"/>
            <w:vMerge w:val="restart"/>
          </w:tcPr>
          <w:p>
            <w:pPr>
              <w:ind w:left="240"/>
              <w:spacing w:after="0"/>
              <w:rPr>
                <w:sz w:val="20"/>
                <w:szCs w:val="20"/>
                <w:color w:val="auto"/>
              </w:rPr>
            </w:pPr>
            <w:r>
              <w:rPr>
                <w:rFonts w:ascii="Arial" w:cs="Arial" w:eastAsia="Arial" w:hAnsi="Arial"/>
                <w:sz w:val="18"/>
                <w:szCs w:val="18"/>
                <w:color w:val="auto"/>
              </w:rPr>
              <w:t>Officer; Director (Principal Executive Officer)</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Brian L. Roberts</w:t>
            </w:r>
          </w:p>
        </w:tc>
        <w:tc>
          <w:tcPr>
            <w:tcW w:w="470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800" w:type="dxa"/>
            <w:vAlign w:val="bottom"/>
            <w:vMerge w:val="continue"/>
          </w:tcPr>
          <w:p>
            <w:pPr>
              <w:spacing w:after="0"/>
              <w:rPr>
                <w:sz w:val="15"/>
                <w:szCs w:val="15"/>
                <w:color w:val="auto"/>
              </w:rPr>
            </w:pPr>
          </w:p>
        </w:tc>
        <w:tc>
          <w:tcPr>
            <w:tcW w:w="47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4800" w:type="dxa"/>
            <w:vAlign w:val="bottom"/>
          </w:tcPr>
          <w:p>
            <w:pPr>
              <w:jc w:val="center"/>
              <w:spacing w:after="0"/>
              <w:rPr>
                <w:sz w:val="20"/>
                <w:szCs w:val="20"/>
                <w:color w:val="auto"/>
              </w:rPr>
            </w:pPr>
            <w:r>
              <w:rPr>
                <w:rFonts w:ascii="Arial" w:cs="Arial" w:eastAsia="Arial" w:hAnsi="Arial"/>
                <w:sz w:val="18"/>
                <w:szCs w:val="18"/>
                <w:color w:val="auto"/>
                <w:w w:val="89"/>
              </w:rPr>
              <w:t>/s/ John R. Alchin</w:t>
            </w:r>
          </w:p>
        </w:tc>
        <w:tc>
          <w:tcPr>
            <w:tcW w:w="4700" w:type="dxa"/>
            <w:vAlign w:val="bottom"/>
          </w:tcPr>
          <w:p>
            <w:pPr>
              <w:ind w:left="240"/>
              <w:spacing w:after="0"/>
              <w:rPr>
                <w:sz w:val="20"/>
                <w:szCs w:val="20"/>
                <w:color w:val="auto"/>
              </w:rPr>
            </w:pPr>
            <w:r>
              <w:rPr>
                <w:rFonts w:ascii="Arial" w:cs="Arial" w:eastAsia="Arial" w:hAnsi="Arial"/>
                <w:sz w:val="18"/>
                <w:szCs w:val="18"/>
                <w:color w:val="auto"/>
                <w:w w:val="98"/>
              </w:rPr>
              <w:t>Executive Vice President, Co-Chief Financial Officer and</w:t>
            </w:r>
          </w:p>
        </w:tc>
        <w:tc>
          <w:tcPr>
            <w:tcW w:w="1520" w:type="dxa"/>
            <w:vAlign w:val="bottom"/>
          </w:tcPr>
          <w:p>
            <w:pPr>
              <w:ind w:left="40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6"/>
        </w:trPr>
        <w:tc>
          <w:tcPr>
            <w:tcW w:w="4800" w:type="dxa"/>
            <w:vAlign w:val="bottom"/>
            <w:tcBorders>
              <w:bottom w:val="single" w:sz="8" w:color="auto"/>
            </w:tcBorders>
          </w:tcPr>
          <w:p>
            <w:pPr>
              <w:spacing w:after="0"/>
              <w:rPr>
                <w:sz w:val="10"/>
                <w:szCs w:val="10"/>
                <w:color w:val="auto"/>
              </w:rPr>
            </w:pPr>
          </w:p>
        </w:tc>
        <w:tc>
          <w:tcPr>
            <w:tcW w:w="4700" w:type="dxa"/>
            <w:vAlign w:val="bottom"/>
            <w:vMerge w:val="restart"/>
          </w:tcPr>
          <w:p>
            <w:pPr>
              <w:ind w:left="240"/>
              <w:spacing w:after="0"/>
              <w:rPr>
                <w:sz w:val="20"/>
                <w:szCs w:val="20"/>
                <w:color w:val="auto"/>
              </w:rPr>
            </w:pPr>
            <w:r>
              <w:rPr>
                <w:rFonts w:ascii="Arial" w:cs="Arial" w:eastAsia="Arial" w:hAnsi="Arial"/>
                <w:sz w:val="18"/>
                <w:szCs w:val="18"/>
                <w:color w:val="auto"/>
              </w:rPr>
              <w:t>Treasurer (Co-Principal Financial Officer)</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John R. Alchin</w:t>
            </w:r>
          </w:p>
        </w:tc>
        <w:tc>
          <w:tcPr>
            <w:tcW w:w="470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800" w:type="dxa"/>
            <w:vAlign w:val="bottom"/>
            <w:vMerge w:val="continue"/>
          </w:tcPr>
          <w:p>
            <w:pPr>
              <w:spacing w:after="0"/>
              <w:rPr>
                <w:sz w:val="15"/>
                <w:szCs w:val="15"/>
                <w:color w:val="auto"/>
              </w:rPr>
            </w:pPr>
          </w:p>
        </w:tc>
        <w:tc>
          <w:tcPr>
            <w:tcW w:w="47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800" w:type="dxa"/>
            <w:vAlign w:val="bottom"/>
          </w:tcPr>
          <w:p>
            <w:pPr>
              <w:spacing w:after="0"/>
              <w:rPr>
                <w:sz w:val="24"/>
                <w:szCs w:val="24"/>
                <w:color w:val="auto"/>
              </w:rPr>
            </w:pPr>
          </w:p>
        </w:tc>
        <w:tc>
          <w:tcPr>
            <w:tcW w:w="4700" w:type="dxa"/>
            <w:vAlign w:val="bottom"/>
          </w:tcPr>
          <w:p>
            <w:pPr>
              <w:ind w:left="820"/>
              <w:spacing w:after="0"/>
              <w:rPr>
                <w:sz w:val="20"/>
                <w:szCs w:val="20"/>
                <w:color w:val="auto"/>
              </w:rPr>
            </w:pPr>
            <w:r>
              <w:rPr>
                <w:rFonts w:ascii="Arial" w:cs="Arial" w:eastAsia="Arial" w:hAnsi="Arial"/>
                <w:sz w:val="18"/>
                <w:szCs w:val="18"/>
                <w:color w:val="auto"/>
              </w:rPr>
              <w:t>-2-</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 w:name="page4"/>
    <w:bookmarkEnd w:id="3"/>
    <w:p>
      <w:pPr>
        <w:ind w:left="2120"/>
        <w:spacing w:after="0"/>
        <w:tabs>
          <w:tab w:leader="none" w:pos="7000" w:val="left"/>
          <w:tab w:leader="none" w:pos="1030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68580</wp:posOffset>
            </wp:positionV>
            <wp:extent cx="660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68580</wp:posOffset>
            </wp:positionV>
            <wp:extent cx="4114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6428105</wp:posOffset>
            </wp:positionH>
            <wp:positionV relativeFrom="paragraph">
              <wp:posOffset>68580</wp:posOffset>
            </wp:positionV>
            <wp:extent cx="4203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 Lawrence S. Smith</w:t>
            </w:r>
          </w:p>
        </w:tc>
        <w:tc>
          <w:tcPr>
            <w:tcW w:w="4240" w:type="dxa"/>
            <w:vAlign w:val="bottom"/>
          </w:tcPr>
          <w:p>
            <w:pPr>
              <w:ind w:left="240"/>
              <w:spacing w:after="0"/>
              <w:rPr>
                <w:sz w:val="20"/>
                <w:szCs w:val="20"/>
                <w:color w:val="auto"/>
              </w:rPr>
            </w:pPr>
            <w:r>
              <w:rPr>
                <w:rFonts w:ascii="Arial" w:cs="Arial" w:eastAsia="Arial" w:hAnsi="Arial"/>
                <w:sz w:val="18"/>
                <w:szCs w:val="18"/>
                <w:color w:val="auto"/>
              </w:rPr>
              <w:t>Executive Vice President and Co-Chief</w:t>
            </w:r>
          </w:p>
        </w:tc>
        <w:tc>
          <w:tcPr>
            <w:tcW w:w="1980" w:type="dxa"/>
            <w:vAlign w:val="bottom"/>
          </w:tcPr>
          <w:p>
            <w:pPr>
              <w:ind w:left="86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6"/>
        </w:trPr>
        <w:tc>
          <w:tcPr>
            <w:tcW w:w="4800" w:type="dxa"/>
            <w:vAlign w:val="bottom"/>
            <w:tcBorders>
              <w:bottom w:val="single" w:sz="8" w:color="auto"/>
            </w:tcBorders>
          </w:tcPr>
          <w:p>
            <w:pPr>
              <w:spacing w:after="0"/>
              <w:rPr>
                <w:sz w:val="10"/>
                <w:szCs w:val="10"/>
                <w:color w:val="auto"/>
              </w:rPr>
            </w:pPr>
          </w:p>
        </w:tc>
        <w:tc>
          <w:tcPr>
            <w:tcW w:w="4240" w:type="dxa"/>
            <w:vAlign w:val="bottom"/>
            <w:vMerge w:val="restart"/>
          </w:tcPr>
          <w:p>
            <w:pPr>
              <w:ind w:left="240"/>
              <w:spacing w:after="0"/>
              <w:rPr>
                <w:sz w:val="20"/>
                <w:szCs w:val="20"/>
                <w:color w:val="auto"/>
              </w:rPr>
            </w:pPr>
            <w:r>
              <w:rPr>
                <w:rFonts w:ascii="Arial" w:cs="Arial" w:eastAsia="Arial" w:hAnsi="Arial"/>
                <w:sz w:val="18"/>
                <w:szCs w:val="18"/>
                <w:color w:val="auto"/>
              </w:rPr>
              <w:t>Financial Officer (Co-Principal Financial</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800" w:type="dxa"/>
            <w:vAlign w:val="bottom"/>
          </w:tcPr>
          <w:p>
            <w:pPr>
              <w:spacing w:after="0"/>
              <w:rPr>
                <w:sz w:val="6"/>
                <w:szCs w:val="6"/>
                <w:color w:val="auto"/>
              </w:rPr>
            </w:pPr>
          </w:p>
        </w:tc>
        <w:tc>
          <w:tcPr>
            <w:tcW w:w="4240" w:type="dxa"/>
            <w:vAlign w:val="bottom"/>
            <w:vMerge w:val="continue"/>
          </w:tcPr>
          <w:p>
            <w:pPr>
              <w:spacing w:after="0"/>
              <w:rPr>
                <w:sz w:val="6"/>
                <w:szCs w:val="6"/>
                <w:color w:val="auto"/>
              </w:rPr>
            </w:pPr>
          </w:p>
        </w:tc>
        <w:tc>
          <w:tcPr>
            <w:tcW w:w="1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6"/>
              </w:rPr>
              <w:t>Lawrence S. Smith</w:t>
            </w:r>
          </w:p>
        </w:tc>
        <w:tc>
          <w:tcPr>
            <w:tcW w:w="4240" w:type="dxa"/>
            <w:vAlign w:val="bottom"/>
          </w:tcPr>
          <w:p>
            <w:pPr>
              <w:ind w:left="240"/>
              <w:spacing w:after="0"/>
              <w:rPr>
                <w:sz w:val="20"/>
                <w:szCs w:val="20"/>
                <w:color w:val="auto"/>
              </w:rPr>
            </w:pPr>
            <w:r>
              <w:rPr>
                <w:rFonts w:ascii="Arial" w:cs="Arial" w:eastAsia="Arial" w:hAnsi="Arial"/>
                <w:sz w:val="18"/>
                <w:szCs w:val="18"/>
                <w:color w:val="auto"/>
              </w:rPr>
              <w:t>Officer)</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800" w:type="dxa"/>
            <w:vAlign w:val="bottom"/>
          </w:tcPr>
          <w:p>
            <w:pPr>
              <w:spacing w:after="0"/>
              <w:rPr>
                <w:sz w:val="20"/>
                <w:szCs w:val="20"/>
                <w:color w:val="auto"/>
              </w:rPr>
            </w:pPr>
            <w:r>
              <w:rPr>
                <w:rFonts w:ascii="Arial" w:cs="Arial" w:eastAsia="Arial" w:hAnsi="Arial"/>
                <w:sz w:val="18"/>
                <w:szCs w:val="18"/>
                <w:color w:val="auto"/>
              </w:rPr>
              <w:t>/s/ Lawrence J. Salva</w:t>
            </w:r>
          </w:p>
        </w:tc>
        <w:tc>
          <w:tcPr>
            <w:tcW w:w="4240" w:type="dxa"/>
            <w:vAlign w:val="bottom"/>
          </w:tcPr>
          <w:p>
            <w:pPr>
              <w:ind w:left="240"/>
              <w:spacing w:after="0"/>
              <w:rPr>
                <w:sz w:val="20"/>
                <w:szCs w:val="20"/>
                <w:color w:val="auto"/>
              </w:rPr>
            </w:pPr>
            <w:r>
              <w:rPr>
                <w:rFonts w:ascii="Arial" w:cs="Arial" w:eastAsia="Arial" w:hAnsi="Arial"/>
                <w:sz w:val="18"/>
                <w:szCs w:val="18"/>
                <w:color w:val="auto"/>
              </w:rPr>
              <w:t>Senior Vice President, Chief Accounting</w:t>
            </w:r>
          </w:p>
        </w:tc>
        <w:tc>
          <w:tcPr>
            <w:tcW w:w="1980" w:type="dxa"/>
            <w:vAlign w:val="bottom"/>
          </w:tcPr>
          <w:p>
            <w:pPr>
              <w:ind w:left="86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6"/>
        </w:trPr>
        <w:tc>
          <w:tcPr>
            <w:tcW w:w="4800" w:type="dxa"/>
            <w:vAlign w:val="bottom"/>
            <w:tcBorders>
              <w:bottom w:val="single" w:sz="8" w:color="auto"/>
            </w:tcBorders>
          </w:tcPr>
          <w:p>
            <w:pPr>
              <w:spacing w:after="0"/>
              <w:rPr>
                <w:sz w:val="10"/>
                <w:szCs w:val="10"/>
                <w:color w:val="auto"/>
              </w:rPr>
            </w:pPr>
          </w:p>
        </w:tc>
        <w:tc>
          <w:tcPr>
            <w:tcW w:w="4240" w:type="dxa"/>
            <w:vAlign w:val="bottom"/>
            <w:vMerge w:val="restart"/>
          </w:tcPr>
          <w:p>
            <w:pPr>
              <w:ind w:left="240"/>
              <w:spacing w:after="0"/>
              <w:rPr>
                <w:sz w:val="20"/>
                <w:szCs w:val="20"/>
                <w:color w:val="auto"/>
              </w:rPr>
            </w:pPr>
            <w:r>
              <w:rPr>
                <w:rFonts w:ascii="Arial" w:cs="Arial" w:eastAsia="Arial" w:hAnsi="Arial"/>
                <w:sz w:val="18"/>
                <w:szCs w:val="18"/>
                <w:color w:val="auto"/>
              </w:rPr>
              <w:t>Officer and Controller (Principal Accounting</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800" w:type="dxa"/>
            <w:vAlign w:val="bottom"/>
          </w:tcPr>
          <w:p>
            <w:pPr>
              <w:spacing w:after="0"/>
              <w:rPr>
                <w:sz w:val="6"/>
                <w:szCs w:val="6"/>
                <w:color w:val="auto"/>
              </w:rPr>
            </w:pPr>
          </w:p>
        </w:tc>
        <w:tc>
          <w:tcPr>
            <w:tcW w:w="4240" w:type="dxa"/>
            <w:vAlign w:val="bottom"/>
            <w:vMerge w:val="continue"/>
          </w:tcPr>
          <w:p>
            <w:pPr>
              <w:spacing w:after="0"/>
              <w:rPr>
                <w:sz w:val="6"/>
                <w:szCs w:val="6"/>
                <w:color w:val="auto"/>
              </w:rPr>
            </w:pPr>
          </w:p>
        </w:tc>
        <w:tc>
          <w:tcPr>
            <w:tcW w:w="1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7"/>
              </w:rPr>
              <w:t>Lawrence J. Salva</w:t>
            </w:r>
          </w:p>
        </w:tc>
        <w:tc>
          <w:tcPr>
            <w:tcW w:w="4240" w:type="dxa"/>
            <w:vAlign w:val="bottom"/>
          </w:tcPr>
          <w:p>
            <w:pPr>
              <w:ind w:left="240"/>
              <w:spacing w:after="0"/>
              <w:rPr>
                <w:sz w:val="20"/>
                <w:szCs w:val="20"/>
                <w:color w:val="auto"/>
              </w:rPr>
            </w:pPr>
            <w:r>
              <w:rPr>
                <w:rFonts w:ascii="Arial" w:cs="Arial" w:eastAsia="Arial" w:hAnsi="Arial"/>
                <w:sz w:val="18"/>
                <w:szCs w:val="18"/>
                <w:color w:val="auto"/>
              </w:rPr>
              <w:t>Officer)</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800" w:type="dxa"/>
            <w:vAlign w:val="bottom"/>
          </w:tcPr>
          <w:p>
            <w:pPr>
              <w:spacing w:after="0"/>
              <w:rPr>
                <w:sz w:val="20"/>
                <w:szCs w:val="20"/>
                <w:color w:val="auto"/>
              </w:rPr>
            </w:pPr>
            <w:r>
              <w:rPr>
                <w:rFonts w:ascii="Arial" w:cs="Arial" w:eastAsia="Arial" w:hAnsi="Arial"/>
                <w:sz w:val="18"/>
                <w:szCs w:val="18"/>
                <w:color w:val="auto"/>
              </w:rPr>
              <w:t>/s/ S. Decker Anstrom</w:t>
            </w:r>
          </w:p>
        </w:tc>
        <w:tc>
          <w:tcPr>
            <w:tcW w:w="424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6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7"/>
              </w:rPr>
              <w:t>S. Decker Anstrom</w:t>
            </w:r>
          </w:p>
        </w:tc>
        <w:tc>
          <w:tcPr>
            <w:tcW w:w="42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800" w:type="dxa"/>
            <w:vAlign w:val="bottom"/>
          </w:tcPr>
          <w:p>
            <w:pPr>
              <w:spacing w:after="0"/>
              <w:rPr>
                <w:sz w:val="20"/>
                <w:szCs w:val="20"/>
                <w:color w:val="auto"/>
              </w:rPr>
            </w:pPr>
            <w:r>
              <w:rPr>
                <w:rFonts w:ascii="Arial" w:cs="Arial" w:eastAsia="Arial" w:hAnsi="Arial"/>
                <w:sz w:val="18"/>
                <w:szCs w:val="18"/>
                <w:color w:val="auto"/>
              </w:rPr>
              <w:t>/s/ Kenneth J. Bacon</w:t>
            </w:r>
          </w:p>
        </w:tc>
        <w:tc>
          <w:tcPr>
            <w:tcW w:w="424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6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6"/>
              </w:rPr>
              <w:t>Kenneth J. Bacon</w:t>
            </w:r>
          </w:p>
        </w:tc>
        <w:tc>
          <w:tcPr>
            <w:tcW w:w="42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800" w:type="dxa"/>
            <w:vAlign w:val="bottom"/>
          </w:tcPr>
          <w:p>
            <w:pPr>
              <w:spacing w:after="0"/>
              <w:rPr>
                <w:sz w:val="20"/>
                <w:szCs w:val="20"/>
                <w:color w:val="auto"/>
              </w:rPr>
            </w:pPr>
            <w:r>
              <w:rPr>
                <w:rFonts w:ascii="Arial" w:cs="Arial" w:eastAsia="Arial" w:hAnsi="Arial"/>
                <w:sz w:val="18"/>
                <w:szCs w:val="18"/>
                <w:color w:val="auto"/>
              </w:rPr>
              <w:t>/s/ Sheldon M. Bonovitz</w:t>
            </w:r>
          </w:p>
        </w:tc>
        <w:tc>
          <w:tcPr>
            <w:tcW w:w="424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6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7"/>
              </w:rPr>
              <w:t>Sheldon M. Bonovitz</w:t>
            </w:r>
          </w:p>
        </w:tc>
        <w:tc>
          <w:tcPr>
            <w:tcW w:w="42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800" w:type="dxa"/>
            <w:vAlign w:val="bottom"/>
          </w:tcPr>
          <w:p>
            <w:pPr>
              <w:spacing w:after="0"/>
              <w:rPr>
                <w:sz w:val="20"/>
                <w:szCs w:val="20"/>
                <w:color w:val="auto"/>
              </w:rPr>
            </w:pPr>
            <w:r>
              <w:rPr>
                <w:rFonts w:ascii="Arial" w:cs="Arial" w:eastAsia="Arial" w:hAnsi="Arial"/>
                <w:sz w:val="18"/>
                <w:szCs w:val="18"/>
                <w:color w:val="auto"/>
              </w:rPr>
              <w:t>/s/ Edward Breen</w:t>
            </w:r>
          </w:p>
        </w:tc>
        <w:tc>
          <w:tcPr>
            <w:tcW w:w="424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6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9"/>
              </w:rPr>
              <w:t>Edward Breen</w:t>
            </w:r>
          </w:p>
        </w:tc>
        <w:tc>
          <w:tcPr>
            <w:tcW w:w="42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800" w:type="dxa"/>
            <w:vAlign w:val="bottom"/>
          </w:tcPr>
          <w:p>
            <w:pPr>
              <w:spacing w:after="0"/>
              <w:rPr>
                <w:sz w:val="20"/>
                <w:szCs w:val="20"/>
                <w:color w:val="auto"/>
              </w:rPr>
            </w:pPr>
            <w:r>
              <w:rPr>
                <w:rFonts w:ascii="Arial" w:cs="Arial" w:eastAsia="Arial" w:hAnsi="Arial"/>
                <w:sz w:val="18"/>
                <w:szCs w:val="18"/>
                <w:color w:val="auto"/>
              </w:rPr>
              <w:t>/s/ Julian A. Brodsky</w:t>
            </w:r>
          </w:p>
        </w:tc>
        <w:tc>
          <w:tcPr>
            <w:tcW w:w="424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6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7"/>
              </w:rPr>
              <w:t>Julian A. Brodsky</w:t>
            </w:r>
          </w:p>
        </w:tc>
        <w:tc>
          <w:tcPr>
            <w:tcW w:w="42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800" w:type="dxa"/>
            <w:vAlign w:val="bottom"/>
          </w:tcPr>
          <w:p>
            <w:pPr>
              <w:spacing w:after="0"/>
              <w:rPr>
                <w:sz w:val="20"/>
                <w:szCs w:val="20"/>
                <w:color w:val="auto"/>
              </w:rPr>
            </w:pPr>
            <w:r>
              <w:rPr>
                <w:rFonts w:ascii="Arial" w:cs="Arial" w:eastAsia="Arial" w:hAnsi="Arial"/>
                <w:sz w:val="18"/>
                <w:szCs w:val="18"/>
                <w:color w:val="auto"/>
              </w:rPr>
              <w:t>/s/ Joseph J. Collins</w:t>
            </w:r>
          </w:p>
        </w:tc>
        <w:tc>
          <w:tcPr>
            <w:tcW w:w="424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6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5"/>
              </w:rPr>
              <w:t>Joseph J. Collins</w:t>
            </w:r>
          </w:p>
        </w:tc>
        <w:tc>
          <w:tcPr>
            <w:tcW w:w="42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800" w:type="dxa"/>
            <w:vAlign w:val="bottom"/>
          </w:tcPr>
          <w:p>
            <w:pPr>
              <w:spacing w:after="0"/>
              <w:rPr>
                <w:sz w:val="20"/>
                <w:szCs w:val="20"/>
                <w:color w:val="auto"/>
              </w:rPr>
            </w:pPr>
            <w:r>
              <w:rPr>
                <w:rFonts w:ascii="Arial" w:cs="Arial" w:eastAsia="Arial" w:hAnsi="Arial"/>
                <w:sz w:val="18"/>
                <w:szCs w:val="18"/>
                <w:color w:val="auto"/>
              </w:rPr>
              <w:t>/s/ J. Michael Cook</w:t>
            </w:r>
          </w:p>
        </w:tc>
        <w:tc>
          <w:tcPr>
            <w:tcW w:w="424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6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8"/>
              </w:rPr>
              <w:t>J. Michael Cook</w:t>
            </w:r>
          </w:p>
        </w:tc>
        <w:tc>
          <w:tcPr>
            <w:tcW w:w="42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800" w:type="dxa"/>
            <w:vAlign w:val="bottom"/>
          </w:tcPr>
          <w:p>
            <w:pPr>
              <w:spacing w:after="0"/>
              <w:rPr>
                <w:sz w:val="20"/>
                <w:szCs w:val="20"/>
                <w:color w:val="auto"/>
              </w:rPr>
            </w:pPr>
            <w:r>
              <w:rPr>
                <w:rFonts w:ascii="Arial" w:cs="Arial" w:eastAsia="Arial" w:hAnsi="Arial"/>
                <w:sz w:val="18"/>
                <w:szCs w:val="18"/>
                <w:color w:val="auto"/>
              </w:rPr>
              <w:t>/s/ Dr. Judith Rodin</w:t>
            </w:r>
          </w:p>
        </w:tc>
        <w:tc>
          <w:tcPr>
            <w:tcW w:w="424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6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9"/>
              </w:rPr>
              <w:t>Dr. Judith Rodin</w:t>
            </w:r>
          </w:p>
        </w:tc>
        <w:tc>
          <w:tcPr>
            <w:tcW w:w="42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800" w:type="dxa"/>
            <w:vAlign w:val="bottom"/>
          </w:tcPr>
          <w:p>
            <w:pPr>
              <w:spacing w:after="0"/>
              <w:rPr>
                <w:sz w:val="20"/>
                <w:szCs w:val="20"/>
                <w:color w:val="auto"/>
              </w:rPr>
            </w:pPr>
            <w:r>
              <w:rPr>
                <w:rFonts w:ascii="Arial" w:cs="Arial" w:eastAsia="Arial" w:hAnsi="Arial"/>
                <w:sz w:val="18"/>
                <w:szCs w:val="18"/>
                <w:color w:val="auto"/>
              </w:rPr>
              <w:t>/s/ Michael I. Sovern</w:t>
            </w:r>
          </w:p>
        </w:tc>
        <w:tc>
          <w:tcPr>
            <w:tcW w:w="424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860"/>
              <w:spacing w:after="0"/>
              <w:rPr>
                <w:sz w:val="20"/>
                <w:szCs w:val="20"/>
                <w:color w:val="auto"/>
              </w:rPr>
            </w:pPr>
            <w:r>
              <w:rPr>
                <w:rFonts w:ascii="Arial" w:cs="Arial" w:eastAsia="Arial" w:hAnsi="Arial"/>
                <w:sz w:val="18"/>
                <w:szCs w:val="18"/>
                <w:color w:val="auto"/>
                <w:w w:val="85"/>
              </w:rPr>
              <w:t>January 3, 2006</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9"/>
              </w:rPr>
              <w:t>Michael I. Sovern</w:t>
            </w:r>
          </w:p>
        </w:tc>
        <w:tc>
          <w:tcPr>
            <w:tcW w:w="42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4800" w:type="dxa"/>
            <w:vAlign w:val="bottom"/>
            <w:tcBorders>
              <w:bottom w:val="single" w:sz="8" w:color="auto"/>
            </w:tcBorders>
          </w:tcPr>
          <w:p>
            <w:pPr>
              <w:spacing w:after="0"/>
              <w:rPr>
                <w:sz w:val="24"/>
                <w:szCs w:val="24"/>
                <w:color w:val="auto"/>
              </w:rPr>
            </w:pPr>
          </w:p>
        </w:tc>
        <w:tc>
          <w:tcPr>
            <w:tcW w:w="4240" w:type="dxa"/>
            <w:vAlign w:val="bottom"/>
            <w:vMerge w:val="restart"/>
          </w:tcPr>
          <w:p>
            <w:pPr>
              <w:ind w:left="2060"/>
              <w:spacing w:after="0"/>
              <w:rPr>
                <w:sz w:val="20"/>
                <w:szCs w:val="20"/>
                <w:color w:val="auto"/>
              </w:rPr>
            </w:pPr>
            <w:r>
              <w:rPr>
                <w:rFonts w:ascii="Arial" w:cs="Arial" w:eastAsia="Arial" w:hAnsi="Arial"/>
                <w:sz w:val="18"/>
                <w:szCs w:val="18"/>
                <w:color w:val="auto"/>
              </w:rPr>
              <w:t>Director</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4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Jeffrey A. Honickman</w:t>
            </w:r>
          </w:p>
        </w:tc>
        <w:tc>
          <w:tcPr>
            <w:tcW w:w="424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800" w:type="dxa"/>
            <w:vAlign w:val="bottom"/>
            <w:vMerge w:val="continue"/>
          </w:tcPr>
          <w:p>
            <w:pPr>
              <w:spacing w:after="0"/>
              <w:rPr>
                <w:sz w:val="15"/>
                <w:szCs w:val="15"/>
                <w:color w:val="auto"/>
              </w:rPr>
            </w:pPr>
          </w:p>
        </w:tc>
        <w:tc>
          <w:tcPr>
            <w:tcW w:w="42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800" w:type="dxa"/>
            <w:vAlign w:val="bottom"/>
          </w:tcPr>
          <w:p>
            <w:pPr>
              <w:spacing w:after="0"/>
              <w:rPr>
                <w:sz w:val="24"/>
                <w:szCs w:val="24"/>
                <w:color w:val="auto"/>
              </w:rPr>
            </w:pPr>
          </w:p>
        </w:tc>
        <w:tc>
          <w:tcPr>
            <w:tcW w:w="4240" w:type="dxa"/>
            <w:vAlign w:val="bottom"/>
          </w:tcPr>
          <w:p>
            <w:pPr>
              <w:ind w:left="820"/>
              <w:spacing w:after="0"/>
              <w:rPr>
                <w:sz w:val="20"/>
                <w:szCs w:val="20"/>
                <w:color w:val="auto"/>
              </w:rPr>
            </w:pPr>
            <w:r>
              <w:rPr>
                <w:rFonts w:ascii="Arial" w:cs="Arial" w:eastAsia="Arial" w:hAnsi="Arial"/>
                <w:sz w:val="18"/>
                <w:szCs w:val="18"/>
                <w:color w:val="auto"/>
              </w:rPr>
              <w:t>-3-</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275" w:right="639" w:bottom="1440" w:gutter="0" w:footer="0" w:header="0"/>
        </w:sectPr>
      </w:pPr>
    </w:p>
    <w:bookmarkStart w:id="4" w:name="page5"/>
    <w:bookmarkEnd w:id="4"/>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660" w:type="dxa"/>
            <w:vAlign w:val="bottom"/>
            <w:gridSpan w:val="3"/>
          </w:tcPr>
          <w:p>
            <w:pPr>
              <w:ind w:left="780"/>
              <w:spacing w:after="0"/>
              <w:rPr>
                <w:sz w:val="20"/>
                <w:szCs w:val="20"/>
                <w:color w:val="auto"/>
              </w:rPr>
            </w:pPr>
            <w:r>
              <w:rPr>
                <w:rFonts w:ascii="Arial" w:cs="Arial" w:eastAsia="Arial" w:hAnsi="Arial"/>
                <w:sz w:val="14"/>
                <w:szCs w:val="14"/>
                <w:b w:val="1"/>
                <w:bCs w:val="1"/>
                <w:color w:val="auto"/>
              </w:rPr>
              <w:t>Exhibit</w:t>
            </w:r>
          </w:p>
        </w:tc>
      </w:tr>
      <w:tr>
        <w:trPr>
          <w:trHeight w:val="174"/>
        </w:trPr>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566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r>
      <w:tr>
        <w:trPr>
          <w:trHeight w:val="316"/>
        </w:trPr>
        <w:tc>
          <w:tcPr>
            <w:tcW w:w="620" w:type="dxa"/>
            <w:vAlign w:val="bottom"/>
          </w:tcPr>
          <w:p>
            <w:pPr>
              <w:jc w:val="right"/>
              <w:ind w:right="58"/>
              <w:spacing w:after="0"/>
              <w:rPr>
                <w:sz w:val="20"/>
                <w:szCs w:val="20"/>
                <w:color w:val="auto"/>
              </w:rPr>
            </w:pPr>
            <w:r>
              <w:rPr>
                <w:rFonts w:ascii="Arial" w:cs="Arial" w:eastAsia="Arial" w:hAnsi="Arial"/>
                <w:sz w:val="18"/>
                <w:szCs w:val="18"/>
                <w:color w:val="auto"/>
              </w:rPr>
              <w:t>5.1</w:t>
            </w:r>
          </w:p>
        </w:tc>
        <w:tc>
          <w:tcPr>
            <w:tcW w:w="5660" w:type="dxa"/>
            <w:vAlign w:val="bottom"/>
            <w:gridSpan w:val="3"/>
          </w:tcPr>
          <w:p>
            <w:pPr>
              <w:ind w:left="780"/>
              <w:spacing w:after="0"/>
              <w:rPr>
                <w:sz w:val="20"/>
                <w:szCs w:val="20"/>
                <w:color w:val="auto"/>
              </w:rPr>
            </w:pPr>
            <w:r>
              <w:rPr>
                <w:rFonts w:ascii="Arial" w:cs="Arial" w:eastAsia="Arial" w:hAnsi="Arial"/>
                <w:sz w:val="18"/>
                <w:szCs w:val="18"/>
                <w:color w:val="auto"/>
              </w:rPr>
              <w:t>Opinion of Pepper Hamilton LLP.</w:t>
            </w:r>
          </w:p>
        </w:tc>
      </w:tr>
      <w:tr>
        <w:trPr>
          <w:trHeight w:val="324"/>
        </w:trPr>
        <w:tc>
          <w:tcPr>
            <w:tcW w:w="620" w:type="dxa"/>
            <w:vAlign w:val="bottom"/>
          </w:tcPr>
          <w:p>
            <w:pPr>
              <w:jc w:val="right"/>
              <w:ind w:right="58"/>
              <w:spacing w:after="0"/>
              <w:rPr>
                <w:sz w:val="20"/>
                <w:szCs w:val="20"/>
                <w:color w:val="auto"/>
              </w:rPr>
            </w:pPr>
            <w:r>
              <w:rPr>
                <w:rFonts w:ascii="Arial" w:cs="Arial" w:eastAsia="Arial" w:hAnsi="Arial"/>
                <w:sz w:val="18"/>
                <w:szCs w:val="18"/>
                <w:color w:val="auto"/>
              </w:rPr>
              <w:t>5.2</w:t>
            </w:r>
          </w:p>
        </w:tc>
        <w:tc>
          <w:tcPr>
            <w:tcW w:w="5660" w:type="dxa"/>
            <w:vAlign w:val="bottom"/>
            <w:gridSpan w:val="3"/>
          </w:tcPr>
          <w:p>
            <w:pPr>
              <w:ind w:left="780"/>
              <w:spacing w:after="0"/>
              <w:rPr>
                <w:sz w:val="20"/>
                <w:szCs w:val="20"/>
                <w:color w:val="auto"/>
              </w:rPr>
            </w:pPr>
            <w:r>
              <w:rPr>
                <w:rFonts w:ascii="Arial" w:cs="Arial" w:eastAsia="Arial" w:hAnsi="Arial"/>
                <w:sz w:val="18"/>
                <w:szCs w:val="18"/>
                <w:color w:val="auto"/>
              </w:rPr>
              <w:t>Opinion of Pepper Hamilton LLP.</w:t>
            </w:r>
          </w:p>
        </w:tc>
      </w:tr>
      <w:tr>
        <w:trPr>
          <w:trHeight w:val="324"/>
        </w:trPr>
        <w:tc>
          <w:tcPr>
            <w:tcW w:w="620" w:type="dxa"/>
            <w:vAlign w:val="bottom"/>
          </w:tcPr>
          <w:p>
            <w:pPr>
              <w:jc w:val="right"/>
              <w:ind w:right="58"/>
              <w:spacing w:after="0"/>
              <w:rPr>
                <w:sz w:val="20"/>
                <w:szCs w:val="20"/>
                <w:color w:val="auto"/>
              </w:rPr>
            </w:pPr>
            <w:r>
              <w:rPr>
                <w:rFonts w:ascii="Arial" w:cs="Arial" w:eastAsia="Arial" w:hAnsi="Arial"/>
                <w:sz w:val="18"/>
                <w:szCs w:val="18"/>
                <w:color w:val="auto"/>
              </w:rPr>
              <w:t>23.1</w:t>
            </w:r>
          </w:p>
        </w:tc>
        <w:tc>
          <w:tcPr>
            <w:tcW w:w="5660" w:type="dxa"/>
            <w:vAlign w:val="bottom"/>
            <w:gridSpan w:val="3"/>
          </w:tcPr>
          <w:p>
            <w:pPr>
              <w:ind w:left="780"/>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620" w:type="dxa"/>
            <w:vAlign w:val="bottom"/>
          </w:tcPr>
          <w:p>
            <w:pPr>
              <w:jc w:val="right"/>
              <w:ind w:right="58"/>
              <w:spacing w:after="0"/>
              <w:rPr>
                <w:sz w:val="20"/>
                <w:szCs w:val="20"/>
                <w:color w:val="auto"/>
              </w:rPr>
            </w:pPr>
            <w:r>
              <w:rPr>
                <w:rFonts w:ascii="Arial" w:cs="Arial" w:eastAsia="Arial" w:hAnsi="Arial"/>
                <w:sz w:val="18"/>
                <w:szCs w:val="18"/>
                <w:color w:val="auto"/>
              </w:rPr>
              <w:t>23.2</w:t>
            </w:r>
          </w:p>
        </w:tc>
        <w:tc>
          <w:tcPr>
            <w:tcW w:w="5660" w:type="dxa"/>
            <w:vAlign w:val="bottom"/>
            <w:gridSpan w:val="3"/>
          </w:tcPr>
          <w:p>
            <w:pPr>
              <w:ind w:left="780"/>
              <w:spacing w:after="0"/>
              <w:rPr>
                <w:sz w:val="20"/>
                <w:szCs w:val="20"/>
                <w:color w:val="auto"/>
              </w:rPr>
            </w:pPr>
            <w:r>
              <w:rPr>
                <w:rFonts w:ascii="Arial" w:cs="Arial" w:eastAsia="Arial" w:hAnsi="Arial"/>
                <w:sz w:val="18"/>
                <w:szCs w:val="18"/>
                <w:color w:val="auto"/>
                <w:w w:val="89"/>
              </w:rPr>
              <w:t>Consent of Pepper Hamilton LLP (contained in Exhibits 5.1 and 5.2).</w:t>
            </w:r>
          </w:p>
        </w:tc>
      </w:tr>
      <w:tr>
        <w:trPr>
          <w:trHeight w:val="324"/>
        </w:trPr>
        <w:tc>
          <w:tcPr>
            <w:tcW w:w="620" w:type="dxa"/>
            <w:vAlign w:val="bottom"/>
          </w:tcPr>
          <w:p>
            <w:pPr>
              <w:jc w:val="right"/>
              <w:ind w:right="58"/>
              <w:spacing w:after="0"/>
              <w:rPr>
                <w:sz w:val="20"/>
                <w:szCs w:val="20"/>
                <w:color w:val="auto"/>
              </w:rPr>
            </w:pPr>
            <w:r>
              <w:rPr>
                <w:rFonts w:ascii="Arial" w:cs="Arial" w:eastAsia="Arial" w:hAnsi="Arial"/>
                <w:sz w:val="18"/>
                <w:szCs w:val="18"/>
                <w:color w:val="auto"/>
              </w:rPr>
              <w:t>24.1</w:t>
            </w:r>
          </w:p>
        </w:tc>
        <w:tc>
          <w:tcPr>
            <w:tcW w:w="5660" w:type="dxa"/>
            <w:vAlign w:val="bottom"/>
            <w:gridSpan w:val="3"/>
          </w:tcPr>
          <w:p>
            <w:pPr>
              <w:ind w:left="780"/>
              <w:spacing w:after="0"/>
              <w:rPr>
                <w:sz w:val="20"/>
                <w:szCs w:val="20"/>
                <w:color w:val="auto"/>
              </w:rPr>
            </w:pPr>
            <w:r>
              <w:rPr>
                <w:rFonts w:ascii="Arial" w:cs="Arial" w:eastAsia="Arial" w:hAnsi="Arial"/>
                <w:sz w:val="18"/>
                <w:szCs w:val="18"/>
                <w:color w:val="auto"/>
              </w:rPr>
              <w:t>Power of Attorney (contained in the signature pages hereto).</w:t>
            </w:r>
          </w:p>
        </w:tc>
      </w:tr>
    </w:tbl>
    <w:p>
      <w:pPr>
        <w:sectPr>
          <w:pgSz w:w="11900" w:h="16838" w:orient="portrait"/>
          <w:cols w:equalWidth="0" w:num="1">
            <w:col w:w="10219"/>
          </w:cols>
          <w:pgMar w:left="240" w:top="28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Pepper Hamilton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Eighteenth and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215.981.4000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215.981.4750</w:t>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January 3,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19102-2148</w:t>
      </w:r>
    </w:p>
    <w:p>
      <w:pPr>
        <w:spacing w:after="0" w:line="15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on Form S-8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Reference is made to a registration statement on Form S-8 of Comcast Corporation (the “Company”) which is being filed with the Securities and Exchange Commission (the “Registration Statement”). Capitalized terms not otherwise defined herein shall have the meanings ascribed to them in the Registration Statement.</w:t>
      </w:r>
    </w:p>
    <w:p>
      <w:pPr>
        <w:spacing w:after="0" w:line="12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Registration Statement relates to 20,000,000 shares of Class A Common Stock, par value $.01, of the Company (the “Shares”), which may be issued by the Company pursuant to the Comcast Corporation 2002 Restricted Stock Plan, as Amended and Restated (the “Plan”).</w:t>
      </w:r>
    </w:p>
    <w:p>
      <w:pPr>
        <w:spacing w:after="0" w:line="7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connection with our representation of the Company, as a basis for our opinions hereinafter set forth, we have examined the Registration Statement, including the exhibits thereto, the Company’s Articles of Incorporation, as amended, the Company’s By-laws, the Plan and such other documents as we have deemed appropriate in rendering this opinion. As to matters of fact, we have relied on representations of officers of the Company. In our examination, we have assumed the genuineness of all signatures, the authenticity of all documents submitted to us as originals and the authenticity of all documents submitted to us as copies of originals.</w:t>
      </w:r>
    </w:p>
    <w:p>
      <w:pPr>
        <w:spacing w:after="0" w:line="12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on the foregoing, we are of the opinion that the Shares, when issued in accordance with the terms of the Plan, will be validly issued, fully paid and non-assessable. This opinion is being furnished to you solely for submission to the Securities and Exchange Commission as an exhibit to the Registration Statement and, accordingly, may not be relied upon, quoted in any manner to, or delivered to any other person or entity, without in each instance our prior written consent.</w:t>
      </w:r>
    </w:p>
    <w:p>
      <w:pPr>
        <w:spacing w:after="0" w:line="13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opinion is limited to the Business Corporation Law of the Commonwealth of Pennsylvania, as amended, including the statutory provisions and all applicable provisions of the Constitution of the Commonwealth of Pennsylvania and reported judicial decisions interpreting these laws, and the federal securities laws, each as in effect on the date hereof. We assume no obligation to supplement this opinion if any applicable law changes after the date hereof or if we become aware of any fact that might change the opinion expressed herein after the date hereof.</w:t>
      </w:r>
    </w:p>
    <w:p>
      <w:pPr>
        <w:spacing w:after="0" w:line="99"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thereby admit that we come within the category of persons whose consent is required under Section 7 of the Securities Act of 1933 or the rules or regulations of the Securities and Exchange Commission thereunder.</w:t>
      </w:r>
    </w:p>
    <w:p>
      <w:pPr>
        <w:spacing w:after="0" w:line="3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Pepper Hamilton LLP</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Pepper Hamilton LLP</w:t>
      </w:r>
    </w:p>
    <w:p>
      <w:pPr>
        <w:sectPr>
          <w:pgSz w:w="11900" w:h="16838" w:orient="portrait"/>
          <w:cols w:equalWidth="0" w:num="1">
            <w:col w:w="11420"/>
          </w:cols>
          <w:pgMar w:left="240" w:top="125"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u w:val="single" w:color="auto"/>
          <w:color w:val="auto"/>
        </w:rPr>
        <w:t>EXHIBIT 5.2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Pepper Hamilton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Eighteenth and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215.981.4000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215.981.4750</w:t>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January 3,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19102-2148</w:t>
      </w:r>
    </w:p>
    <w:p>
      <w:pPr>
        <w:spacing w:after="0" w:line="15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Comcast Corporation 2002 Restricted Stock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have served as counsel to Comcast Corporation, a Pennsylvania Corporation (the “Company”), in connection with the registration by the Company of 20,000,000 shares of Class A Common Stock, par value $.01 (the “Shares”), which may be issued pursuant to the Company’s 2002 Restricted Stock Plan, as Amended and Restated (the “Plan”). Unless otherwise defined herein, capitalized terms used herein shall have the meanings assigned to them in the Registration Statement.</w:t>
      </w:r>
    </w:p>
    <w:p>
      <w:pPr>
        <w:spacing w:after="0" w:line="13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such counsel, we have made such legal and factual examination and inquiries as we have deemed necessary or appropriate for purposes of this opinion and have made such additional assumptions as are set forth below.</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Plan document states that the Plan was established to permit eligible employees and non-employee directors to defer the receipt of compensation otherwise payable to such outside directors and eligible employees in accordance with the terms of the Plan. The Plan is unfunded and states that it is maintained primarily for the purpose of providing deferred compensation to outside directors and to a select group of management or highly compensated employees. For the purpose of this opinion, we have assumed that (1) the Plan was duly adopted by the Company on December 19, 1990 and amended and restated, effective as of August 4, 2005 in its current form, and (2) the Plan is maintained primarily for the purpose of providing the opportunity to defer the receipt of shares upon the vesting of awards of restricted stock and restricted stock units and to convert the right to receive shares to the right to receive the cash value of the shares to non-employee directors and a select group of management or highly compensated employees.</w:t>
      </w:r>
    </w:p>
    <w:p>
      <w:pPr>
        <w:sectPr>
          <w:pgSz w:w="11900" w:h="16838" w:orient="portrait"/>
          <w:cols w:equalWidth="0" w:num="1">
            <w:col w:w="11420"/>
          </w:cols>
          <w:pgMar w:left="240" w:top="125" w:right="239" w:bottom="1440" w:gutter="0" w:footer="0" w:header="0"/>
        </w:sectPr>
      </w:pPr>
    </w:p>
    <w:bookmarkStart w:id="7" w:name="page8"/>
    <w:bookmarkEnd w:id="7"/>
    <w:p>
      <w:pPr>
        <w:ind w:right="1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its express terms, the Plan potentially results in a deferral of income by employees for periods extending to the termination of covered employment or beyond. Accordingly, the Plan is an “employee pension benefit plan” described in section 3(3) of the Employee Retirement Income Security Act of 1974, as amended (“ERISA”). However, as a Plan that is unfunded and maintained primarily for the purpose of providing deferred compensation to outside directors and to a select group of management or highly compensated employees, the Plan is subject to parts 1 and 5 of Title I of ERISA, but not to any other provisions of ERISA.</w:t>
      </w:r>
    </w:p>
    <w:p>
      <w:pPr>
        <w:spacing w:after="0" w:line="12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Plan is not designed or operated with the purpose of satisfying the requirements for qualification under section 401(a) of the Internal Revenue Code of 1986, as amended.</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Parts 1 and 5 of Title 1 of ERISA do not impose any specific written requirements on non-qualified deferred compensation arrangements such as the Plan as a condition to compliance with the applicable provisions of ERISA. Further, the operation of the Plan pursuant to the written provisions of the Plan will not cause the Plan to fail to comply with parts 1 or 5 of Title 5 of ERISA.</w:t>
      </w:r>
    </w:p>
    <w:p>
      <w:pPr>
        <w:spacing w:after="0" w:line="12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On the basis of the foregoing, we are of the opinion that the provisions of the written document constituting the Plan comply with the requirements of ERISA pertaining to such provisions.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opinion letter is issued as of the date hereof and is limited to the laws now in effect and in all respects is subject to and may be limited by future legislation, as well as by future case law. We assume no responsibility to keep this opinion current or to supplement it to reflect facts or circumstances which may hereafter come to our attention or any changes in laws which may hereafter occur.</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hereby expressly consent to the filing of this opinion with the Commission as an exhibit to the Registration Statement. In giving this consent, we do not hereby admit that we are in the category of persons whose consent is required under Section 7 of the 1933 Act or the Rules and Regulations of the Commission.</w:t>
      </w:r>
    </w:p>
    <w:p>
      <w:pPr>
        <w:spacing w:after="0" w:line="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Pepper Hamilton LLP</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Pepper Hamilton LLP</w:t>
      </w:r>
    </w:p>
    <w:p>
      <w:pPr>
        <w:sectPr>
          <w:pgSz w:w="11900" w:h="16838" w:orient="portrait"/>
          <w:cols w:equalWidth="0" w:num="1">
            <w:col w:w="11380"/>
          </w:cols>
          <w:pgMar w:left="240" w:top="280" w:right="27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58"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reports dated February 21, 2005, relating to the financial statements and financial statement schedule of Comcast Corporation, and management’s report on the effectiveness of internal control over financial reporting appearing in the Annual Report on Form 10-K of Comcast Corporation for the year ended December 31, 2004.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3,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2019-12-15T06:43:16Z</dcterms:created>
  <dcterms:modified xsi:type="dcterms:W3CDTF">2019-12-15T06:43:16Z</dcterms:modified>
</cp:coreProperties>
</file>