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0"/>
        <w:spacing w:after="0"/>
        <w:tabs>
          <w:tab w:leader="none" w:pos="4240" w:val="left"/>
        </w:tabs>
        <w:rPr>
          <w:sz w:val="20"/>
          <w:szCs w:val="20"/>
          <w:color w:val="auto"/>
        </w:rPr>
      </w:pPr>
      <w:r>
        <w:rPr>
          <w:rFonts w:ascii="Courier New" w:cs="Courier New" w:eastAsia="Courier New" w:hAnsi="Courier New"/>
          <w:sz w:val="15"/>
          <w:szCs w:val="15"/>
          <w:color w:val="auto"/>
        </w:rPr>
        <w:t>WASHINGTON, D.C.</w:t>
        <w:tab/>
        <w:t>20549</w:t>
      </w:r>
    </w:p>
    <w:p>
      <w:pPr>
        <w:spacing w:after="0" w:line="180"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8-K</w:t>
      </w:r>
    </w:p>
    <w:p>
      <w:pPr>
        <w:spacing w:after="0" w:line="354" w:lineRule="exact"/>
        <w:rPr>
          <w:sz w:val="24"/>
          <w:szCs w:val="24"/>
          <w:color w:val="auto"/>
        </w:rPr>
      </w:pPr>
    </w:p>
    <w:p>
      <w:pPr>
        <w:ind w:left="3000"/>
        <w:spacing w:after="0"/>
        <w:rPr>
          <w:sz w:val="20"/>
          <w:szCs w:val="20"/>
          <w:color w:val="auto"/>
        </w:rPr>
      </w:pPr>
      <w:r>
        <w:rPr>
          <w:rFonts w:ascii="Courier New" w:cs="Courier New" w:eastAsia="Courier New" w:hAnsi="Courier New"/>
          <w:sz w:val="15"/>
          <w:szCs w:val="15"/>
          <w:color w:val="auto"/>
        </w:rPr>
        <w:t>CURRENT REPORT</w:t>
      </w:r>
    </w:p>
    <w:p>
      <w:pPr>
        <w:spacing w:after="0" w:line="200" w:lineRule="exact"/>
        <w:rPr>
          <w:sz w:val="24"/>
          <w:szCs w:val="24"/>
          <w:color w:val="auto"/>
        </w:rPr>
      </w:pPr>
    </w:p>
    <w:p>
      <w:pPr>
        <w:spacing w:after="0" w:line="329"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5" w:lineRule="exact"/>
        <w:rPr>
          <w:sz w:val="24"/>
          <w:szCs w:val="24"/>
          <w:color w:val="auto"/>
        </w:rPr>
      </w:pPr>
    </w:p>
    <w:p>
      <w:pPr>
        <w:ind w:left="2260"/>
        <w:spacing w:after="0"/>
        <w:rPr>
          <w:sz w:val="20"/>
          <w:szCs w:val="20"/>
          <w:color w:val="auto"/>
        </w:rPr>
      </w:pPr>
      <w:r>
        <w:rPr>
          <w:rFonts w:ascii="Courier New" w:cs="Courier New" w:eastAsia="Courier New" w:hAnsi="Courier New"/>
          <w:sz w:val="15"/>
          <w:szCs w:val="15"/>
          <w:color w:val="auto"/>
        </w:rPr>
        <w:t>SECURITIES EXCHANGE ACT OF 1934</w:t>
      </w:r>
    </w:p>
    <w:p>
      <w:pPr>
        <w:spacing w:after="0" w:line="200" w:lineRule="exact"/>
        <w:rPr>
          <w:sz w:val="24"/>
          <w:szCs w:val="24"/>
          <w:color w:val="auto"/>
        </w:rPr>
      </w:pPr>
    </w:p>
    <w:p>
      <w:pPr>
        <w:spacing w:after="0" w:line="329" w:lineRule="exact"/>
        <w:rPr>
          <w:sz w:val="24"/>
          <w:szCs w:val="24"/>
          <w:color w:val="auto"/>
        </w:rPr>
      </w:pPr>
    </w:p>
    <w:p>
      <w:pPr>
        <w:ind w:left="620"/>
        <w:spacing w:after="0"/>
        <w:tabs>
          <w:tab w:leader="none" w:pos="5240" w:val="left"/>
        </w:tabs>
        <w:rPr>
          <w:sz w:val="20"/>
          <w:szCs w:val="20"/>
          <w:color w:val="auto"/>
        </w:rPr>
      </w:pPr>
      <w:r>
        <w:rPr>
          <w:rFonts w:ascii="Courier New" w:cs="Courier New" w:eastAsia="Courier New" w:hAnsi="Courier New"/>
          <w:sz w:val="15"/>
          <w:szCs w:val="15"/>
          <w:color w:val="auto"/>
        </w:rPr>
        <w:t>Date of Report (Date of earliest event reported):</w:t>
        <w:tab/>
        <w:t>November 13, 1996</w:t>
      </w:r>
    </w:p>
    <w:p>
      <w:pPr>
        <w:spacing w:after="0" w:line="200" w:lineRule="exact"/>
        <w:rPr>
          <w:sz w:val="24"/>
          <w:szCs w:val="24"/>
          <w:color w:val="auto"/>
        </w:r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84" w:right="1440" w:bottom="1440" w:gutter="0" w:footer="0" w:header="0"/>
        </w:sectPr>
      </w:pPr>
    </w:p>
    <w:p>
      <w:pPr>
        <w:spacing w:after="0" w:line="354"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0-6983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no.)</w:t>
      </w:r>
    </w:p>
    <w:p>
      <w:pPr>
        <w:spacing w:after="0" w:line="200" w:lineRule="exact"/>
        <w:rPr>
          <w:sz w:val="24"/>
          <w:szCs w:val="24"/>
          <w:color w:val="auto"/>
        </w:rPr>
      </w:pPr>
    </w:p>
    <w:p>
      <w:pPr>
        <w:sectPr>
          <w:pgSz w:w="11900" w:h="16838" w:orient="portrait"/>
          <w:cols w:equalWidth="0" w:num="3">
            <w:col w:w="2180" w:space="720"/>
            <w:col w:w="2380" w:space="720"/>
            <w:col w:w="4219"/>
          </w:cols>
          <w:pgMar w:left="240" w:top="584" w:right="1440" w:bottom="1440" w:gutter="0" w:footer="0" w:header="0"/>
          <w:type w:val="continuous"/>
        </w:sectPr>
      </w:pPr>
    </w:p>
    <w:p>
      <w:pPr>
        <w:spacing w:after="0" w:line="329" w:lineRule="exact"/>
        <w:rPr>
          <w:sz w:val="24"/>
          <w:szCs w:val="24"/>
          <w:color w:val="auto"/>
        </w:rPr>
      </w:pPr>
    </w:p>
    <w:p>
      <w:pPr>
        <w:ind w:left="1180"/>
        <w:spacing w:after="0"/>
        <w:tabs>
          <w:tab w:leader="none" w:pos="5240" w:val="left"/>
        </w:tabs>
        <w:rPr>
          <w:sz w:val="20"/>
          <w:szCs w:val="20"/>
          <w:color w:val="auto"/>
        </w:rPr>
      </w:pPr>
      <w:r>
        <w:rPr>
          <w:rFonts w:ascii="Courier New" w:cs="Courier New" w:eastAsia="Courier New" w:hAnsi="Courier New"/>
          <w:sz w:val="15"/>
          <w:szCs w:val="15"/>
          <w:color w:val="auto"/>
        </w:rPr>
        <w:t>1500 Market Street, Philadelphia, PA</w:t>
      </w:r>
      <w:r>
        <w:rPr>
          <w:sz w:val="20"/>
          <w:szCs w:val="20"/>
          <w:color w:val="auto"/>
        </w:rPr>
        <w:tab/>
      </w:r>
      <w:r>
        <w:rPr>
          <w:rFonts w:ascii="Courier New" w:cs="Courier New" w:eastAsia="Courier New" w:hAnsi="Courier New"/>
          <w:sz w:val="15"/>
          <w:szCs w:val="15"/>
          <w:color w:val="auto"/>
        </w:rPr>
        <w:t>19102-2148</w:t>
      </w:r>
    </w:p>
    <w:p>
      <w:pPr>
        <w:spacing w:after="0" w:line="5"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80"/>
        <w:spacing w:after="0"/>
        <w:tabs>
          <w:tab w:leader="none" w:pos="5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ectPr>
          <w:pgSz w:w="11900" w:h="16838" w:orient="portrait"/>
          <w:cols w:equalWidth="0" w:num="1">
            <w:col w:w="10219"/>
          </w:cols>
          <w:pgMar w:left="240" w:top="58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spacing w:after="0" w:line="5" w:lineRule="exact"/>
        <w:rPr>
          <w:sz w:val="24"/>
          <w:szCs w:val="24"/>
          <w:color w:val="auto"/>
        </w:rPr>
      </w:pPr>
    </w:p>
    <w:p>
      <w:pPr>
        <w:ind w:left="5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84" w:right="1440" w:bottom="1440" w:gutter="0" w:footer="0" w:header="0"/>
          <w:type w:val="continuous"/>
        </w:sectPr>
      </w:pPr>
    </w:p>
    <w:bookmarkStart w:id="1" w:name="page2"/>
    <w:bookmarkEnd w:id="1"/>
    <w:p>
      <w:pPr>
        <w:spacing w:after="0"/>
        <w:tabs>
          <w:tab w:leader="none" w:pos="8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Acquisition or Disposition of Assets.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November 13, 1996, Comcast Corporation (the "Company") acquired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television operations ("Scripps Cable") of The E.W. Scripps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("E.W. Scripps") in exchange for 93.049 million shares of the Company's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Special Common Stock, par value $1.00 per share (the "Class A Special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valued at $1.552 billion, based on the average closing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Class A Special Common Stock for the period from November 11, 1996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1996 (the "Scripps Transaction"). The Scripps Transaction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consummated pursuant to the terms of an Agreement and Plan of Merger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Agreement"), incorporated by reference herein, between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E.W. Scripps and Scripps Howard, Inc., a wholly owned subsidiary of</w:t>
      </w:r>
    </w:p>
    <w:p>
      <w:pPr>
        <w:spacing w:after="0" w:line="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E.W. Scripps. The Company has accounted for the Scripps Transaction under the purchase method and Scripps Cable has been consolidated with the Company effective November 1, 1996.</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2" w:right="1440" w:bottom="1440" w:gutter="0" w:footer="0" w:header="0"/>
        </w:sectPr>
      </w:pPr>
    </w:p>
    <w:bookmarkStart w:id="2" w:name="page3"/>
    <w:bookmarkEnd w:id="2"/>
    <w:p>
      <w:pPr>
        <w:spacing w:after="0"/>
        <w:tabs>
          <w:tab w:leader="none" w:pos="13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0" w:lineRule="exact"/>
        <w:rPr>
          <w:sz w:val="20"/>
          <w:szCs w:val="20"/>
          <w:color w:val="auto"/>
        </w:rPr>
      </w:pPr>
    </w:p>
    <w:p>
      <w:pPr>
        <w:ind w:left="900" w:hanging="452"/>
        <w:spacing w:after="0"/>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79" w:lineRule="exact"/>
        <w:rPr>
          <w:rFonts w:ascii="Courier New" w:cs="Courier New" w:eastAsia="Courier New" w:hAnsi="Courier New"/>
          <w:sz w:val="15"/>
          <w:szCs w:val="15"/>
          <w:color w:val="auto"/>
        </w:rPr>
      </w:pPr>
    </w:p>
    <w:p>
      <w:pPr>
        <w:jc w:val="both"/>
        <w:ind w:left="900"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Unaudited Pro Forma Condensed Consolidated Financial Statements are included in this Report and are listed in the Index to Unaudited Pro Forma Financial Information.</w:t>
      </w:r>
    </w:p>
    <w:p>
      <w:pPr>
        <w:spacing w:after="0" w:line="174" w:lineRule="exact"/>
        <w:rPr>
          <w:rFonts w:ascii="Courier New" w:cs="Courier New" w:eastAsia="Courier New" w:hAnsi="Courier New"/>
          <w:sz w:val="15"/>
          <w:szCs w:val="15"/>
          <w:color w:val="auto"/>
        </w:rPr>
      </w:pPr>
    </w:p>
    <w:p>
      <w:pPr>
        <w:ind w:left="900"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combined financial statements of Scripps Cable as of and for each of the three years in the period ended December 31, 1995 are incorporated by reference from the Company's Current Report on Form 8-K/A filed on July 22, 1996, which filing incorporated such statements by reference from the Form 8-K/A(5) of</w:t>
      </w:r>
    </w:p>
    <w:p>
      <w:pPr>
        <w:spacing w:after="0" w:line="3" w:lineRule="exact"/>
        <w:rPr>
          <w:rFonts w:ascii="Courier New" w:cs="Courier New" w:eastAsia="Courier New" w:hAnsi="Courier New"/>
          <w:sz w:val="15"/>
          <w:szCs w:val="15"/>
          <w:color w:val="auto"/>
        </w:rPr>
      </w:pPr>
    </w:p>
    <w:p>
      <w:pPr>
        <w:ind w:left="900" w:right="4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E.W. Scripps Company (commission file no. 1-16914) dated July 18, 1996.</w:t>
      </w:r>
    </w:p>
    <w:p>
      <w:pPr>
        <w:spacing w:after="0" w:line="174" w:lineRule="exact"/>
        <w:rPr>
          <w:rFonts w:ascii="Courier New" w:cs="Courier New" w:eastAsia="Courier New" w:hAnsi="Courier New"/>
          <w:sz w:val="15"/>
          <w:szCs w:val="15"/>
          <w:color w:val="auto"/>
        </w:rPr>
      </w:pPr>
    </w:p>
    <w:p>
      <w:pPr>
        <w:ind w:left="900"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combined financial statements of Scripps Cable for the nine months ended September 30, 1996 are incorporated by reference from the Form 8-K/A(7) of The E.W. Scripps Company (commission file no. 1-16914) dated November 1, 1996.</w:t>
      </w:r>
    </w:p>
    <w:p>
      <w:pPr>
        <w:spacing w:after="0" w:line="177" w:lineRule="exact"/>
        <w:rPr>
          <w:rFonts w:ascii="Courier New" w:cs="Courier New" w:eastAsia="Courier New" w:hAnsi="Courier New"/>
          <w:sz w:val="15"/>
          <w:szCs w:val="15"/>
          <w:color w:val="auto"/>
        </w:rPr>
      </w:pPr>
    </w:p>
    <w:p>
      <w:pPr>
        <w:ind w:left="900" w:right="8319" w:hanging="452"/>
        <w:spacing w:after="0" w:line="493" w:lineRule="auto"/>
        <w:tabs>
          <w:tab w:leader="none" w:pos="9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EXHIBIT NO.</w:t>
      </w:r>
    </w:p>
    <w:p>
      <w:pPr>
        <w:spacing w:after="0" w:line="1" w:lineRule="exact"/>
        <w:rPr>
          <w:rFonts w:ascii="Courier New" w:cs="Courier New" w:eastAsia="Courier New" w:hAnsi="Courier New"/>
          <w:sz w:val="15"/>
          <w:szCs w:val="15"/>
          <w:color w:val="auto"/>
        </w:rPr>
      </w:pPr>
    </w:p>
    <w:p>
      <w:pPr>
        <w:ind w:left="1820" w:right="3039" w:hanging="90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10.1Agreement and Plan of Merger (the "Merger Agreement"), dated as of October 28, 1995, by and among The E.W. Scripps Company, Scripps Howard, Inc. and Comcast Corporation</w:t>
      </w:r>
    </w:p>
    <w:p>
      <w:pPr>
        <w:spacing w:after="0" w:line="1" w:lineRule="exact"/>
        <w:rPr>
          <w:rFonts w:ascii="Courier New" w:cs="Courier New" w:eastAsia="Courier New" w:hAnsi="Courier New"/>
          <w:sz w:val="15"/>
          <w:szCs w:val="15"/>
          <w:color w:val="auto"/>
        </w:rPr>
      </w:pPr>
    </w:p>
    <w:p>
      <w:pPr>
        <w:ind w:left="1820" w:right="38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Form of Amendment to the Merger Agreement (incorporated by reference from Exhibit 2.1 to the Company's Registration Statement on Form S-4, file no. 333-13083.</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3" w:right="1440"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64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27, 1996</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Joseph J. Euteneuer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Joseph J. Euteneuer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Vice President and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Corporate Controller</w:t>
      </w:r>
    </w:p>
    <w:p>
      <w:pPr>
        <w:spacing w:after="0" w:line="180" w:lineRule="exact"/>
        <w:rPr>
          <w:sz w:val="20"/>
          <w:szCs w:val="20"/>
          <w:color w:val="auto"/>
        </w:rPr>
      </w:pPr>
    </w:p>
    <w:p>
      <w:pPr>
        <w:sectPr>
          <w:pgSz w:w="11900" w:h="16838" w:orient="portrait"/>
          <w:cols w:equalWidth="0" w:num="3">
            <w:col w:w="540" w:space="180"/>
            <w:col w:w="2740" w:space="720"/>
            <w:col w:w="6039"/>
          </w:cols>
          <w:pgMar w:left="240" w:top="64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643" w:right="1440" w:bottom="1440" w:gutter="0" w:footer="0" w:header="0"/>
          <w:type w:val="continuous"/>
        </w:sectPr>
      </w:pPr>
    </w:p>
    <w:bookmarkStart w:id="4" w:name="page5"/>
    <w:bookmarkEnd w:id="4"/>
    <w:p>
      <w:pPr>
        <w:ind w:left="23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ind w:left="920"/>
              <w:spacing w:after="0"/>
              <w:rPr>
                <w:sz w:val="20"/>
                <w:szCs w:val="20"/>
                <w:color w:val="auto"/>
              </w:rPr>
            </w:pPr>
            <w:r>
              <w:rPr>
                <w:rFonts w:ascii="Courier New" w:cs="Courier New" w:eastAsia="Courier New" w:hAnsi="Courier New"/>
                <w:sz w:val="15"/>
                <w:szCs w:val="15"/>
                <w:color w:val="auto"/>
              </w:rPr>
              <w:t>INDEX TO UNAUDITED PRO FORMA FINANCIAL INFORMATION</w:t>
            </w:r>
          </w:p>
        </w:tc>
        <w:tc>
          <w:tcPr>
            <w:tcW w:w="680" w:type="dxa"/>
            <w:vAlign w:val="bottom"/>
          </w:tcPr>
          <w:p>
            <w:pPr>
              <w:spacing w:after="0"/>
              <w:rPr>
                <w:sz w:val="14"/>
                <w:szCs w:val="14"/>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Financial Information</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- 1</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Balance Sheet as of September 30, 1996</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- 2</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of Operations for the Nine Months Ended September 30, 1996</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- 3</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 Consolidated Statement</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of Operations for the Year Ended December 31, 1995</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- 4</w:t>
            </w:r>
          </w:p>
        </w:tc>
      </w:tr>
      <w:tr>
        <w:trPr>
          <w:trHeight w:val="35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Condensed Consolidated</w:t>
            </w:r>
          </w:p>
        </w:tc>
        <w:tc>
          <w:tcPr>
            <w:tcW w:w="680" w:type="dxa"/>
            <w:vAlign w:val="bottom"/>
          </w:tcPr>
          <w:p>
            <w:pPr>
              <w:spacing w:after="0"/>
              <w:rPr>
                <w:sz w:val="24"/>
                <w:szCs w:val="24"/>
                <w:color w:val="auto"/>
              </w:rPr>
            </w:pPr>
          </w:p>
        </w:tc>
      </w:t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680" w:type="dxa"/>
            <w:vAlign w:val="bottom"/>
          </w:tcPr>
          <w:p>
            <w:pPr>
              <w:ind w:left="240"/>
              <w:spacing w:after="0"/>
              <w:rPr>
                <w:sz w:val="20"/>
                <w:szCs w:val="20"/>
                <w:color w:val="auto"/>
              </w:rPr>
            </w:pPr>
            <w:r>
              <w:rPr>
                <w:rFonts w:ascii="Courier New" w:cs="Courier New" w:eastAsia="Courier New" w:hAnsi="Courier New"/>
                <w:sz w:val="15"/>
                <w:szCs w:val="15"/>
                <w:color w:val="auto"/>
                <w:w w:val="93"/>
              </w:rPr>
              <w:t>F - 5</w:t>
            </w:r>
          </w:p>
        </w:tc>
      </w:tr>
    </w:tbl>
    <w:p>
      <w:pPr>
        <w:sectPr>
          <w:pgSz w:w="11900" w:h="16838" w:orient="portrait"/>
          <w:cols w:equalWidth="0" w:num="1">
            <w:col w:w="9779"/>
          </w:cols>
          <w:pgMar w:left="680" w:top="643" w:right="1440" w:bottom="1440" w:gutter="0" w:footer="0" w:header="0"/>
        </w:sectPr>
      </w:pPr>
    </w:p>
    <w:bookmarkStart w:id="5" w:name="page6"/>
    <w:bookmarkEnd w:id="5"/>
    <w:p>
      <w:pPr>
        <w:jc w:val="center"/>
        <w:ind w:right="2859"/>
        <w:spacing w:after="0"/>
        <w:rPr>
          <w:sz w:val="20"/>
          <w:szCs w:val="20"/>
          <w:color w:val="auto"/>
        </w:rPr>
      </w:pPr>
      <w:r>
        <w:rPr>
          <w:rFonts w:ascii="Courier New" w:cs="Courier New" w:eastAsia="Courier New" w:hAnsi="Courier New"/>
          <w:sz w:val="15"/>
          <w:szCs w:val="15"/>
          <w:color w:val="auto"/>
        </w:rPr>
        <w:t>UNAUDITED PRO FORMA</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FINANCIAL INFORMATION</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On November 13, 1996, the Company acquired the cable television operations ("Scripps Cable") of The E.W. Scripps Company ("E.W. Scripps") in exchange for 93.049 million shares of the Company's Class A Special Common Stock valued at $1.552 billion, based on the average closing price of the Class A Special Common Stock for the period from November 11, 1996 to November 15, 1996 (the "Scripps Transaction"). In February 1995, the Company and Tele-Communications, Inc. ("TCI") acquired all of the outstanding stock of QVC, Inc. ("QVC") not previously owned by them (the "QVC Acquisition") for approximately $1.4 billion in cash. For a further description of the Scripps Transaction, the QVC Acquisition and certain related transactions, see the notes to unaudited pro forma condensed consolidated financial statements.</w:t>
      </w:r>
    </w:p>
    <w:p>
      <w:pPr>
        <w:spacing w:after="0" w:line="18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following unaudited pro forma condensed consolidated financial statements reflect the consolidated financial position of the Company and Scripps Cable as of September 30, 1996, their consolidated operations for the nine months ended September 30, 1996 and their, along with QVC's, consolidated operations for the year ended December 31, 1995. See the notes to unaudited pro forma condensed consolidated financial statements for a description of the assumptions used in preparing these unaudited pro forma condensed consolidated financial statements.</w:t>
      </w:r>
    </w:p>
    <w:p>
      <w:pPr>
        <w:spacing w:after="0" w:line="180"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unaudited pro forma condensed consolidated balance sheet assumes the Scripps Transaction occurred on September 30, 1996. The unaudited pro forma condensed consolidated statements of operations for the nine months ended September 30, 1996 and for the year ended December 31, 1995 assume the QVC Acquisition and the Scripps Transaction occurred on January 1, 1995.</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unaudited pro forma condensed consolidated financial statements should be read in conjunction with: 1) the historical consolidated financial statements of the Company included in the Company's Annual Report on Form 10-K for the year ended December 31, 1995; 2) the historical condensed consolidated financial statements included in the Company's Quarterly Report on Form 10-Q for the quarter ended September 30, 1996; 3) the historical combined financial statements of Scripps Cable for the year ended December 31, 1995 incorporated by reference herein; and 4) the historical combined financial statements of Scripps Cable for the nine months ended September 30, 1996 incorporated by reference herein.</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results presented in the unaudited pro forma condensed consolidated statements of operations are not necessarily indicative of the results which actually would have occurred had the QVC Acquisition and the Scripps Transaction occurred on the dates indicated or which may result in the future.</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642" w:right="1440" w:bottom="1440" w:gutter="0" w:footer="0" w:header="0"/>
        </w:sectPr>
      </w:pPr>
    </w:p>
    <w:bookmarkStart w:id="6" w:name="page7"/>
    <w:bookmarkEnd w:id="6"/>
    <w:p>
      <w:pPr>
        <w:jc w:val="center"/>
        <w:ind w:right="40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UNAUDITED PRO FORMA CONDENSED CONSOLIDATED BALANCE SHEET</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SEPTEMBER 30, 1996</w:t>
      </w:r>
    </w:p>
    <w:p>
      <w:pPr>
        <w:spacing w:after="0" w:line="5"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5"/>
        </w:trPr>
        <w:tc>
          <w:tcPr>
            <w:tcW w:w="4440" w:type="dxa"/>
            <w:vAlign w:val="bottom"/>
          </w:tcPr>
          <w:p>
            <w:pPr>
              <w:spacing w:after="0"/>
              <w:rPr>
                <w:sz w:val="15"/>
                <w:szCs w:val="15"/>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5"/>
                <w:szCs w:val="15"/>
                <w:color w:val="auto"/>
              </w:rPr>
            </w:pPr>
          </w:p>
        </w:tc>
        <w:tc>
          <w:tcPr>
            <w:tcW w:w="144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440" w:type="dxa"/>
            <w:vAlign w:val="bottom"/>
          </w:tcPr>
          <w:p>
            <w:pPr>
              <w:spacing w:after="0"/>
              <w:rPr>
                <w:sz w:val="15"/>
                <w:szCs w:val="15"/>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spacing w:after="0"/>
              <w:rPr>
                <w:sz w:val="15"/>
                <w:szCs w:val="15"/>
                <w:color w:val="auto"/>
              </w:rPr>
            </w:pPr>
          </w:p>
        </w:tc>
        <w:tc>
          <w:tcPr>
            <w:tcW w:w="144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440" w:type="dxa"/>
            <w:vAlign w:val="bottom"/>
          </w:tcPr>
          <w:p>
            <w:pPr>
              <w:spacing w:after="0"/>
              <w:rPr>
                <w:sz w:val="15"/>
                <w:szCs w:val="15"/>
                <w:color w:val="auto"/>
              </w:rPr>
            </w:pPr>
          </w:p>
        </w:tc>
        <w:tc>
          <w:tcPr>
            <w:tcW w:w="17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center"/>
              <w:ind w:left="364"/>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w:t>
            </w:r>
          </w:p>
        </w:tc>
        <w:tc>
          <w:tcPr>
            <w:tcW w:w="1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440" w:type="dxa"/>
            <w:vAlign w:val="bottom"/>
          </w:tcPr>
          <w:p>
            <w:pPr>
              <w:ind w:left="360"/>
              <w:spacing w:after="0"/>
              <w:rPr>
                <w:sz w:val="20"/>
                <w:szCs w:val="20"/>
                <w:color w:val="auto"/>
              </w:rPr>
            </w:pPr>
            <w:r>
              <w:rPr>
                <w:rFonts w:ascii="Courier New" w:cs="Courier New" w:eastAsia="Courier New" w:hAnsi="Courier New"/>
                <w:sz w:val="15"/>
                <w:szCs w:val="15"/>
                <w:color w:val="auto"/>
              </w:rPr>
              <w:t>short-term investments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$526,662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$1,596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($1,596)</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$526,662</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350,675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11,496</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362,171</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Inventories, net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256,251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10,670</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266,921</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Prepaid charges and other</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57,990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6,954</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64,944</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65,758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5,421</w:t>
            </w: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71,179</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1,257,336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36,137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(1,596)</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1,291,877</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Investments, principally in affiliates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1,278,733</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1,278,733</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2,051,562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318,698</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308,031</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(E.1.)</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2,678,291</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Deferred Charges, net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5,241,677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137,054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1,382,310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(E.2.,6.)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6,761,041</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$9,829,308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$491,889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$1,688,745</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$12,009,942</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(DEFICIENCY) EQUITY</w:t>
            </w:r>
          </w:p>
        </w:tc>
        <w:tc>
          <w:tcPr>
            <w:tcW w:w="1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$990,414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$34,727</w:t>
            </w:r>
          </w:p>
        </w:tc>
        <w:tc>
          <w:tcPr>
            <w:tcW w:w="23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($3,781) (E.3.)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$1,021,360</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150,550</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150,550</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ind w:left="360"/>
              <w:spacing w:after="0"/>
              <w:rPr>
                <w:sz w:val="20"/>
                <w:szCs w:val="20"/>
                <w:color w:val="auto"/>
              </w:rPr>
            </w:pPr>
            <w:r>
              <w:rPr>
                <w:rFonts w:ascii="Courier New" w:cs="Courier New" w:eastAsia="Courier New" w:hAnsi="Courier New"/>
                <w:sz w:val="15"/>
                <w:szCs w:val="15"/>
                <w:color w:val="auto"/>
              </w:rPr>
              <w:t>Total current liabilities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1,140,964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34,727</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(3,781)</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1,171,910</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7,233,745</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7,233,745</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Due to Affiliates</w:t>
            </w:r>
          </w:p>
        </w:tc>
        <w:tc>
          <w:tcPr>
            <w:tcW w:w="1740" w:type="dxa"/>
            <w:vAlign w:val="bottom"/>
          </w:tcPr>
          <w:p>
            <w:pPr>
              <w:spacing w:after="0"/>
              <w:rPr>
                <w:sz w:val="24"/>
                <w:szCs w:val="24"/>
                <w:color w:val="auto"/>
              </w:rPr>
            </w:pP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340,982</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(340,982) (E.3.)</w:t>
            </w:r>
          </w:p>
        </w:tc>
        <w:tc>
          <w:tcPr>
            <w:tcW w:w="1440" w:type="dxa"/>
            <w:vAlign w:val="bottom"/>
          </w:tcPr>
          <w:p>
            <w:pPr>
              <w:spacing w:after="0"/>
              <w:rPr>
                <w:sz w:val="24"/>
                <w:szCs w:val="24"/>
                <w:color w:val="auto"/>
              </w:rPr>
            </w:pP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1,501,820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103,576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494,527</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2,099,923</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Minority Interest and Other</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891,492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8,775</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(8,775) (E.3.)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891,492</w:t>
            </w:r>
          </w:p>
        </w:tc>
      </w:tr>
      <w:tr>
        <w:trPr>
          <w:trHeight w:val="524"/>
        </w:trPr>
        <w:tc>
          <w:tcPr>
            <w:tcW w:w="4440" w:type="dxa"/>
            <w:vAlign w:val="bottom"/>
          </w:tcPr>
          <w:p>
            <w:pPr>
              <w:spacing w:after="0"/>
              <w:rPr>
                <w:sz w:val="20"/>
                <w:szCs w:val="20"/>
                <w:color w:val="auto"/>
              </w:rPr>
            </w:pPr>
            <w:r>
              <w:rPr>
                <w:rFonts w:ascii="Courier New" w:cs="Courier New" w:eastAsia="Courier New" w:hAnsi="Courier New"/>
                <w:sz w:val="15"/>
                <w:szCs w:val="15"/>
                <w:color w:val="auto"/>
              </w:rPr>
              <w:t>Stockholders' (Deficiency) Equity</w:t>
            </w:r>
          </w:p>
        </w:tc>
        <w:tc>
          <w:tcPr>
            <w:tcW w:w="1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31,850</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31,850</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233,313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1,801</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91,248</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326,362</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Additional capital</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869,911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35,144</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1,423,392</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2,328,447</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1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(2,089,358)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(33,116)</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33,116</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(2,089,358)</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Unrealized gains on marketable securities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32,716</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32,716</w:t>
            </w:r>
          </w:p>
        </w:tc>
      </w:tr>
      <w:tr>
        <w:trPr>
          <w:trHeight w:val="175"/>
        </w:trPr>
        <w:tc>
          <w:tcPr>
            <w:tcW w:w="444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adjustments</w:t>
            </w:r>
          </w:p>
        </w:tc>
        <w:tc>
          <w:tcPr>
            <w:tcW w:w="1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(17,145)</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(17,145)</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ind w:left="360"/>
              <w:spacing w:after="0"/>
              <w:rPr>
                <w:sz w:val="20"/>
                <w:szCs w:val="20"/>
                <w:color w:val="auto"/>
              </w:rPr>
            </w:pPr>
            <w:r>
              <w:rPr>
                <w:rFonts w:ascii="Courier New" w:cs="Courier New" w:eastAsia="Courier New" w:hAnsi="Courier New"/>
                <w:sz w:val="15"/>
                <w:szCs w:val="15"/>
                <w:color w:val="auto"/>
              </w:rPr>
              <w:t>Total stockholders' (deficiency) equity</w:t>
            </w:r>
          </w:p>
        </w:tc>
        <w:tc>
          <w:tcPr>
            <w:tcW w:w="1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(938,713)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3,829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1,547,756</w:t>
            </w:r>
          </w:p>
        </w:tc>
        <w:tc>
          <w:tcPr>
            <w:tcW w:w="1240" w:type="dxa"/>
            <w:vAlign w:val="bottom"/>
          </w:tcPr>
          <w:p>
            <w:pPr>
              <w:spacing w:after="0"/>
              <w:rPr>
                <w:sz w:val="24"/>
                <w:szCs w:val="24"/>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612,872</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$9,829,308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$491,889</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$1,688,745</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$12,009,942</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44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440"/>
          </w:cols>
          <w:pgMar w:left="240" w:top="642" w:right="219" w:bottom="1440" w:gutter="0" w:footer="0" w:header="0"/>
        </w:sectPr>
      </w:pPr>
    </w:p>
    <w:bookmarkStart w:id="7" w:name="page8"/>
    <w:bookmarkEnd w:id="7"/>
    <w:p>
      <w:pPr>
        <w:ind w:left="282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NINE MONTHS ENDED SEPTEMBER 30, 1996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462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spacing w:after="0"/>
              <w:rPr>
                <w:sz w:val="24"/>
                <w:szCs w:val="24"/>
                <w:color w:val="auto"/>
              </w:rPr>
            </w:pP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620" w:type="dxa"/>
            <w:vAlign w:val="bottom"/>
          </w:tcPr>
          <w:p>
            <w:pPr>
              <w:spacing w:after="0"/>
              <w:rPr>
                <w:sz w:val="15"/>
                <w:szCs w:val="15"/>
                <w:color w:val="auto"/>
              </w:rPr>
            </w:pPr>
          </w:p>
        </w:tc>
        <w:tc>
          <w:tcPr>
            <w:tcW w:w="1560" w:type="dxa"/>
            <w:vAlign w:val="bottom"/>
          </w:tcPr>
          <w:p>
            <w:pPr>
              <w:ind w:left="380"/>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Adjustments</w:t>
            </w:r>
          </w:p>
        </w:tc>
        <w:tc>
          <w:tcPr>
            <w:tcW w:w="1100" w:type="dxa"/>
            <w:vAlign w:val="bottom"/>
          </w:tcPr>
          <w:p>
            <w:pPr>
              <w:spacing w:after="0"/>
              <w:rPr>
                <w:sz w:val="15"/>
                <w:szCs w:val="15"/>
                <w:color w:val="auto"/>
              </w:rPr>
            </w:pPr>
          </w:p>
        </w:tc>
        <w:tc>
          <w:tcPr>
            <w:tcW w:w="1620" w:type="dxa"/>
            <w:vAlign w:val="bottom"/>
          </w:tcPr>
          <w:p>
            <w:pPr>
              <w:jc w:val="center"/>
              <w:ind w:left="4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center"/>
              <w:ind w:right="82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$2,870,869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$231,408</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($608)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$3,101,669</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2,008,862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133,054</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(608) (E.7.)</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2,141,308</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490,990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40,810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98,876</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(E.8.)</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630,676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2,499,852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173,864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98,268</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2,771,984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371,017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57,544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(98,876)</w:t>
            </w:r>
          </w:p>
        </w:tc>
        <w:tc>
          <w:tcPr>
            <w:tcW w:w="1100" w:type="dxa"/>
            <w:vAlign w:val="bottom"/>
          </w:tcPr>
          <w:p>
            <w:pPr>
              <w:spacing w:after="0"/>
              <w:rPr>
                <w:sz w:val="24"/>
                <w:szCs w:val="24"/>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329,685</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403,735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26,072</w:t>
            </w:r>
          </w:p>
        </w:tc>
        <w:tc>
          <w:tcPr>
            <w:tcW w:w="22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(26,045) (E.9.)</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403,762</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(63,706)</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(63,706)</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89,198</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89,198</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Gain from equity offering of affiliate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(40,638)</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(40,638)</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22,673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22,752</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411,262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26,151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(26,045)</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411,368</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(40,245)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31,393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(72,831)</w:t>
            </w: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(81,683)</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33,894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12,608</w:t>
            </w:r>
          </w:p>
        </w:tc>
        <w:tc>
          <w:tcPr>
            <w:tcW w:w="22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(22,473) (E.10.)</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24,029</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(47,423)</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(47,423)</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($26,716)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$18,785</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($50,358)</w:t>
            </w:r>
          </w:p>
        </w:tc>
        <w:tc>
          <w:tcPr>
            <w:tcW w:w="1100" w:type="dxa"/>
            <w:vAlign w:val="bottom"/>
          </w:tcPr>
          <w:p>
            <w:pPr>
              <w:spacing w:after="0"/>
              <w:rPr>
                <w:sz w:val="24"/>
                <w:szCs w:val="24"/>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($58,289)</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($0.11)</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($0.18)</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236,189</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93,049</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(E.11.)</w:t>
            </w: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329,238</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16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1520"/>
          </w:cols>
          <w:pgMar w:left="240" w:top="642" w:right="139" w:bottom="1440" w:gutter="0" w:footer="0" w:header="0"/>
        </w:sectPr>
      </w:pPr>
    </w:p>
    <w:bookmarkStart w:id="8" w:name="page9"/>
    <w:bookmarkEnd w:id="8"/>
    <w:p>
      <w:pPr>
        <w:jc w:val="center"/>
        <w:ind w:right="418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5"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YEAR ENDED DECEMBER 31, 1995</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(AMOUNTS IN THOUSANDS, EXCEPT PER SHARE DATA)</w:t>
            </w:r>
          </w:p>
        </w:tc>
        <w:tc>
          <w:tcPr>
            <w:tcW w:w="1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(A)</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QVC</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QVC</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524"/>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$3,362,946</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$131,469</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($1,095) (B.1.)</w:t>
            </w: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2,344,103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108,044</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(469) (B.1.)</w:t>
            </w: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689,052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4,781</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(B.1.,2.)</w:t>
            </w: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3,033,155</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113,045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4,312</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329,791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18,424</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(5,407)</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524,727</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12,256</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(B.3.)</w:t>
            </w:r>
          </w:p>
        </w:tc>
        <w:tc>
          <w:tcPr>
            <w:tcW w:w="15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(229,848)</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(1,634)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(B.4.)</w:t>
            </w:r>
          </w:p>
        </w:tc>
        <w:tc>
          <w:tcPr>
            <w:tcW w:w="15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86,618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2,285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5,480</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(B.5.)</w:t>
            </w:r>
          </w:p>
        </w:tc>
        <w:tc>
          <w:tcPr>
            <w:tcW w:w="1520" w:type="dxa"/>
            <w:vAlign w:val="bottom"/>
          </w:tcPr>
          <w:p>
            <w:pPr>
              <w:spacing w:after="0"/>
              <w:rPr>
                <w:sz w:val="15"/>
                <w:szCs w:val="15"/>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375,201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776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18,084</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(45,410)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17,648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(23,491)</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42,171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8,055</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(8,134) (B.6.)</w:t>
            </w: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(49,732)</w:t>
            </w:r>
          </w:p>
        </w:tc>
        <w:tc>
          <w:tcPr>
            <w:tcW w:w="1440" w:type="dxa"/>
            <w:vAlign w:val="bottom"/>
          </w:tcPr>
          <w:p>
            <w:pPr>
              <w:spacing w:after="0"/>
              <w:rPr>
                <w:sz w:val="15"/>
                <w:szCs w:val="15"/>
                <w:color w:val="auto"/>
              </w:rPr>
            </w:pP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(802) (B.7.)</w:t>
            </w: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($37,849)</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$9,593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($14,555)</w:t>
            </w: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($0.16)</w:t>
            </w: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239,679</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699"/>
        </w:trPr>
        <w:tc>
          <w:tcPr>
            <w:tcW w:w="4620" w:type="dxa"/>
            <w:vAlign w:val="bottom"/>
          </w:tcPr>
          <w:p>
            <w:pPr>
              <w:spacing w:after="0"/>
              <w:rPr>
                <w:sz w:val="24"/>
                <w:szCs w:val="24"/>
                <w:color w:val="auto"/>
              </w:rPr>
            </w:pPr>
          </w:p>
        </w:tc>
        <w:tc>
          <w:tcPr>
            <w:tcW w:w="1560" w:type="dxa"/>
            <w:vAlign w:val="bottom"/>
          </w:tcPr>
          <w:p>
            <w:pPr>
              <w:jc w:val="center"/>
              <w:ind w:left="124"/>
              <w:spacing w:after="0"/>
              <w:rPr>
                <w:sz w:val="20"/>
                <w:szCs w:val="20"/>
                <w:color w:val="auto"/>
              </w:rPr>
            </w:pPr>
            <w:r>
              <w:rPr>
                <w:rFonts w:ascii="Courier New" w:cs="Courier New" w:eastAsia="Courier New" w:hAnsi="Courier New"/>
                <w:sz w:val="15"/>
                <w:szCs w:val="15"/>
                <w:color w:val="auto"/>
              </w:rPr>
              <w:t>The Company</w:t>
            </w:r>
          </w:p>
        </w:tc>
        <w:tc>
          <w:tcPr>
            <w:tcW w:w="1440" w:type="dxa"/>
            <w:vAlign w:val="bottom"/>
          </w:tcPr>
          <w:p>
            <w:pPr>
              <w:jc w:val="center"/>
              <w:ind w:left="4"/>
              <w:spacing w:after="0"/>
              <w:rPr>
                <w:sz w:val="20"/>
                <w:szCs w:val="20"/>
                <w:color w:val="auto"/>
              </w:rPr>
            </w:pPr>
            <w:r>
              <w:rPr>
                <w:rFonts w:ascii="Courier New" w:cs="Courier New" w:eastAsia="Courier New" w:hAnsi="Courier New"/>
                <w:sz w:val="15"/>
                <w:szCs w:val="15"/>
                <w:color w:val="auto"/>
              </w:rPr>
              <w:t>(D)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The Company</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spacing w:after="0"/>
              <w:rPr>
                <w:sz w:val="15"/>
                <w:szCs w:val="15"/>
                <w:color w:val="auto"/>
              </w:rPr>
            </w:pPr>
          </w:p>
        </w:tc>
        <w:tc>
          <w:tcPr>
            <w:tcW w:w="238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Scripps Cable</w:t>
            </w:r>
          </w:p>
        </w:tc>
        <w:tc>
          <w:tcPr>
            <w:tcW w:w="1520" w:type="dxa"/>
            <w:vAlign w:val="bottom"/>
          </w:tcPr>
          <w:p>
            <w:pPr>
              <w:jc w:val="center"/>
              <w:ind w:left="304"/>
              <w:spacing w:after="0"/>
              <w:rPr>
                <w:sz w:val="20"/>
                <w:szCs w:val="20"/>
                <w:color w:val="auto"/>
              </w:rPr>
            </w:pPr>
            <w:r>
              <w:rPr>
                <w:rFonts w:ascii="Courier New" w:cs="Courier New" w:eastAsia="Courier New" w:hAnsi="Courier New"/>
                <w:sz w:val="15"/>
                <w:szCs w:val="15"/>
                <w:color w:val="auto"/>
              </w:rPr>
              <w:t>Pro Forma</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with</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Scripps Cable</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with QVC and</w:t>
            </w:r>
          </w:p>
        </w:tc>
      </w:tr>
      <w:tr>
        <w:trPr>
          <w:trHeight w:val="175"/>
        </w:trPr>
        <w:tc>
          <w:tcPr>
            <w:tcW w:w="4620" w:type="dxa"/>
            <w:vAlign w:val="bottom"/>
          </w:tcPr>
          <w:p>
            <w:pPr>
              <w:spacing w:after="0"/>
              <w:rPr>
                <w:sz w:val="15"/>
                <w:szCs w:val="15"/>
                <w:color w:val="auto"/>
              </w:rPr>
            </w:pPr>
          </w:p>
        </w:tc>
        <w:tc>
          <w:tcPr>
            <w:tcW w:w="1560" w:type="dxa"/>
            <w:vAlign w:val="bottom"/>
          </w:tcPr>
          <w:p>
            <w:pPr>
              <w:jc w:val="center"/>
              <w:ind w:left="104"/>
              <w:spacing w:after="0"/>
              <w:rPr>
                <w:sz w:val="20"/>
                <w:szCs w:val="20"/>
                <w:color w:val="auto"/>
              </w:rPr>
            </w:pPr>
            <w:r>
              <w:rPr>
                <w:rFonts w:ascii="Courier New" w:cs="Courier New" w:eastAsia="Courier New" w:hAnsi="Courier New"/>
                <w:sz w:val="15"/>
                <w:szCs w:val="15"/>
                <w:color w:val="auto"/>
                <w:w w:val="96"/>
              </w:rPr>
              <w:t>QVC</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Historical</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Adjustments</w:t>
            </w:r>
          </w:p>
        </w:tc>
        <w:tc>
          <w:tcPr>
            <w:tcW w:w="1200" w:type="dxa"/>
            <w:vAlign w:val="bottom"/>
          </w:tcPr>
          <w:p>
            <w:pPr>
              <w:spacing w:after="0"/>
              <w:rPr>
                <w:sz w:val="15"/>
                <w:szCs w:val="15"/>
                <w:color w:val="auto"/>
              </w:rPr>
            </w:pPr>
          </w:p>
        </w:tc>
        <w:tc>
          <w:tcPr>
            <w:tcW w:w="152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Scripps Cable</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Revenues, net</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$3,493,320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$279,482</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($766) (E.7.)</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$3,772,036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 and Cost of Goods Sold</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2,451,678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162,810</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(766) (E.7.)</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2,613,722</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698,834</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54,099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131,707</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(E.8.)</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884,640</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3,150,512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216,909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130,941</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3,498,362</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342,808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62,573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(131,707)</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273,674</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537,108</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35,258</w:t>
            </w:r>
          </w:p>
        </w:tc>
        <w:tc>
          <w:tcPr>
            <w:tcW w:w="238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(34,915) (E.9.)</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537,451</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(231,134)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(231,134)</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Equity in net losses of affiliates</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94,383</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94,383</w:t>
            </w: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(6,296)</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(2,288)</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(8,584)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394,061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32,970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(34,915)</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392,116</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 Expense</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5"/>
        </w:trPr>
        <w:tc>
          <w:tcPr>
            <w:tcW w:w="462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(51,253)</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29,603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(96,792)</w:t>
            </w: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(118,442)</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42,092</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11,913</w:t>
            </w:r>
          </w:p>
        </w:tc>
        <w:tc>
          <w:tcPr>
            <w:tcW w:w="23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(29,887) (E.10.)</w:t>
            </w: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24,118</w:t>
            </w:r>
          </w:p>
        </w:tc>
      </w:tr>
      <w:tr>
        <w:trPr>
          <w:trHeight w:val="175"/>
        </w:trPr>
        <w:tc>
          <w:tcPr>
            <w:tcW w:w="46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(50,534)</w:t>
            </w:r>
          </w:p>
        </w:tc>
        <w:tc>
          <w:tcPr>
            <w:tcW w:w="1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(50,534)</w:t>
            </w:r>
          </w:p>
        </w:tc>
      </w:tr>
      <w:tr>
        <w:trPr>
          <w:trHeight w:val="175"/>
        </w:trPr>
        <w:tc>
          <w:tcPr>
            <w:tcW w:w="462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1520" w:type="dxa"/>
            <w:vAlign w:val="bottom"/>
          </w:tcPr>
          <w:p>
            <w:pPr>
              <w:jc w:val="right"/>
              <w:ind w:right="84"/>
              <w:spacing w:after="0"/>
              <w:rPr>
                <w:sz w:val="20"/>
                <w:szCs w:val="20"/>
                <w:color w:val="auto"/>
              </w:rPr>
            </w:pPr>
            <w:r>
              <w:rPr>
                <w:rFonts w:ascii="Courier New" w:cs="Courier New" w:eastAsia="Courier New" w:hAnsi="Courier New"/>
                <w:sz w:val="15"/>
                <w:szCs w:val="15"/>
                <w:color w:val="auto"/>
              </w:rPr>
              <w:t>----------</w:t>
            </w:r>
          </w:p>
        </w:tc>
      </w:tr>
      <w:tr>
        <w:trPr>
          <w:trHeight w:val="350"/>
        </w:trPr>
        <w:tc>
          <w:tcPr>
            <w:tcW w:w="46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($42,811)</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$17,690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($66,905)</w:t>
            </w:r>
          </w:p>
        </w:tc>
        <w:tc>
          <w:tcPr>
            <w:tcW w:w="1200" w:type="dxa"/>
            <w:vAlign w:val="bottom"/>
          </w:tcPr>
          <w:p>
            <w:pPr>
              <w:spacing w:after="0"/>
              <w:rPr>
                <w:sz w:val="24"/>
                <w:szCs w:val="24"/>
                <w:color w:val="auto"/>
              </w:rPr>
            </w:pPr>
          </w:p>
        </w:tc>
        <w:tc>
          <w:tcPr>
            <w:tcW w:w="15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($92,026)</w:t>
            </w:r>
          </w:p>
        </w:tc>
      </w:tr>
    </w:tbl>
    <w:p>
      <w:pPr>
        <w:sectPr>
          <w:pgSz w:w="11900" w:h="16838" w:orient="portrait"/>
          <w:cols w:equalWidth="0" w:num="1">
            <w:col w:w="11520"/>
          </w:cols>
          <w:pgMar w:left="240" w:top="643" w:right="1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3080" w:type="dxa"/>
            <w:vAlign w:val="bottom"/>
          </w:tcPr>
          <w:p>
            <w:pPr>
              <w:jc w:val="right"/>
              <w:ind w:right="25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25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 Per Share</w:t>
            </w:r>
          </w:p>
        </w:tc>
        <w:tc>
          <w:tcPr>
            <w:tcW w:w="3080" w:type="dxa"/>
            <w:vAlign w:val="bottom"/>
          </w:tcPr>
          <w:p>
            <w:pPr>
              <w:jc w:val="right"/>
              <w:ind w:right="1517"/>
              <w:spacing w:after="0"/>
              <w:rPr>
                <w:sz w:val="20"/>
                <w:szCs w:val="20"/>
                <w:color w:val="auto"/>
              </w:rPr>
            </w:pPr>
            <w:r>
              <w:rPr>
                <w:rFonts w:ascii="Courier New" w:cs="Courier New" w:eastAsia="Courier New" w:hAnsi="Courier New"/>
                <w:sz w:val="15"/>
                <w:szCs w:val="15"/>
                <w:color w:val="auto"/>
              </w:rPr>
              <w:t>($0.18)</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($0.28)</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20"/>
                <w:szCs w:val="20"/>
                <w:color w:val="auto"/>
              </w:rPr>
            </w:pPr>
            <w:r>
              <w:rPr>
                <w:rFonts w:ascii="Courier New" w:cs="Courier New" w:eastAsia="Courier New" w:hAnsi="Courier New"/>
                <w:sz w:val="15"/>
                <w:szCs w:val="15"/>
                <w:color w:val="auto"/>
              </w:rPr>
              <w:t>Weighted Average Number of the Company's</w:t>
            </w:r>
          </w:p>
        </w:tc>
        <w:tc>
          <w:tcPr>
            <w:tcW w:w="3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500" w:type="dxa"/>
            <w:vAlign w:val="bottom"/>
          </w:tcPr>
          <w:p>
            <w:pPr>
              <w:ind w:left="8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239,679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93,049</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(E.11.)</w:t>
            </w: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332,728</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4500" w:type="dxa"/>
            <w:vAlign w:val="bottom"/>
          </w:tcPr>
          <w:p>
            <w:pPr>
              <w:spacing w:after="0"/>
              <w:rPr>
                <w:sz w:val="15"/>
                <w:szCs w:val="15"/>
                <w:color w:val="auto"/>
              </w:rPr>
            </w:pPr>
          </w:p>
        </w:tc>
        <w:tc>
          <w:tcPr>
            <w:tcW w:w="3080" w:type="dxa"/>
            <w:vAlign w:val="bottom"/>
          </w:tcPr>
          <w:p>
            <w:pPr>
              <w:jc w:val="right"/>
              <w:ind w:right="161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1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440"/>
          </w:cols>
          <w:pgMar w:left="240" w:top="141" w:right="219" w:bottom="1440" w:gutter="0" w:footer="0" w:header="0"/>
        </w:sectPr>
      </w:pPr>
    </w:p>
    <w:bookmarkStart w:id="10" w:name="page11"/>
    <w:bookmarkEnd w:id="10"/>
    <w:p>
      <w:pPr>
        <w:ind w:left="2187"/>
        <w:spacing w:after="0"/>
        <w:rPr>
          <w:sz w:val="20"/>
          <w:szCs w:val="20"/>
          <w:color w:val="auto"/>
        </w:rPr>
      </w:pPr>
      <w:r>
        <w:rPr>
          <w:rFonts w:ascii="Courier New" w:cs="Courier New" w:eastAsia="Courier New" w:hAnsi="Courier New"/>
          <w:sz w:val="15"/>
          <w:szCs w:val="15"/>
          <w:color w:val="auto"/>
        </w:rPr>
        <w:t>NOTES TO UNAUDITED PRO FORMA</w:t>
      </w:r>
    </w:p>
    <w:p>
      <w:pPr>
        <w:spacing w:after="0" w:line="5"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QVC</w:t>
      </w:r>
    </w:p>
    <w:p>
      <w:pPr>
        <w:spacing w:after="0" w:line="180" w:lineRule="exact"/>
        <w:rPr>
          <w:sz w:val="20"/>
          <w:szCs w:val="20"/>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1995, the Company and Tele-Communications, Inc.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(see below)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w:t>
      </w:r>
    </w:p>
    <w:p>
      <w:pPr>
        <w:spacing w:after="0" w:line="7" w:lineRule="exact"/>
        <w:rPr>
          <w:rFonts w:ascii="Courier New" w:cs="Courier New" w:eastAsia="Courier New" w:hAnsi="Courier New"/>
          <w:sz w:val="15"/>
          <w:szCs w:val="15"/>
          <w:color w:val="auto"/>
        </w:rPr>
      </w:pPr>
    </w:p>
    <w:p>
      <w:pPr>
        <w:ind w:left="447"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 to day operations of QVC. The Company has accounted for the QVC Acquisition under the purchase method and QVC was consolidated with the Company effective February 1, 1995. QVC's historical results of operations included in the unaudited pro forma condensed consolidated statement of operations for the year ended December 31, 1995 represents QVC's historical results of operations for the month ended January 31, 1995.</w:t>
      </w:r>
    </w:p>
    <w:p>
      <w:pPr>
        <w:spacing w:after="0" w:line="179"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1995, the Company exchanged its investments in Heritage Communications, Inc. ("Heritage") with TCI for approximately 13.3 million publicly-traded Class A common shares of TCI with a fair market value</w:t>
      </w:r>
    </w:p>
    <w:p>
      <w:pPr>
        <w:spacing w:after="0" w:line="1" w:lineRule="exact"/>
        <w:rPr>
          <w:rFonts w:ascii="Courier New" w:cs="Courier New" w:eastAsia="Courier New" w:hAnsi="Courier New"/>
          <w:sz w:val="15"/>
          <w:szCs w:val="15"/>
          <w:color w:val="auto"/>
        </w:rPr>
      </w:pPr>
    </w:p>
    <w:p>
      <w:pPr>
        <w:ind w:left="44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approximately $290.0 million. Shortly thereafter, the Company sold approximately 9.1 million unrestricted TCI shares for total proceeds of approximately $188.1 million (collectively, the "Heritage Transaction"). As a result of these transactions, the Company recognized a pre-tax gain of $141.0 million in 1995.</w:t>
      </w:r>
    </w:p>
    <w:p>
      <w:pPr>
        <w:spacing w:after="0" w:line="177" w:lineRule="exact"/>
        <w:rPr>
          <w:rFonts w:ascii="Courier New" w:cs="Courier New" w:eastAsia="Courier New" w:hAnsi="Courier New"/>
          <w:sz w:val="15"/>
          <w:szCs w:val="15"/>
          <w:color w:val="auto"/>
        </w:rPr>
      </w:pPr>
    </w:p>
    <w:p>
      <w:pPr>
        <w:jc w:val="both"/>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cash contribution in connection with the QVC Acquisition was funded, in part, by the cash proceeds from the Heritage Transaction, along with a borrowing of $80.0 million under a subsidiary's credit facility.</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26"/>
          </w:cols>
          <w:pgMar w:left="233" w:top="642" w:right="1440" w:bottom="1440" w:gutter="0" w:footer="0" w:header="0"/>
        </w:sectPr>
      </w:pPr>
    </w:p>
    <w:bookmarkStart w:id="11" w:name="page12"/>
    <w:bookmarkEnd w:id="11"/>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 of operations for the year ended December 31, 1995 to reflect the QVC Acquisition:</w:t>
      </w:r>
    </w:p>
    <w:p>
      <w:pPr>
        <w:spacing w:after="0" w:line="174"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commissions and other payments by QVC to the Company.</w:t>
      </w:r>
    </w:p>
    <w:p>
      <w:pPr>
        <w:spacing w:after="0" w:line="179" w:lineRule="exact"/>
        <w:rPr>
          <w:rFonts w:ascii="Courier New" w:cs="Courier New" w:eastAsia="Courier New" w:hAnsi="Courier New"/>
          <w:sz w:val="15"/>
          <w:szCs w:val="15"/>
          <w:color w:val="auto"/>
        </w:rPr>
      </w:pPr>
    </w:p>
    <w:p>
      <w:pPr>
        <w:ind w:left="907" w:right="3039" w:hanging="452"/>
        <w:spacing w:after="0" w:line="246"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 expense resulting from the increased fair market value of the assets acquired in excess of their historical book values and amortization of goodwill arising from the acquisition. Depreciation expense is based on a weighted average property and equipment life of approximately 7 years. Amortization expense is based on a life of 30 years for goodwill and 10 years for cable television distribution rights. Debt issuance costs are amortized over the term of the related debt.</w:t>
      </w:r>
    </w:p>
    <w:p>
      <w:pPr>
        <w:spacing w:after="0" w:line="179" w:lineRule="exact"/>
        <w:rPr>
          <w:rFonts w:ascii="Courier New" w:cs="Courier New" w:eastAsia="Courier New" w:hAnsi="Courier New"/>
          <w:sz w:val="15"/>
          <w:szCs w:val="15"/>
          <w:color w:val="auto"/>
        </w:rPr>
      </w:pPr>
    </w:p>
    <w:p>
      <w:pPr>
        <w:ind w:left="907" w:right="295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increase in interest expense due to the incurrence of additional long-term indebtedness, at a weighted average interest rate of 8.3%.</w:t>
      </w:r>
    </w:p>
    <w:p>
      <w:pPr>
        <w:spacing w:after="0" w:line="174" w:lineRule="exact"/>
        <w:rPr>
          <w:rFonts w:ascii="Courier New" w:cs="Courier New" w:eastAsia="Courier New" w:hAnsi="Courier New"/>
          <w:sz w:val="15"/>
          <w:szCs w:val="15"/>
          <w:color w:val="auto"/>
        </w:rPr>
      </w:pPr>
    </w:p>
    <w:p>
      <w:pPr>
        <w:ind w:left="907" w:right="303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interest income on the Company's notes receivable from Heritage, which were exchanged for TCI Shares in connection with the Heritage Transaction.</w:t>
      </w:r>
    </w:p>
    <w:p>
      <w:pPr>
        <w:spacing w:after="0" w:line="174" w:lineRule="exact"/>
        <w:rPr>
          <w:rFonts w:ascii="Courier New" w:cs="Courier New" w:eastAsia="Courier New" w:hAnsi="Courier New"/>
          <w:sz w:val="15"/>
          <w:szCs w:val="15"/>
          <w:color w:val="auto"/>
        </w:rPr>
      </w:pPr>
    </w:p>
    <w:p>
      <w:pPr>
        <w:ind w:left="907" w:right="321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Company's historical equity in the net income of QVC. The Company historically accounted for its investment in QVC under the equity method through the date of the QVC Acquisition.</w:t>
      </w:r>
    </w:p>
    <w:p>
      <w:pPr>
        <w:spacing w:after="0" w:line="174" w:lineRule="exact"/>
        <w:rPr>
          <w:rFonts w:ascii="Courier New" w:cs="Courier New" w:eastAsia="Courier New" w:hAnsi="Courier New"/>
          <w:sz w:val="15"/>
          <w:szCs w:val="15"/>
          <w:color w:val="auto"/>
        </w:rPr>
      </w:pPr>
    </w:p>
    <w:p>
      <w:pPr>
        <w:ind w:left="907" w:right="331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907" w:right="3039" w:hanging="452"/>
        <w:spacing w:after="0" w:line="247" w:lineRule="auto"/>
        <w:tabs>
          <w:tab w:leader="none" w:pos="90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minority interest resulting from TCI's 42.55% interest in QVC.</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6"/>
          </w:cols>
          <w:pgMar w:left="233" w:top="643" w:right="1440" w:bottom="1440" w:gutter="0" w:footer="0" w:header="0"/>
        </w:sectPr>
      </w:pPr>
    </w:p>
    <w:bookmarkStart w:id="12" w:name="page13"/>
    <w:bookmarkEnd w:id="12"/>
    <w:p>
      <w:pPr>
        <w:ind w:left="7"/>
        <w:spacing w:after="0"/>
        <w:rPr>
          <w:sz w:val="20"/>
          <w:szCs w:val="20"/>
          <w:color w:val="auto"/>
        </w:rPr>
      </w:pPr>
      <w:r>
        <w:rPr>
          <w:rFonts w:ascii="Courier New" w:cs="Courier New" w:eastAsia="Courier New" w:hAnsi="Courier New"/>
          <w:sz w:val="15"/>
          <w:szCs w:val="15"/>
          <w:color w:val="auto"/>
        </w:rPr>
        <w:t>SCRIPPS CABLE</w:t>
      </w:r>
    </w:p>
    <w:p>
      <w:pPr>
        <w:spacing w:after="0" w:line="180" w:lineRule="exact"/>
        <w:rPr>
          <w:sz w:val="20"/>
          <w:szCs w:val="20"/>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TRANSACTIONS</w:t>
      </w:r>
    </w:p>
    <w:p>
      <w:pPr>
        <w:spacing w:after="0" w:line="179" w:lineRule="exact"/>
        <w:rPr>
          <w:rFonts w:ascii="Courier New" w:cs="Courier New" w:eastAsia="Courier New" w:hAnsi="Courier New"/>
          <w:sz w:val="15"/>
          <w:szCs w:val="15"/>
          <w:color w:val="auto"/>
        </w:rPr>
      </w:pPr>
    </w:p>
    <w:p>
      <w:pPr>
        <w:ind w:left="447"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13, 1996, the Company acquired the cable television operations ("Scripps Cable") of The E.W. Scripps Company ("E.W. Scripps") in exchange for 93.049 million shares of the Company's Class A Special Common Stock, par value $1.00 per share (the "Class A Special Common Stock"), valued at $1.552 billion, based on the average closing price of the Class A Special Common Stock for the period from November 11, 1996 to November 15, 1996 (the "Scripps Transaction"). The Scripps Transaction was consummated pursuant to the terms of an Agreement and Plan of Merger ("the Merger Agreement"), incorporated by reference herein, between the Company, E.W. Scripps and Scripps Howard, Inc. ("SHI"), a wholly owned subsidiary of E.W. Scripps. The Company has accounted for the Scripps Transaction under the purchase method and Scripps Cable has been consolidated with the Company effective November 1, 1996.</w:t>
      </w:r>
    </w:p>
    <w:p>
      <w:pPr>
        <w:spacing w:after="0" w:line="35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6"/>
          </w:cols>
          <w:pgMar w:left="233" w:top="643" w:right="1440" w:bottom="1440" w:gutter="0" w:footer="0" w:header="0"/>
        </w:sectPr>
      </w:pPr>
    </w:p>
    <w:bookmarkStart w:id="13" w:name="page14"/>
    <w:bookmarkEnd w:id="13"/>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9" w:lineRule="exact"/>
        <w:rPr>
          <w:rFonts w:ascii="Courier New" w:cs="Courier New" w:eastAsia="Courier New" w:hAnsi="Courier New"/>
          <w:sz w:val="15"/>
          <w:szCs w:val="15"/>
          <w:color w:val="auto"/>
        </w:rPr>
      </w:pPr>
    </w:p>
    <w:p>
      <w:pPr>
        <w:ind w:left="44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E.W. Scripps had historically been the holding company for its cable television operations along with other operations. In connection with the Scripps Transaction, in which E.W. Scripps was merged with and into the Company (the "Merger"), E.W. Scripps contributed its non-cable televison operations to SHI and distributed the shares of SHI to its shareholders (the "Distribution"). The Distribution occurred immediately prior to the closing of the Merger. Accordingly, when the Company acquired E.W. Scripps, it only purchased Scripps Cable.</w:t>
      </w:r>
    </w:p>
    <w:p>
      <w:pPr>
        <w:spacing w:after="0" w:line="179" w:lineRule="exact"/>
        <w:rPr>
          <w:rFonts w:ascii="Courier New" w:cs="Courier New" w:eastAsia="Courier New" w:hAnsi="Courier New"/>
          <w:sz w:val="15"/>
          <w:szCs w:val="15"/>
          <w:color w:val="auto"/>
        </w:rPr>
      </w:pPr>
    </w:p>
    <w:p>
      <w:pPr>
        <w:ind w:left="447" w:right="31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historical combined financial statements of Scripps Cable included in the unaudited pro forma condensed consolidated financial statements represent the net assets that the Company acquired and exclude the assets, liabilities and results of operations of the non-cable television operations of E.W. Scripps.</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9" w:lineRule="exact"/>
        <w:rPr>
          <w:rFonts w:ascii="Courier New" w:cs="Courier New" w:eastAsia="Courier New" w:hAnsi="Courier New"/>
          <w:sz w:val="15"/>
          <w:szCs w:val="15"/>
          <w:color w:val="auto"/>
        </w:rPr>
      </w:pPr>
    </w:p>
    <w:p>
      <w:pPr>
        <w:jc w:val="both"/>
        <w:ind w:left="447" w:right="3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adjustments and elimination entries have been made to the unaudited pro forma condensed consolidated balance sheet to reflect the Scripps Transaction:</w:t>
      </w:r>
    </w:p>
    <w:p>
      <w:pPr>
        <w:spacing w:after="0" w:line="174"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estimated fair value of the property and equipment acquired in the Scripps Transaction in excess of the historical book value of such property and equipment ($308.0 million). The estimated fair value of the acquired property</w:t>
      </w:r>
    </w:p>
    <w:p>
      <w:pPr>
        <w:spacing w:after="0" w:line="3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6"/>
          </w:cols>
          <w:pgMar w:left="233" w:top="643" w:right="1440" w:bottom="1440" w:gutter="0" w:footer="0" w:header="0"/>
        </w:sectPr>
      </w:pPr>
    </w:p>
    <w:bookmarkStart w:id="14" w:name="page15"/>
    <w:bookmarkEnd w:id="14"/>
    <w:p>
      <w:pPr>
        <w:ind w:left="460" w:right="3039"/>
        <w:spacing w:after="0" w:line="247" w:lineRule="auto"/>
        <w:rPr>
          <w:sz w:val="20"/>
          <w:szCs w:val="20"/>
          <w:color w:val="auto"/>
        </w:rPr>
      </w:pPr>
      <w:r>
        <w:rPr>
          <w:rFonts w:ascii="Courier New" w:cs="Courier New" w:eastAsia="Courier New" w:hAnsi="Courier New"/>
          <w:sz w:val="15"/>
          <w:szCs w:val="15"/>
          <w:color w:val="auto"/>
        </w:rPr>
        <w:t>and equipment is subject to adjustment upon receipt by the Company of an independent appraisal of Scripps Cable.</w:t>
      </w:r>
    </w:p>
    <w:p>
      <w:pPr>
        <w:spacing w:after="0" w:line="175" w:lineRule="exact"/>
        <w:rPr>
          <w:sz w:val="20"/>
          <w:szCs w:val="20"/>
          <w:color w:val="auto"/>
        </w:rPr>
      </w:pPr>
    </w:p>
    <w:p>
      <w:pPr>
        <w:ind w:left="460" w:right="303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allocation of the total consideration in the Scripps Transaction to deferred charges ($887.8 million), principally to franchise acquisition costs and subscriber lists. The purchase price allocation is subject to adjustment upon receipt by the Company of an independent appraisal of Scripps Cable.</w:t>
      </w:r>
    </w:p>
    <w:p>
      <w:pPr>
        <w:spacing w:after="0" w:line="177"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cash and certain liabilities which</w:t>
      </w:r>
    </w:p>
    <w:p>
      <w:pPr>
        <w:spacing w:after="0" w:line="4" w:lineRule="exact"/>
        <w:rPr>
          <w:rFonts w:ascii="Courier New" w:cs="Courier New" w:eastAsia="Courier New" w:hAnsi="Courier New"/>
          <w:sz w:val="15"/>
          <w:szCs w:val="15"/>
          <w:color w:val="auto"/>
        </w:rPr>
      </w:pPr>
    </w:p>
    <w:p>
      <w:pPr>
        <w:ind w:left="460"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were not acquired or assumed by the Company in the Scripps Transaction pursuant to the terms of the Merger Agreement (primarily income taxes payable, accruals for lawsuits and related settlements and amounts payable by Scripps Cable to E.W. Scripps) ($351.9 million in total).</w:t>
      </w:r>
    </w:p>
    <w:p>
      <w:pPr>
        <w:spacing w:after="0" w:line="177" w:lineRule="exact"/>
        <w:rPr>
          <w:rFonts w:ascii="Courier New" w:cs="Courier New" w:eastAsia="Courier New" w:hAnsi="Courier New"/>
          <w:sz w:val="15"/>
          <w:szCs w:val="15"/>
          <w:color w:val="auto"/>
        </w:rPr>
      </w:pPr>
    </w:p>
    <w:p>
      <w:pPr>
        <w:ind w:left="460" w:right="3599" w:hanging="452"/>
        <w:spacing w:after="0" w:line="246"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par value of the Class A Special Common Stock issued by the Company for Scripps Cable ($93.0 million) and the related additional capital ($1.459 billion), based on the</w:t>
      </w:r>
    </w:p>
    <w:p>
      <w:pPr>
        <w:spacing w:after="0" w:line="1" w:lineRule="exact"/>
        <w:rPr>
          <w:rFonts w:ascii="Courier New" w:cs="Courier New" w:eastAsia="Courier New" w:hAnsi="Courier New"/>
          <w:sz w:val="15"/>
          <w:szCs w:val="15"/>
          <w:color w:val="auto"/>
        </w:rPr>
      </w:pPr>
    </w:p>
    <w:p>
      <w:pPr>
        <w:ind w:left="460"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93.049 million shares issued in the Scripps Transaction valued at $1.552 billion (based on the average closing price of the Class A Special Common Stock for the period from November 11, 1996 to November 15, 1996).</w:t>
      </w:r>
    </w:p>
    <w:p>
      <w:pPr>
        <w:spacing w:after="0" w:line="177"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equity.</w:t>
      </w:r>
    </w:p>
    <w:p>
      <w:pPr>
        <w:spacing w:after="0" w:line="179" w:lineRule="exact"/>
        <w:rPr>
          <w:rFonts w:ascii="Courier New" w:cs="Courier New" w:eastAsia="Courier New" w:hAnsi="Courier New"/>
          <w:sz w:val="15"/>
          <w:szCs w:val="15"/>
          <w:color w:val="auto"/>
        </w:rPr>
      </w:pPr>
    </w:p>
    <w:p>
      <w:pPr>
        <w:ind w:left="460" w:right="3139" w:hanging="452"/>
        <w:spacing w:after="0" w:line="247" w:lineRule="auto"/>
        <w:tabs>
          <w:tab w:leader="none" w:pos="4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goodwill and deferred income taxes resulting from differences in the book and tax bases of the assets of Scripps Cable arising from the acquisition ($494.5 million).</w:t>
      </w:r>
    </w:p>
    <w:p>
      <w:pPr>
        <w:spacing w:after="0" w:line="17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The following adjustments and elimination entries have been made to the unaudited pro forma condensed consolidated statements of operations to reflect the Scripps Transaction:</w:t>
      </w:r>
    </w:p>
    <w:p>
      <w:pPr>
        <w:spacing w:after="0" w:line="174" w:lineRule="exact"/>
        <w:rPr>
          <w:sz w:val="20"/>
          <w:szCs w:val="20"/>
          <w:color w:val="auto"/>
        </w:rPr>
      </w:pPr>
    </w:p>
    <w:p>
      <w:pPr>
        <w:ind w:left="460" w:right="3499" w:hanging="452"/>
        <w:spacing w:after="0" w:line="247"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commissions paid by QVC to Scripps Cable.</w:t>
      </w:r>
    </w:p>
    <w:p>
      <w:pPr>
        <w:spacing w:after="0" w:line="174" w:lineRule="exact"/>
        <w:rPr>
          <w:rFonts w:ascii="Courier New" w:cs="Courier New" w:eastAsia="Courier New" w:hAnsi="Courier New"/>
          <w:sz w:val="15"/>
          <w:szCs w:val="15"/>
          <w:color w:val="auto"/>
        </w:rPr>
      </w:pPr>
    </w:p>
    <w:p>
      <w:pPr>
        <w:ind w:left="460" w:hanging="452"/>
        <w:spacing w:after="0"/>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additional depreciation and amortization</w:t>
      </w:r>
    </w:p>
    <w:p>
      <w:pPr>
        <w:spacing w:after="0" w:line="4" w:lineRule="exact"/>
        <w:rPr>
          <w:rFonts w:ascii="Courier New" w:cs="Courier New" w:eastAsia="Courier New" w:hAnsi="Courier New"/>
          <w:sz w:val="15"/>
          <w:szCs w:val="15"/>
          <w:color w:val="auto"/>
        </w:rPr>
      </w:pPr>
    </w:p>
    <w:p>
      <w:pPr>
        <w:ind w:left="460"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resulting from the increased fair value of the assets acquired in excess of their historical book values and amortization of goodwill arising from the acquisition, offset, in part, by the elimination of Scripps Cable's historical goodwill amortization. Depreciation expense is based on a weighted average property and equipment life of approximately 10 years. Property and equipment of Scripps Cable principally consists of operating facilities, which is typically depreciated over a period of 12 years by the Company. Amortization expense is based on an average life for deferred charges and goodwill of 12 and 20 years, respectively.</w:t>
      </w:r>
    </w:p>
    <w:p>
      <w:pPr>
        <w:spacing w:after="0" w:line="18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79"/>
          </w:cols>
          <w:pgMar w:left="680" w:top="643" w:right="1440" w:bottom="1440" w:gutter="0" w:footer="0" w:header="0"/>
        </w:sectPr>
      </w:pPr>
    </w:p>
    <w:bookmarkStart w:id="15" w:name="page16"/>
    <w:bookmarkEnd w:id="15"/>
    <w:p>
      <w:pPr>
        <w:ind w:left="452" w:right="3419" w:hanging="36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Scripps Cable's historical interest expense on balances due to affiliates.</w:t>
      </w:r>
    </w:p>
    <w:p>
      <w:pPr>
        <w:spacing w:after="0" w:line="174" w:lineRule="exact"/>
        <w:rPr>
          <w:rFonts w:ascii="Courier New" w:cs="Courier New" w:eastAsia="Courier New" w:hAnsi="Courier New"/>
          <w:sz w:val="15"/>
          <w:szCs w:val="15"/>
          <w:color w:val="auto"/>
        </w:rPr>
      </w:pPr>
    </w:p>
    <w:p>
      <w:pPr>
        <w:ind w:left="452" w:right="331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the tax provision resulting from the pro forma adjustments.</w:t>
      </w:r>
    </w:p>
    <w:p>
      <w:pPr>
        <w:spacing w:after="0" w:line="174" w:lineRule="exact"/>
        <w:rPr>
          <w:rFonts w:ascii="Courier New" w:cs="Courier New" w:eastAsia="Courier New" w:hAnsi="Courier New"/>
          <w:sz w:val="15"/>
          <w:szCs w:val="15"/>
          <w:color w:val="auto"/>
        </w:rPr>
      </w:pPr>
    </w:p>
    <w:p>
      <w:pPr>
        <w:ind w:left="452" w:right="3219" w:hanging="452"/>
        <w:spacing w:after="0" w:line="247" w:lineRule="auto"/>
        <w:tabs>
          <w:tab w:leader="none" w:pos="45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shares of Class A Special Common Stock issued in the Scripps Transaction.</w:t>
      </w:r>
    </w:p>
    <w:p>
      <w:pPr>
        <w:spacing w:after="0" w:line="175" w:lineRule="exact"/>
        <w:rPr>
          <w:sz w:val="20"/>
          <w:szCs w:val="20"/>
          <w:color w:val="auto"/>
        </w:rPr>
      </w:pPr>
    </w:p>
    <w:p>
      <w:pPr>
        <w:ind w:left="2992"/>
        <w:spacing w:after="0"/>
        <w:rPr>
          <w:sz w:val="20"/>
          <w:szCs w:val="20"/>
          <w:color w:val="auto"/>
        </w:rPr>
      </w:pPr>
      <w:r>
        <w:rPr>
          <w:rFonts w:ascii="Courier New" w:cs="Courier New" w:eastAsia="Courier New" w:hAnsi="Courier New"/>
          <w:sz w:val="15"/>
          <w:szCs w:val="15"/>
          <w:color w:val="auto"/>
        </w:rPr>
        <w:t>F-10</w:t>
      </w:r>
    </w:p>
    <w:sectPr>
      <w:pgSz w:w="11900" w:h="16838" w:orient="portrait"/>
      <w:cols w:equalWidth="0" w:num="1">
        <w:col w:w="9772"/>
      </w:cols>
      <w:pgMar w:left="688" w:top="64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upperLetter"/>
      <w:start w:val="2"/>
    </w:lvl>
    <w:lvl w:ilvl="1">
      <w:lvlJc w:val="left"/>
      <w:lvlText w:val="%2."/>
      <w:numFmt w:val="decimal"/>
      <w:start w:val="1"/>
    </w:lvl>
  </w:abstractNum>
  <w:abstractNum w:abstractNumId="3">
    <w:nsid w:val="507ED7AB"/>
    <w:multiLevelType w:val="hybridMultilevel"/>
    <w:lvl w:ilvl="0">
      <w:lvlJc w:val="left"/>
      <w:lvlText w:val="%1."/>
      <w:numFmt w:val="upperLetter"/>
      <w:start w:val="3"/>
    </w:lvl>
  </w:abstractNum>
  <w:abstractNum w:abstractNumId="4">
    <w:nsid w:val="2EB141F2"/>
    <w:multiLevelType w:val="hybridMultilevel"/>
    <w:lvl w:ilvl="0">
      <w:lvlJc w:val="left"/>
      <w:lvlText w:val="%1."/>
      <w:numFmt w:val="upperLetter"/>
      <w:start w:val="4"/>
    </w:lvl>
    <w:lvl w:ilvl="1">
      <w:lvlJc w:val="left"/>
      <w:lvlText w:val="%2."/>
      <w:numFmt w:val="decimal"/>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2019-12-12T06:04:20Z</dcterms:created>
  <dcterms:modified xsi:type="dcterms:W3CDTF">2019-12-12T06:04:20Z</dcterms:modified>
</cp:coreProperties>
</file>