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doc4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BACON KENNETH J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PHILADELPHIA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CMCSA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56"/>
        <w:gridCol w:w="907"/>
        <w:gridCol w:w="775"/>
        <w:gridCol w:w="603"/>
        <w:gridCol w:w="356"/>
        <w:gridCol w:w="870"/>
        <w:gridCol w:w="473"/>
        <w:gridCol w:w="847"/>
        <w:gridCol w:w="1196"/>
        <w:gridCol w:w="1022"/>
        <w:gridCol w:w="934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5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5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5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4,185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0.0000</w:t>
            </w:r>
            <w:r>
              <w:rPr/>
              <w:t xml:space="preserve"> 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33,788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177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44.215</w:t>
            </w:r>
            <w:r>
              <w:rPr/>
              <w:t xml:space="preserve"> 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33,611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Elizabeth Wideman, Attorney-in-fact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11/22/2019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204117" TargetMode="External"/><Relationship Id="rId4" Type="http://schemas.openxmlformats.org/officeDocument/2006/relationships/hyperlink" Target="../../../../cgi-bin/browse-edgar%3F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525</Words>
  <CharactersWithSpaces>3314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