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January 31, 2019</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140"/>
          </w:cols>
          <w:pgMar w:left="240" w:top="908" w:right="519" w:bottom="1440" w:gutter="0" w:footer="0" w:header="0"/>
        </w:sectPr>
      </w:pPr>
    </w:p>
    <w:p>
      <w:pPr>
        <w:spacing w:after="0" w:line="37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860"/>
        <w:spacing w:after="0" w:line="277" w:lineRule="auto"/>
        <w:rPr>
          <w:sz w:val="20"/>
          <w:szCs w:val="20"/>
          <w:color w:val="auto"/>
        </w:rPr>
      </w:pPr>
      <w:r>
        <w:rPr>
          <w:rFonts w:ascii="Arial" w:cs="Arial" w:eastAsia="Arial" w:hAnsi="Arial"/>
          <w:sz w:val="18"/>
          <w:szCs w:val="18"/>
          <w:color w:val="auto"/>
        </w:rPr>
        <w:t>Notice of disclosure filed in the Annual Report on Form 10-K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580"/>
          </w:cols>
          <w:pgMar w:left="240" w:top="908" w:right="51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Annual Report on Form 10-K for the year ended December 31, 2018, which was filed with the Securities and Exchange Commission on January 31, 2019.</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140"/>
      </w:cols>
      <w:pgMar w:left="240" w:top="908"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2019-12-05T00:33:58Z</dcterms:created>
  <dcterms:modified xsi:type="dcterms:W3CDTF">2019-12-05T00:33:58Z</dcterms:modified>
</cp:coreProperties>
</file>