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118110</wp:posOffset>
            </wp:positionV>
            <wp:extent cx="293306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8" w:lineRule="exact"/>
        <w:rPr>
          <w:sz w:val="24"/>
          <w:szCs w:val="24"/>
          <w:color w:val="auto"/>
        </w:rPr>
      </w:pPr>
    </w:p>
    <w:p>
      <w:pPr>
        <w:ind w:right="3440" w:firstLine="5"/>
        <w:spacing w:after="0" w:line="27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4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As of September 30, 2010, there were 2,069,590,273 shares of our Class A common stock, 711,078,811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5"/>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760" w:type="dxa"/>
            <w:vAlign w:val="bottom"/>
            <w:gridSpan w:val="19"/>
          </w:tcPr>
          <w:p>
            <w:pPr>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760" w:type="dxa"/>
            <w:vAlign w:val="bottom"/>
            <w:gridSpan w:val="17"/>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 as of September 30, 2010 and December 31, 2009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 of Operations for the Three and Nine Months Ended September 30, 2010 and 2009</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3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40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5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Cash Flows for the Nine Months Ended September 30, 2010 and 2009 (Unaudited)</w:t>
              </w:r>
            </w:hyperlink>
          </w:p>
        </w:tc>
        <w:tc>
          <w:tcPr>
            <w:tcW w:w="20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1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 of Changes in Equity for the Nine Months Ended September 30, 2010 and 2009</w:t>
              </w:r>
            </w:hyperlink>
          </w:p>
        </w:tc>
        <w:tc>
          <w:tcPr>
            <w:tcW w:w="62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5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Consolidated Statement of Comprehensive Income for the Three and Nine Months Ended September 30, 2010</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and 2009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876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46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4.</w:t>
            </w:r>
          </w:p>
        </w:tc>
        <w:tc>
          <w:tcPr>
            <w:tcW w:w="876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20"/>
          </w:tcPr>
          <w:p>
            <w:pPr>
              <w:spacing w:after="0"/>
              <w:rPr>
                <w:sz w:val="20"/>
                <w:szCs w:val="20"/>
                <w:color w:val="auto"/>
              </w:rPr>
            </w:pPr>
            <w:r>
              <w:rPr>
                <w:rFonts w:ascii="Arial" w:cs="Arial" w:eastAsia="Arial" w:hAnsi="Arial"/>
                <w:sz w:val="18"/>
                <w:szCs w:val="18"/>
                <w:b w:val="1"/>
                <w:bCs w:val="1"/>
                <w:color w:val="auto"/>
              </w:rPr>
              <w:t>PART II. OTHER INFORMATION</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0" w:type="dxa"/>
            <w:vAlign w:val="bottom"/>
            <w:gridSpan w:val="2"/>
          </w:tcPr>
          <w:p>
            <w:pPr>
              <w:ind w:left="700"/>
              <w:spacing w:after="0" w:line="190" w:lineRule="exact"/>
              <w:rPr>
                <w:sz w:val="20"/>
                <w:szCs w:val="20"/>
                <w:color w:val="auto"/>
              </w:rPr>
            </w:pPr>
            <w:r>
              <w:rPr>
                <w:rFonts w:ascii="Arial" w:cs="Arial" w:eastAsia="Arial" w:hAnsi="Arial"/>
                <w:sz w:val="18"/>
                <w:szCs w:val="18"/>
                <w:b w:val="1"/>
                <w:bCs w:val="1"/>
                <w:color w:val="auto"/>
              </w:rPr>
              <w:t>Item 1.</w:t>
            </w:r>
          </w:p>
        </w:tc>
        <w:tc>
          <w:tcPr>
            <w:tcW w:w="8760" w:type="dxa"/>
            <w:vAlign w:val="bottom"/>
            <w:gridSpan w:val="17"/>
          </w:tcPr>
          <w:p>
            <w:pPr>
              <w:spacing w:after="0" w:line="190"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640" w:type="dxa"/>
            <w:vAlign w:val="bottom"/>
          </w:tcPr>
          <w:p>
            <w:pPr>
              <w:jc w:val="right"/>
              <w:spacing w:after="0" w:line="190"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1A.</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7460" w:type="dxa"/>
            <w:vAlign w:val="bottom"/>
            <w:gridSpan w:val="1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Item 2.</w:t>
            </w: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5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876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Item 6.</w:t>
            </w:r>
          </w:p>
        </w:tc>
        <w:tc>
          <w:tcPr>
            <w:tcW w:w="42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4520" w:type="dxa"/>
            <w:vAlign w:val="bottom"/>
            <w:gridSpan w:val="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20" w:type="dxa"/>
            <w:vAlign w:val="bottom"/>
            <w:gridSpan w:val="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5"/>
        </w:trPr>
        <w:tc>
          <w:tcPr>
            <w:tcW w:w="20" w:type="dxa"/>
            <w:vAlign w:val="bottom"/>
            <w:tcBorders>
              <w:top w:val="single" w:sz="8" w:color="0000EE"/>
            </w:tcBorders>
          </w:tcPr>
          <w:p>
            <w:pPr>
              <w:spacing w:after="0"/>
              <w:rPr>
                <w:sz w:val="10"/>
                <w:szCs w:val="10"/>
                <w:color w:val="auto"/>
              </w:rPr>
            </w:pPr>
          </w:p>
        </w:tc>
        <w:tc>
          <w:tcPr>
            <w:tcW w:w="1120" w:type="dxa"/>
            <w:vAlign w:val="bottom"/>
            <w:tcBorders>
              <w:top w:val="single" w:sz="8" w:color="0000EE"/>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Quarterly Report on Form 10-Q is for the three and nine months ended September 30, 2010.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77"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cable services face a wide range of competition that could adversely affect our future results of operations</w:t>
      </w:r>
    </w:p>
    <w:p>
      <w:pPr>
        <w:spacing w:after="0" w:line="76" w:lineRule="exact"/>
        <w:rPr>
          <w:rFonts w:ascii="Arial" w:cs="Arial" w:eastAsia="Arial" w:hAnsi="Arial"/>
          <w:sz w:val="18"/>
          <w:szCs w:val="18"/>
          <w:color w:val="auto"/>
        </w:rPr>
      </w:pPr>
    </w:p>
    <w:p>
      <w:pPr>
        <w:ind w:left="1020" w:right="1260" w:hanging="215"/>
        <w:spacing w:after="0" w:line="26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advances have increased and will likely continue to increase competition for our cable services, which could adversely affect our future results of operations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results of operations and financial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right="59"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depends on certain intellectual property rights and on not infringing the intellectual property rights of others</w:t>
      </w:r>
    </w:p>
    <w:p>
      <w:pPr>
        <w:spacing w:after="0" w:line="99" w:lineRule="exact"/>
        <w:rPr>
          <w:rFonts w:ascii="Arial" w:cs="Arial" w:eastAsia="Arial" w:hAnsi="Arial"/>
          <w:sz w:val="16"/>
          <w:szCs w:val="16"/>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76" w:lineRule="exact"/>
        <w:rPr>
          <w:rFonts w:ascii="Arial" w:cs="Arial" w:eastAsia="Arial" w:hAnsi="Arial"/>
          <w:sz w:val="18"/>
          <w:szCs w:val="18"/>
          <w:color w:val="auto"/>
        </w:rPr>
      </w:pPr>
    </w:p>
    <w:p>
      <w:pPr>
        <w:ind w:left="1020" w:right="39"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management personnel could have a negative impact on our business</w:t>
      </w:r>
    </w:p>
    <w:p>
      <w:pPr>
        <w:spacing w:after="0" w:line="76" w:lineRule="exact"/>
        <w:rPr>
          <w:rFonts w:ascii="Arial" w:cs="Arial" w:eastAsia="Arial" w:hAnsi="Arial"/>
          <w:sz w:val="18"/>
          <w:szCs w:val="18"/>
          <w:color w:val="auto"/>
        </w:rPr>
      </w:pPr>
    </w:p>
    <w:p>
      <w:pPr>
        <w:jc w:val="both"/>
        <w:ind w:left="1020" w:right="39" w:hanging="215"/>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color w:val="auto"/>
              </w:rPr>
              <w:t>September 30,</w:t>
            </w: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858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680" w:type="dxa"/>
            <w:vAlign w:val="bottom"/>
          </w:tcPr>
          <w:p>
            <w:pPr>
              <w:spacing w:after="0"/>
              <w:rPr>
                <w:sz w:val="13"/>
                <w:szCs w:val="13"/>
                <w:color w:val="auto"/>
              </w:rPr>
            </w:pPr>
          </w:p>
        </w:tc>
        <w:tc>
          <w:tcPr>
            <w:tcW w:w="980" w:type="dxa"/>
            <w:vAlign w:val="bottom"/>
          </w:tcPr>
          <w:p>
            <w:pPr>
              <w:jc w:val="right"/>
              <w:ind w:right="533"/>
              <w:spacing w:after="0" w:line="159"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3"/>
                <w:szCs w:val="13"/>
                <w:color w:val="auto"/>
              </w:rPr>
            </w:pPr>
          </w:p>
        </w:tc>
        <w:tc>
          <w:tcPr>
            <w:tcW w:w="72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4,542</w:t>
            </w:r>
          </w:p>
        </w:tc>
        <w:tc>
          <w:tcPr>
            <w:tcW w:w="46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less allowance for doubtful accounts of $196 and $175</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1,868</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690</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7,172</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6,381</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$31,229 and $27,810</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23,328</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Franchise rights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59,452</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15,029</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$9,518 and $8,711</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3,750</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6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1,413</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2"/>
              </w:rPr>
              <w:t>116,525</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112,733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68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3,297</w:t>
            </w:r>
          </w:p>
        </w:tc>
        <w:tc>
          <w:tcPr>
            <w:tcW w:w="46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3,260</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2,300</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8,857</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28,738</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27,347</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7,571</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144</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Equity:</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8"/>
              </w:rPr>
              <w:t>Class A common stock, $0.01 par value—authorized, 7,500,000,000 shares; issued, 2,435,051,023 and</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2,428,533,911; outstanding, 2,069,590,273 and 2,063,073,161</w:t>
            </w:r>
          </w:p>
        </w:tc>
        <w:tc>
          <w:tcPr>
            <w:tcW w:w="680" w:type="dxa"/>
            <w:vAlign w:val="bottom"/>
          </w:tcPr>
          <w:p>
            <w:pPr>
              <w:spacing w:after="0"/>
              <w:rPr>
                <w:sz w:val="19"/>
                <w:szCs w:val="19"/>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Class A Special common stock, $0.01 par value—authorized, 7,500,000,000 shares; issued, 782,013,575 and</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835,991,034; outstanding, 711,078,811 and 765,056,270</w:t>
            </w:r>
          </w:p>
        </w:tc>
        <w:tc>
          <w:tcPr>
            <w:tcW w:w="68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8</w:t>
            </w: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39,860</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680" w:type="dxa"/>
            <w:vAlign w:val="bottom"/>
          </w:tcPr>
          <w:p>
            <w:pPr>
              <w:spacing w:after="0"/>
              <w:rPr>
                <w:sz w:val="18"/>
                <w:szCs w:val="18"/>
                <w:color w:val="auto"/>
              </w:rPr>
            </w:pP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11,525</w:t>
            </w:r>
          </w:p>
        </w:tc>
        <w:tc>
          <w:tcPr>
            <w:tcW w:w="4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Treasury stock, 365,460,750 Class A common shares and 70,934,764 Class A Special common shares</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(7,517)</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(116)</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6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73"/>
              <w:spacing w:after="0"/>
              <w:rPr>
                <w:sz w:val="20"/>
                <w:szCs w:val="20"/>
                <w:color w:val="auto"/>
              </w:rPr>
            </w:pPr>
            <w:r>
              <w:rPr>
                <w:rFonts w:ascii="Arial" w:cs="Arial" w:eastAsia="Arial" w:hAnsi="Arial"/>
                <w:sz w:val="18"/>
                <w:szCs w:val="18"/>
                <w:color w:val="auto"/>
              </w:rPr>
              <w:t>43,784</w:t>
            </w: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6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273"/>
              <w:spacing w:after="0"/>
              <w:rPr>
                <w:sz w:val="20"/>
                <w:szCs w:val="20"/>
                <w:color w:val="auto"/>
              </w:rPr>
            </w:pPr>
            <w:r>
              <w:rPr>
                <w:rFonts w:ascii="Arial" w:cs="Arial" w:eastAsia="Arial" w:hAnsi="Arial"/>
                <w:sz w:val="18"/>
                <w:szCs w:val="18"/>
                <w:color w:val="auto"/>
              </w:rPr>
              <w:t>43,868</w:t>
            </w: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w w:val="92"/>
              </w:rPr>
              <w:t>116,525</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2"/>
              </w:rPr>
              <w:t>112,733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3"/>
          </w:tcPr>
          <w:p>
            <w:pPr>
              <w:jc w:val="right"/>
              <w:ind w:right="393"/>
              <w:spacing w:after="0"/>
              <w:rPr>
                <w:sz w:val="20"/>
                <w:szCs w:val="20"/>
                <w:color w:val="auto"/>
              </w:rPr>
            </w:pPr>
            <w:r>
              <w:rPr>
                <w:rFonts w:ascii="Arial" w:cs="Arial" w:eastAsia="Arial" w:hAnsi="Arial"/>
                <w:sz w:val="14"/>
                <w:szCs w:val="14"/>
                <w:color w:val="auto"/>
                <w:w w:val="96"/>
              </w:rPr>
              <w:t>Three Months Ended</w:t>
            </w:r>
          </w:p>
        </w:tc>
        <w:tc>
          <w:tcPr>
            <w:tcW w:w="280" w:type="dxa"/>
            <w:vAlign w:val="bottom"/>
          </w:tcPr>
          <w:p>
            <w:pPr>
              <w:spacing w:after="0"/>
              <w:rPr>
                <w:sz w:val="14"/>
                <w:szCs w:val="14"/>
                <w:color w:val="auto"/>
              </w:rPr>
            </w:pPr>
          </w:p>
        </w:tc>
        <w:tc>
          <w:tcPr>
            <w:tcW w:w="1600" w:type="dxa"/>
            <w:vAlign w:val="bottom"/>
            <w:gridSpan w:val="3"/>
          </w:tcPr>
          <w:p>
            <w:pPr>
              <w:jc w:val="right"/>
              <w:ind w:right="273"/>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73"/>
        </w:trPr>
        <w:tc>
          <w:tcPr>
            <w:tcW w:w="7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74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2009</w:t>
            </w:r>
          </w:p>
        </w:tc>
        <w:tc>
          <w:tcPr>
            <w:tcW w:w="280" w:type="dxa"/>
            <w:vAlign w:val="bottom"/>
          </w:tcPr>
          <w:p>
            <w:pPr>
              <w:spacing w:after="0"/>
              <w:rPr>
                <w:sz w:val="12"/>
                <w:szCs w:val="12"/>
                <w:color w:val="auto"/>
              </w:rPr>
            </w:pPr>
          </w:p>
        </w:tc>
        <w:tc>
          <w:tcPr>
            <w:tcW w:w="720" w:type="dxa"/>
            <w:vAlign w:val="bottom"/>
          </w:tcPr>
          <w:p>
            <w:pPr>
              <w:jc w:val="right"/>
              <w:ind w:right="315"/>
              <w:spacing w:after="0" w:line="142" w:lineRule="exact"/>
              <w:rPr>
                <w:sz w:val="20"/>
                <w:szCs w:val="20"/>
                <w:color w:val="auto"/>
              </w:rPr>
            </w:pPr>
            <w:r>
              <w:rPr>
                <w:rFonts w:ascii="Arial" w:cs="Arial" w:eastAsia="Arial" w:hAnsi="Arial"/>
                <w:sz w:val="14"/>
                <w:szCs w:val="14"/>
                <w:color w:val="auto"/>
                <w:w w:val="96"/>
              </w:rPr>
              <w:t>2010</w:t>
            </w:r>
          </w:p>
        </w:tc>
        <w:tc>
          <w:tcPr>
            <w:tcW w:w="28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9,489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8,845</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28,216</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26,689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(excluding depreciation and amortization)</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3,792</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3,530</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3"/>
              </w:rPr>
              <w:t>11,351</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2,119</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1,989</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5,985</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1,377</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1,362</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4,167</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247</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746</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7,535</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7,134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22,249</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21,292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1,954</w:t>
            </w:r>
          </w:p>
        </w:tc>
        <w:tc>
          <w:tcPr>
            <w:tcW w:w="280" w:type="dxa"/>
            <w:vAlign w:val="bottom"/>
          </w:tcPr>
          <w:p>
            <w:pPr>
              <w:spacing w:after="0"/>
              <w:rPr>
                <w:sz w:val="18"/>
                <w:szCs w:val="18"/>
                <w:color w:val="auto"/>
              </w:rPr>
            </w:pPr>
          </w:p>
        </w:tc>
        <w:tc>
          <w:tcPr>
            <w:tcW w:w="740" w:type="dxa"/>
            <w:vAlign w:val="bottom"/>
          </w:tcPr>
          <w:p>
            <w:pPr>
              <w:jc w:val="right"/>
              <w:ind w:right="173"/>
              <w:spacing w:after="0"/>
              <w:rPr>
                <w:sz w:val="20"/>
                <w:szCs w:val="20"/>
                <w:color w:val="auto"/>
              </w:rPr>
            </w:pPr>
            <w:r>
              <w:rPr>
                <w:rFonts w:ascii="Arial" w:cs="Arial" w:eastAsia="Arial" w:hAnsi="Arial"/>
                <w:sz w:val="18"/>
                <w:szCs w:val="18"/>
                <w:color w:val="auto"/>
              </w:rPr>
              <w:t>1,711</w:t>
            </w:r>
          </w:p>
        </w:tc>
        <w:tc>
          <w:tcPr>
            <w:tcW w:w="28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5,967</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740" w:type="dxa"/>
            <w:vAlign w:val="bottom"/>
          </w:tcPr>
          <w:p>
            <w:pPr>
              <w:jc w:val="right"/>
              <w:ind w:right="95"/>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(707)</w:t>
            </w:r>
          </w:p>
        </w:tc>
        <w:tc>
          <w:tcPr>
            <w:tcW w:w="280" w:type="dxa"/>
            <w:vAlign w:val="bottom"/>
          </w:tcPr>
          <w:p>
            <w:pPr>
              <w:spacing w:after="0"/>
              <w:rPr>
                <w:sz w:val="18"/>
                <w:szCs w:val="18"/>
                <w:color w:val="auto"/>
              </w:rPr>
            </w:pPr>
          </w:p>
        </w:tc>
        <w:tc>
          <w:tcPr>
            <w:tcW w:w="720" w:type="dxa"/>
            <w:vAlign w:val="bottom"/>
          </w:tcPr>
          <w:p>
            <w:pPr>
              <w:jc w:val="right"/>
              <w:ind w:right="95"/>
              <w:spacing w:after="0"/>
              <w:rPr>
                <w:sz w:val="20"/>
                <w:szCs w:val="20"/>
                <w:color w:val="auto"/>
              </w:rPr>
            </w:pPr>
            <w:r>
              <w:rPr>
                <w:rFonts w:ascii="Arial" w:cs="Arial" w:eastAsia="Arial" w:hAnsi="Arial"/>
                <w:sz w:val="18"/>
                <w:szCs w:val="18"/>
                <w:color w:val="auto"/>
                <w:w w:val="91"/>
              </w:rPr>
              <w:t>(1,612)</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420" w:type="dxa"/>
            <w:vAlign w:val="bottom"/>
          </w:tcPr>
          <w:p>
            <w:pPr>
              <w:spacing w:after="0"/>
              <w:rPr>
                <w:sz w:val="18"/>
                <w:szCs w:val="18"/>
                <w:color w:val="auto"/>
              </w:rPr>
            </w:pPr>
          </w:p>
        </w:tc>
        <w:tc>
          <w:tcPr>
            <w:tcW w:w="740" w:type="dxa"/>
            <w:vAlign w:val="bottom"/>
          </w:tcPr>
          <w:p>
            <w:pPr>
              <w:jc w:val="right"/>
              <w:ind w:right="95"/>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720" w:type="dxa"/>
            <w:vAlign w:val="bottom"/>
          </w:tcPr>
          <w:p>
            <w:pPr>
              <w:jc w:val="right"/>
              <w:ind w:right="95"/>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(574)</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1"/>
              </w:rPr>
              <w:t>(1,569)</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1,454</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1,137</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4,398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(584)</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(203)</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1"/>
              </w:rPr>
              <w:t>(1,763)</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4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870</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934</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2,635</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867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944</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2,617</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2,683</w:t>
            </w:r>
          </w:p>
        </w:tc>
        <w:tc>
          <w:tcPr>
            <w:tcW w:w="0" w:type="dxa"/>
            <w:vAlign w:val="bottom"/>
          </w:tcPr>
          <w:p>
            <w:pPr>
              <w:spacing w:after="0"/>
              <w:rPr>
                <w:sz w:val="1"/>
                <w:szCs w:val="1"/>
                <w:color w:val="auto"/>
              </w:rPr>
            </w:pPr>
          </w:p>
        </w:tc>
      </w:tr>
      <w:tr>
        <w:trPr>
          <w:trHeight w:val="32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5"/>
              <w:spacing w:after="0"/>
              <w:rPr>
                <w:sz w:val="20"/>
                <w:szCs w:val="20"/>
                <w:color w:val="auto"/>
              </w:rPr>
            </w:pPr>
            <w:r>
              <w:rPr>
                <w:rFonts w:ascii="Arial" w:cs="Arial" w:eastAsia="Arial" w:hAnsi="Arial"/>
                <w:sz w:val="18"/>
                <w:szCs w:val="18"/>
                <w:b w:val="1"/>
                <w:bCs w:val="1"/>
                <w:color w:val="auto"/>
              </w:rPr>
              <w:t>0.31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3"/>
              <w:spacing w:after="0"/>
              <w:rPr>
                <w:sz w:val="20"/>
                <w:szCs w:val="20"/>
                <w:color w:val="auto"/>
              </w:rPr>
            </w:pPr>
            <w:r>
              <w:rPr>
                <w:rFonts w:ascii="Arial" w:cs="Arial" w:eastAsia="Arial" w:hAnsi="Arial"/>
                <w:sz w:val="18"/>
                <w:szCs w:val="18"/>
                <w:b w:val="1"/>
                <w:bCs w:val="1"/>
                <w:color w:val="auto"/>
              </w:rPr>
              <w:t>0.33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b w:val="1"/>
                <w:bCs w:val="1"/>
                <w:color w:val="auto"/>
              </w:rPr>
              <w:t>0.93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w w:val="99"/>
              </w:rPr>
              <w:t>Diluted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0.31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0.33</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0.93</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0.93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Dividends declared per common share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w w:val="87"/>
              </w:rPr>
              <w:t>0.0945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w w:val="83"/>
              </w:rPr>
              <w:t>0.0675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w w:val="83"/>
              </w:rPr>
              <w:t>0.2835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0.2025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3"/>
          </w:tcPr>
          <w:p>
            <w:pPr>
              <w:jc w:val="right"/>
              <w:ind w:right="29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gridSpan w:val="3"/>
          </w:tcPr>
          <w:p>
            <w:pPr>
              <w:jc w:val="right"/>
              <w:ind w:right="47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1280" w:type="dxa"/>
            <w:vAlign w:val="bottom"/>
          </w:tcPr>
          <w:p>
            <w:pPr>
              <w:jc w:val="right"/>
              <w:ind w:right="355"/>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560" w:type="dxa"/>
            <w:vAlign w:val="bottom"/>
          </w:tcPr>
          <w:p>
            <w:pPr>
              <w:jc w:val="right"/>
              <w:ind w:right="153"/>
              <w:spacing w:after="0" w:line="142" w:lineRule="exact"/>
              <w:rPr>
                <w:sz w:val="20"/>
                <w:szCs w:val="20"/>
                <w:color w:val="auto"/>
              </w:rPr>
            </w:pPr>
            <w:r>
              <w:rPr>
                <w:rFonts w:ascii="Arial" w:cs="Arial" w:eastAsia="Arial" w:hAnsi="Arial"/>
                <w:sz w:val="14"/>
                <w:szCs w:val="14"/>
                <w:color w:val="auto"/>
                <w:w w:val="96"/>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80" w:type="dxa"/>
            <w:vAlign w:val="bottom"/>
            <w:tcBorders>
              <w:top w:val="single" w:sz="8" w:color="auto"/>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$ 7,732</w:t>
            </w:r>
          </w:p>
        </w:tc>
        <w:tc>
          <w:tcPr>
            <w:tcW w:w="3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7"/>
              </w:rPr>
              <w:t>7,725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12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(3,429)</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(372)</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net of cash acquired</w:t>
            </w:r>
          </w:p>
        </w:tc>
        <w:tc>
          <w:tcPr>
            <w:tcW w:w="12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sales of investments</w:t>
            </w:r>
          </w:p>
        </w:tc>
        <w:tc>
          <w:tcPr>
            <w:tcW w:w="1280" w:type="dxa"/>
            <w:vAlign w:val="bottom"/>
          </w:tcPr>
          <w:p>
            <w:pPr>
              <w:jc w:val="right"/>
              <w:ind w:right="215"/>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12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(54)</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149</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(3,868)</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(4,001)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borrowings</w:t>
            </w:r>
          </w:p>
        </w:tc>
        <w:tc>
          <w:tcPr>
            <w:tcW w:w="128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2,420</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97"/>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Repurchases and repayments of debt</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(649)</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of common stock</w:t>
            </w:r>
          </w:p>
        </w:tc>
        <w:tc>
          <w:tcPr>
            <w:tcW w:w="12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(892)</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280" w:type="dxa"/>
            <w:vAlign w:val="bottom"/>
          </w:tcPr>
          <w:p>
            <w:pPr>
              <w:jc w:val="right"/>
              <w:ind w:right="155"/>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7</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28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3,871</w:t>
            </w:r>
          </w:p>
        </w:tc>
        <w:tc>
          <w:tcPr>
            <w:tcW w:w="34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671</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1,195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8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$ 4,542</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862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rPr>
              <w:t>Redeemable</w:t>
            </w:r>
          </w:p>
        </w:tc>
        <w:tc>
          <w:tcPr>
            <w:tcW w:w="240" w:type="dxa"/>
            <w:vAlign w:val="bottom"/>
          </w:tcPr>
          <w:p>
            <w:pPr>
              <w:spacing w:after="0"/>
              <w:rPr>
                <w:sz w:val="14"/>
                <w:szCs w:val="14"/>
                <w:color w:val="auto"/>
              </w:rPr>
            </w:pPr>
          </w:p>
        </w:tc>
        <w:tc>
          <w:tcPr>
            <w:tcW w:w="13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Common Stock</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8"/>
              </w:rPr>
              <w:t>Accumulated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ind w:right="356"/>
              <w:spacing w:after="0" w:line="149" w:lineRule="exact"/>
              <w:rPr>
                <w:sz w:val="20"/>
                <w:szCs w:val="20"/>
                <w:color w:val="auto"/>
              </w:rPr>
            </w:pPr>
            <w:r>
              <w:rPr>
                <w:rFonts w:ascii="Arial" w:cs="Arial" w:eastAsia="Arial" w:hAnsi="Arial"/>
                <w:sz w:val="14"/>
                <w:szCs w:val="14"/>
                <w:color w:val="auto"/>
                <w:w w:val="92"/>
              </w:rPr>
              <w:t>Non-</w:t>
            </w:r>
          </w:p>
        </w:tc>
        <w:tc>
          <w:tcPr>
            <w:tcW w:w="240" w:type="dxa"/>
            <w:vAlign w:val="bottom"/>
            <w:tcBorders>
              <w:lef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ind w:right="76"/>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Treasury</w:t>
            </w:r>
          </w:p>
        </w:tc>
        <w:tc>
          <w:tcPr>
            <w:tcW w:w="280" w:type="dxa"/>
            <w:vAlign w:val="bottom"/>
          </w:tcPr>
          <w:p>
            <w:pPr>
              <w:spacing w:after="0"/>
              <w:rPr>
                <w:sz w:val="12"/>
                <w:szCs w:val="12"/>
                <w:color w:val="auto"/>
              </w:rPr>
            </w:pPr>
          </w:p>
        </w:tc>
        <w:tc>
          <w:tcPr>
            <w:tcW w:w="820" w:type="dxa"/>
            <w:vAlign w:val="bottom"/>
          </w:tcPr>
          <w:p>
            <w:pPr>
              <w:jc w:val="center"/>
              <w:ind w:right="255"/>
              <w:spacing w:after="0" w:line="149" w:lineRule="exact"/>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2"/>
                <w:szCs w:val="12"/>
                <w:color w:val="auto"/>
              </w:rPr>
            </w:pPr>
          </w:p>
        </w:tc>
        <w:tc>
          <w:tcPr>
            <w:tcW w:w="640" w:type="dxa"/>
            <w:vAlign w:val="bottom"/>
          </w:tcPr>
          <w:p>
            <w:pPr>
              <w:jc w:val="right"/>
              <w:ind w:right="234"/>
              <w:spacing w:after="0" w:line="149" w:lineRule="exact"/>
              <w:rPr>
                <w:sz w:val="20"/>
                <w:szCs w:val="20"/>
                <w:color w:val="auto"/>
              </w:rPr>
            </w:pPr>
            <w:r>
              <w:rPr>
                <w:rFonts w:ascii="Arial" w:cs="Arial" w:eastAsia="Arial" w:hAnsi="Arial"/>
                <w:sz w:val="14"/>
                <w:szCs w:val="14"/>
                <w:color w:val="auto"/>
                <w:w w:val="98"/>
              </w:rPr>
              <w:t>Non-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0" w:type="dxa"/>
            <w:vAlign w:val="bottom"/>
            <w:gridSpan w:val="2"/>
          </w:tcPr>
          <w:p>
            <w:pPr>
              <w:jc w:val="center"/>
              <w:ind w:right="76"/>
              <w:spacing w:after="0" w:line="149" w:lineRule="exact"/>
              <w:rPr>
                <w:sz w:val="20"/>
                <w:szCs w:val="20"/>
                <w:color w:val="auto"/>
              </w:rPr>
            </w:pPr>
            <w:r>
              <w:rPr>
                <w:rFonts w:ascii="Arial" w:cs="Arial" w:eastAsia="Arial" w:hAnsi="Arial"/>
                <w:sz w:val="14"/>
                <w:szCs w:val="14"/>
                <w:color w:val="auto"/>
                <w:w w:val="93"/>
              </w:rPr>
              <w:t>controlling</w:t>
            </w:r>
          </w:p>
        </w:tc>
        <w:tc>
          <w:tcPr>
            <w:tcW w:w="240" w:type="dxa"/>
            <w:vAlign w:val="bottom"/>
            <w:tcBorders>
              <w:lef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ind w:right="136"/>
              <w:spacing w:after="0" w:line="149" w:lineRule="exact"/>
              <w:rPr>
                <w:sz w:val="20"/>
                <w:szCs w:val="20"/>
                <w:color w:val="auto"/>
              </w:rPr>
            </w:pPr>
            <w:r>
              <w:rPr>
                <w:rFonts w:ascii="Arial" w:cs="Arial" w:eastAsia="Arial" w:hAnsi="Arial"/>
                <w:sz w:val="14"/>
                <w:szCs w:val="14"/>
                <w:color w:val="auto"/>
              </w:rPr>
              <w:t>A</w:t>
            </w:r>
          </w:p>
        </w:tc>
        <w:tc>
          <w:tcPr>
            <w:tcW w:w="340" w:type="dxa"/>
            <w:vAlign w:val="bottom"/>
          </w:tcPr>
          <w:p>
            <w:pPr>
              <w:spacing w:after="0"/>
              <w:rPr>
                <w:sz w:val="12"/>
                <w:szCs w:val="12"/>
                <w:color w:val="auto"/>
              </w:rPr>
            </w:pPr>
          </w:p>
        </w:tc>
        <w:tc>
          <w:tcPr>
            <w:tcW w:w="88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Paid-In</w:t>
            </w:r>
          </w:p>
        </w:tc>
        <w:tc>
          <w:tcPr>
            <w:tcW w:w="82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Retained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6"/>
              </w:rPr>
              <w:t>Stock at</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Comprehensive</w:t>
            </w: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controlling</w:t>
            </w:r>
          </w:p>
        </w:tc>
        <w:tc>
          <w:tcPr>
            <w:tcW w:w="78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3"/>
        </w:trPr>
        <w:tc>
          <w:tcPr>
            <w:tcW w:w="3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920" w:type="dxa"/>
            <w:vAlign w:val="bottom"/>
          </w:tcPr>
          <w:p>
            <w:pPr>
              <w:jc w:val="center"/>
              <w:ind w:right="376"/>
              <w:spacing w:after="0"/>
              <w:rPr>
                <w:sz w:val="20"/>
                <w:szCs w:val="20"/>
                <w:color w:val="auto"/>
              </w:rPr>
            </w:pPr>
            <w:r>
              <w:rPr>
                <w:rFonts w:ascii="Arial" w:cs="Arial" w:eastAsia="Arial" w:hAnsi="Arial"/>
                <w:sz w:val="14"/>
                <w:szCs w:val="14"/>
                <w:color w:val="auto"/>
                <w:w w:val="85"/>
              </w:rPr>
              <w:t>Interests</w:t>
            </w:r>
          </w:p>
        </w:tc>
        <w:tc>
          <w:tcPr>
            <w:tcW w:w="240" w:type="dxa"/>
            <w:vAlign w:val="bottom"/>
            <w:tcBorders>
              <w:left w:val="single" w:sz="8" w:color="auto"/>
            </w:tcBorders>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A</w:t>
            </w:r>
          </w:p>
        </w:tc>
        <w:tc>
          <w:tcPr>
            <w:tcW w:w="540" w:type="dxa"/>
            <w:vAlign w:val="bottom"/>
            <w:gridSpan w:val="2"/>
          </w:tcPr>
          <w:p>
            <w:pPr>
              <w:ind w:left="80"/>
              <w:spacing w:after="0"/>
              <w:rPr>
                <w:sz w:val="20"/>
                <w:szCs w:val="20"/>
                <w:color w:val="auto"/>
              </w:rPr>
            </w:pPr>
            <w:r>
              <w:rPr>
                <w:rFonts w:ascii="Arial" w:cs="Arial" w:eastAsia="Arial" w:hAnsi="Arial"/>
                <w:sz w:val="14"/>
                <w:szCs w:val="14"/>
                <w:color w:val="auto"/>
                <w:w w:val="95"/>
              </w:rPr>
              <w:t>Special</w:t>
            </w:r>
          </w:p>
        </w:tc>
        <w:tc>
          <w:tcPr>
            <w:tcW w:w="340" w:type="dxa"/>
            <w:vAlign w:val="bottom"/>
          </w:tcPr>
          <w:p>
            <w:pPr>
              <w:jc w:val="center"/>
              <w:spacing w:after="0"/>
              <w:rPr>
                <w:sz w:val="20"/>
                <w:szCs w:val="20"/>
                <w:color w:val="auto"/>
              </w:rPr>
            </w:pPr>
            <w:r>
              <w:rPr>
                <w:rFonts w:ascii="Arial" w:cs="Arial" w:eastAsia="Arial" w:hAnsi="Arial"/>
                <w:sz w:val="14"/>
                <w:szCs w:val="14"/>
                <w:color w:val="auto"/>
              </w:rPr>
              <w:t>B</w:t>
            </w:r>
          </w:p>
        </w:tc>
        <w:tc>
          <w:tcPr>
            <w:tcW w:w="880" w:type="dxa"/>
            <w:vAlign w:val="bottom"/>
          </w:tcPr>
          <w:p>
            <w:pPr>
              <w:jc w:val="right"/>
              <w:ind w:right="176"/>
              <w:spacing w:after="0"/>
              <w:rPr>
                <w:sz w:val="20"/>
                <w:szCs w:val="20"/>
                <w:color w:val="auto"/>
              </w:rPr>
            </w:pPr>
            <w:r>
              <w:rPr>
                <w:rFonts w:ascii="Arial" w:cs="Arial" w:eastAsia="Arial" w:hAnsi="Arial"/>
                <w:sz w:val="14"/>
                <w:szCs w:val="14"/>
                <w:color w:val="auto"/>
              </w:rPr>
              <w:t>Capital</w:t>
            </w:r>
          </w:p>
        </w:tc>
        <w:tc>
          <w:tcPr>
            <w:tcW w:w="820" w:type="dxa"/>
            <w:vAlign w:val="bottom"/>
            <w:gridSpan w:val="2"/>
          </w:tcPr>
          <w:p>
            <w:pPr>
              <w:jc w:val="right"/>
              <w:ind w:right="112"/>
              <w:spacing w:after="0"/>
              <w:rPr>
                <w:sz w:val="20"/>
                <w:szCs w:val="20"/>
                <w:color w:val="auto"/>
              </w:rPr>
            </w:pPr>
            <w:r>
              <w:rPr>
                <w:rFonts w:ascii="Arial" w:cs="Arial" w:eastAsia="Arial" w:hAnsi="Arial"/>
                <w:sz w:val="14"/>
                <w:szCs w:val="14"/>
                <w:color w:val="auto"/>
              </w:rPr>
              <w:t>Earnings</w:t>
            </w:r>
          </w:p>
        </w:tc>
        <w:tc>
          <w:tcPr>
            <w:tcW w:w="820" w:type="dxa"/>
            <w:vAlign w:val="bottom"/>
          </w:tcPr>
          <w:p>
            <w:pPr>
              <w:jc w:val="center"/>
              <w:spacing w:after="0"/>
              <w:rPr>
                <w:sz w:val="20"/>
                <w:szCs w:val="20"/>
                <w:color w:val="auto"/>
              </w:rPr>
            </w:pPr>
            <w:r>
              <w:rPr>
                <w:rFonts w:ascii="Arial" w:cs="Arial" w:eastAsia="Arial" w:hAnsi="Arial"/>
                <w:sz w:val="14"/>
                <w:szCs w:val="14"/>
                <w:color w:val="auto"/>
                <w:w w:val="83"/>
              </w:rPr>
              <w:t>Cost</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Income (Loss)</w:t>
            </w:r>
          </w:p>
        </w:tc>
        <w:tc>
          <w:tcPr>
            <w:tcW w:w="860" w:type="dxa"/>
            <w:vAlign w:val="bottom"/>
            <w:gridSpan w:val="2"/>
          </w:tcPr>
          <w:p>
            <w:pPr>
              <w:jc w:val="right"/>
              <w:ind w:right="154"/>
              <w:spacing w:after="0"/>
              <w:rPr>
                <w:sz w:val="20"/>
                <w:szCs w:val="20"/>
                <w:color w:val="auto"/>
              </w:rPr>
            </w:pPr>
            <w:r>
              <w:rPr>
                <w:rFonts w:ascii="Arial" w:cs="Arial" w:eastAsia="Arial" w:hAnsi="Arial"/>
                <w:sz w:val="14"/>
                <w:szCs w:val="14"/>
                <w:color w:val="auto"/>
              </w:rPr>
              <w:t>Interests</w:t>
            </w:r>
          </w:p>
        </w:tc>
        <w:tc>
          <w:tcPr>
            <w:tcW w:w="780" w:type="dxa"/>
            <w:vAlign w:val="bottom"/>
          </w:tcPr>
          <w:p>
            <w:pPr>
              <w:jc w:val="right"/>
              <w:ind w:right="134"/>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2009</w:t>
            </w:r>
          </w:p>
        </w:tc>
        <w:tc>
          <w:tcPr>
            <w:tcW w:w="28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171</w:t>
            </w:r>
          </w:p>
        </w:tc>
        <w:tc>
          <w:tcPr>
            <w:tcW w:w="240" w:type="dxa"/>
            <w:vAlign w:val="bottom"/>
            <w:tcBorders>
              <w:top w:val="single" w:sz="8" w:color="auto"/>
              <w:left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86"/>
              </w:rPr>
              <w:t>$24</w:t>
            </w:r>
          </w:p>
        </w:tc>
        <w:tc>
          <w:tcPr>
            <w:tcW w:w="20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2"/>
              </w:rPr>
              <w:t>$—</w:t>
            </w:r>
          </w:p>
        </w:tc>
        <w:tc>
          <w:tcPr>
            <w:tcW w:w="880" w:type="dxa"/>
            <w:vAlign w:val="bottom"/>
            <w:tcBorders>
              <w:top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$40,620</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7,427</w:t>
            </w:r>
          </w:p>
        </w:tc>
        <w:tc>
          <w:tcPr>
            <w:tcW w:w="820" w:type="dxa"/>
            <w:vAlign w:val="bottom"/>
            <w:tcBorders>
              <w:top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color w:val="auto"/>
              </w:rPr>
              <w:t>$(7,517)</w:t>
            </w:r>
          </w:p>
        </w:tc>
        <w:tc>
          <w:tcPr>
            <w:tcW w:w="28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126</w:t>
            </w:r>
          </w:p>
        </w:tc>
        <w:tc>
          <w:tcPr>
            <w:tcW w:w="7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w w:val="92"/>
              </w:rPr>
              <w:t>Repurchase and retirement of common stock</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40" w:type="dxa"/>
            <w:vAlign w:val="bottom"/>
            <w:tcBorders>
              <w:lef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(112)</w:t>
            </w: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40" w:type="dxa"/>
            <w:vAlign w:val="bottom"/>
            <w:tcBorders>
              <w:lef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(582)</w:t>
            </w: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w w:val="91"/>
              </w:rPr>
              <w:t>Sale (purchase) of subsidiary shares to (from)</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40" w:type="dxa"/>
            <w:vAlign w:val="bottom"/>
            <w:tcBorders>
              <w:lef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240" w:type="dxa"/>
            <w:vAlign w:val="bottom"/>
            <w:tcBorders>
              <w:left w:val="single" w:sz="8" w:color="auto"/>
            </w:tcBorders>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30</w:t>
            </w:r>
          </w:p>
        </w:tc>
        <w:tc>
          <w:tcPr>
            <w:tcW w:w="18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(35)</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9"/>
                <w:szCs w:val="19"/>
                <w:color w:val="auto"/>
              </w:rPr>
            </w:pP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10</w:t>
            </w:r>
          </w:p>
        </w:tc>
        <w:tc>
          <w:tcPr>
            <w:tcW w:w="2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(13)</w:t>
            </w:r>
          </w:p>
        </w:tc>
        <w:tc>
          <w:tcPr>
            <w:tcW w:w="240" w:type="dxa"/>
            <w:vAlign w:val="bottom"/>
            <w:tcBorders>
              <w:left w:val="single" w:sz="8" w:color="auto"/>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2,683</w:t>
            </w:r>
          </w:p>
        </w:tc>
        <w:tc>
          <w:tcPr>
            <w:tcW w:w="82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2009</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168</w:t>
            </w:r>
          </w:p>
        </w:tc>
        <w:tc>
          <w:tcPr>
            <w:tcW w:w="24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$24</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$40,451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9,416</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$(7,517)</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(72)</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70</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2010</w:t>
            </w:r>
          </w:p>
        </w:tc>
        <w:tc>
          <w:tcPr>
            <w:tcW w:w="280" w:type="dxa"/>
            <w:vAlign w:val="bottom"/>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166</w:t>
            </w:r>
          </w:p>
        </w:tc>
        <w:tc>
          <w:tcPr>
            <w:tcW w:w="240" w:type="dxa"/>
            <w:vAlign w:val="bottom"/>
            <w:tcBorders>
              <w:left w:val="single" w:sz="8" w:color="auto"/>
            </w:tcBorders>
            <w:shd w:val="clear" w:color="auto" w:fill="E5E5E5"/>
          </w:tcPr>
          <w:p>
            <w:pPr>
              <w:spacing w:after="0"/>
              <w:rPr>
                <w:sz w:val="18"/>
                <w:szCs w:val="18"/>
                <w:color w:val="auto"/>
              </w:rPr>
            </w:pPr>
          </w:p>
        </w:tc>
        <w:tc>
          <w:tcPr>
            <w:tcW w:w="4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6"/>
              </w:rPr>
              <w:t>$24</w:t>
            </w:r>
          </w:p>
        </w:tc>
        <w:tc>
          <w:tcPr>
            <w:tcW w:w="200" w:type="dxa"/>
            <w:vAlign w:val="bottom"/>
            <w:shd w:val="clear" w:color="auto" w:fill="E5E5E5"/>
          </w:tcPr>
          <w:p>
            <w:pPr>
              <w:ind w:left="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w:t>
            </w:r>
          </w:p>
        </w:tc>
        <w:tc>
          <w:tcPr>
            <w:tcW w:w="8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$40,247</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w w:val="83"/>
              </w:rPr>
              <w:t>10,005</w:t>
            </w:r>
          </w:p>
        </w:tc>
        <w:tc>
          <w:tcPr>
            <w:tcW w:w="82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$(7,517)</w:t>
            </w:r>
          </w:p>
        </w:tc>
        <w:tc>
          <w:tcPr>
            <w:tcW w:w="28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(46)</w:t>
            </w:r>
          </w:p>
        </w:tc>
        <w:tc>
          <w:tcPr>
            <w:tcW w:w="220" w:type="dxa"/>
            <w:vAlign w:val="bottom"/>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90</w:t>
            </w: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w w:val="92"/>
              </w:rPr>
              <w:t>Repurchase and retirement of common stock</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40" w:type="dxa"/>
            <w:vAlign w:val="bottom"/>
            <w:tcBorders>
              <w:lef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(297)</w:t>
            </w: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40" w:type="dxa"/>
            <w:vAlign w:val="bottom"/>
            <w:tcBorders>
              <w:lef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(796)</w:t>
            </w: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E5E5E5"/>
          </w:tcPr>
          <w:p>
            <w:pPr>
              <w:spacing w:after="0"/>
              <w:rPr>
                <w:sz w:val="20"/>
                <w:szCs w:val="20"/>
                <w:color w:val="auto"/>
              </w:rPr>
            </w:pPr>
            <w:r>
              <w:rPr>
                <w:rFonts w:ascii="Arial" w:cs="Arial" w:eastAsia="Arial" w:hAnsi="Arial"/>
                <w:sz w:val="18"/>
                <w:szCs w:val="18"/>
                <w:color w:val="auto"/>
                <w:w w:val="91"/>
              </w:rPr>
              <w:t>Sale (purchase) of subsidiary shares to (from)</w:t>
            </w:r>
          </w:p>
        </w:tc>
        <w:tc>
          <w:tcPr>
            <w:tcW w:w="2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240" w:type="dxa"/>
            <w:vAlign w:val="bottom"/>
            <w:tcBorders>
              <w:lef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(20)</w:t>
            </w:r>
          </w:p>
        </w:tc>
        <w:tc>
          <w:tcPr>
            <w:tcW w:w="240" w:type="dxa"/>
            <w:vAlign w:val="bottom"/>
            <w:tcBorders>
              <w:left w:val="single" w:sz="8" w:color="auto"/>
            </w:tcBorders>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11</w:t>
            </w:r>
          </w:p>
        </w:tc>
        <w:tc>
          <w:tcPr>
            <w:tcW w:w="18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Borders>
              <w:lef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(2)</w:t>
            </w:r>
          </w:p>
        </w:tc>
        <w:tc>
          <w:tcPr>
            <w:tcW w:w="240" w:type="dxa"/>
            <w:vAlign w:val="bottom"/>
            <w:tcBorders>
              <w:left w:val="single" w:sz="8" w:color="auto"/>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2,617</w:t>
            </w:r>
          </w:p>
        </w:tc>
        <w:tc>
          <w:tcPr>
            <w:tcW w:w="82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20</w:t>
            </w:r>
          </w:p>
        </w:tc>
        <w:tc>
          <w:tcPr>
            <w:tcW w:w="7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2010</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144</w:t>
            </w:r>
          </w:p>
        </w:tc>
        <w:tc>
          <w:tcPr>
            <w:tcW w:w="240" w:type="dxa"/>
            <w:vAlign w:val="bottom"/>
            <w:tcBorders>
              <w:left w:val="single" w:sz="8" w:color="auto"/>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$24</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$39,860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3"/>
              </w:rPr>
              <w:t>11,525</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$(7,517)</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(116)</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84</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$43,868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3"/>
          </w:tcPr>
          <w:p>
            <w:pPr>
              <w:jc w:val="right"/>
              <w:ind w:right="455"/>
              <w:spacing w:after="0"/>
              <w:rPr>
                <w:sz w:val="20"/>
                <w:szCs w:val="20"/>
                <w:color w:val="auto"/>
              </w:rPr>
            </w:pPr>
            <w:r>
              <w:rPr>
                <w:rFonts w:ascii="Arial" w:cs="Arial" w:eastAsia="Arial" w:hAnsi="Arial"/>
                <w:sz w:val="14"/>
                <w:szCs w:val="14"/>
                <w:color w:val="auto"/>
                <w:w w:val="99"/>
              </w:rPr>
              <w:t>Three Months Ended</w:t>
            </w:r>
          </w:p>
        </w:tc>
        <w:tc>
          <w:tcPr>
            <w:tcW w:w="1980" w:type="dxa"/>
            <w:vAlign w:val="bottom"/>
            <w:gridSpan w:val="3"/>
          </w:tcPr>
          <w:p>
            <w:pPr>
              <w:jc w:val="center"/>
              <w:ind w:left="158"/>
              <w:spacing w:after="0"/>
              <w:rPr>
                <w:sz w:val="20"/>
                <w:szCs w:val="20"/>
                <w:color w:val="auto"/>
              </w:rPr>
            </w:pPr>
            <w:r>
              <w:rPr>
                <w:rFonts w:ascii="Arial" w:cs="Arial" w:eastAsia="Arial" w:hAnsi="Arial"/>
                <w:sz w:val="14"/>
                <w:szCs w:val="14"/>
                <w:color w:val="auto"/>
                <w:w w:val="89"/>
              </w:rPr>
              <w:t>Nine Months Ended</w:t>
            </w:r>
          </w:p>
        </w:tc>
        <w:tc>
          <w:tcPr>
            <w:tcW w:w="0" w:type="dxa"/>
            <w:vAlign w:val="bottom"/>
          </w:tcPr>
          <w:p>
            <w:pPr>
              <w:spacing w:after="0"/>
              <w:rPr>
                <w:sz w:val="1"/>
                <w:szCs w:val="1"/>
                <w:color w:val="auto"/>
              </w:rPr>
            </w:pPr>
          </w:p>
        </w:tc>
      </w:tr>
      <w:tr>
        <w:trPr>
          <w:trHeight w:val="159"/>
        </w:trPr>
        <w:tc>
          <w:tcPr>
            <w:tcW w:w="69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3"/>
                <w:szCs w:val="13"/>
                <w:color w:val="auto"/>
              </w:rPr>
            </w:pPr>
          </w:p>
        </w:tc>
        <w:tc>
          <w:tcPr>
            <w:tcW w:w="1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00" w:type="dxa"/>
            <w:vAlign w:val="bottom"/>
          </w:tcPr>
          <w:p>
            <w:pPr>
              <w:spacing w:after="0"/>
              <w:rPr>
                <w:sz w:val="13"/>
                <w:szCs w:val="13"/>
                <w:color w:val="auto"/>
              </w:rPr>
            </w:pPr>
          </w:p>
        </w:tc>
        <w:tc>
          <w:tcPr>
            <w:tcW w:w="1980" w:type="dxa"/>
            <w:vAlign w:val="bottom"/>
            <w:gridSpan w:val="3"/>
          </w:tcPr>
          <w:p>
            <w:pPr>
              <w:jc w:val="center"/>
              <w:ind w:left="158"/>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98"/>
              <w:spacing w:after="0" w:line="142" w:lineRule="exact"/>
              <w:rPr>
                <w:sz w:val="20"/>
                <w:szCs w:val="20"/>
                <w:color w:val="auto"/>
              </w:rPr>
            </w:pPr>
            <w:r>
              <w:rPr>
                <w:rFonts w:ascii="Arial" w:cs="Arial" w:eastAsia="Arial" w:hAnsi="Arial"/>
                <w:sz w:val="14"/>
                <w:szCs w:val="14"/>
                <w:color w:val="auto"/>
                <w:w w:val="89"/>
              </w:rPr>
              <w:t>2010</w:t>
            </w: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color w:val="auto"/>
                <w:w w:val="89"/>
              </w:rPr>
              <w:t>2009</w:t>
            </w:r>
          </w:p>
        </w:tc>
        <w:tc>
          <w:tcPr>
            <w:tcW w:w="1140" w:type="dxa"/>
            <w:vAlign w:val="bottom"/>
            <w:tcBorders>
              <w:top w:val="single" w:sz="8" w:color="auto"/>
            </w:tcBorders>
          </w:tcPr>
          <w:p>
            <w:pPr>
              <w:jc w:val="right"/>
              <w:ind w:right="398"/>
              <w:spacing w:after="0" w:line="142" w:lineRule="exact"/>
              <w:rPr>
                <w:sz w:val="20"/>
                <w:szCs w:val="20"/>
                <w:color w:val="auto"/>
              </w:rPr>
            </w:pPr>
            <w:r>
              <w:rPr>
                <w:rFonts w:ascii="Arial" w:cs="Arial" w:eastAsia="Arial" w:hAnsi="Arial"/>
                <w:sz w:val="14"/>
                <w:szCs w:val="14"/>
                <w:color w:val="auto"/>
              </w:rPr>
              <w:t>2010</w:t>
            </w:r>
          </w:p>
        </w:tc>
        <w:tc>
          <w:tcPr>
            <w:tcW w:w="82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6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870</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934</w:t>
            </w:r>
          </w:p>
        </w:tc>
        <w:tc>
          <w:tcPr>
            <w:tcW w:w="1140" w:type="dxa"/>
            <w:vAlign w:val="bottom"/>
            <w:tcBorders>
              <w:top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color w:val="auto"/>
              </w:rPr>
              <w:t>$ 2,635</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$ 2,668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8"/>
              </w:rPr>
              <w:t>Holding gains (losses) during the period, net of deferred taxes of $21, $(1), $45 and $(2)</w:t>
            </w:r>
          </w:p>
        </w:tc>
        <w:tc>
          <w:tcPr>
            <w:tcW w:w="620" w:type="dxa"/>
            <w:vAlign w:val="bottom"/>
          </w:tcPr>
          <w:p>
            <w:pPr>
              <w:spacing w:after="0"/>
              <w:rPr>
                <w:sz w:val="18"/>
                <w:szCs w:val="18"/>
                <w:color w:val="auto"/>
              </w:rPr>
            </w:pPr>
          </w:p>
        </w:tc>
        <w:tc>
          <w:tcPr>
            <w:tcW w:w="780" w:type="dxa"/>
            <w:vAlign w:val="bottom"/>
          </w:tcPr>
          <w:p>
            <w:pPr>
              <w:jc w:val="right"/>
              <w:ind w:right="218"/>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700" w:type="dxa"/>
            <w:vAlign w:val="bottom"/>
          </w:tcPr>
          <w:p>
            <w:pPr>
              <w:jc w:val="right"/>
              <w:ind w:right="175"/>
              <w:spacing w:after="0"/>
              <w:rPr>
                <w:sz w:val="20"/>
                <w:szCs w:val="20"/>
                <w:color w:val="auto"/>
              </w:rPr>
            </w:pPr>
            <w:r>
              <w:rPr>
                <w:rFonts w:ascii="Arial" w:cs="Arial" w:eastAsia="Arial" w:hAnsi="Arial"/>
                <w:sz w:val="18"/>
                <w:szCs w:val="18"/>
                <w:color w:val="auto"/>
              </w:rPr>
              <w:t>2</w:t>
            </w:r>
          </w:p>
        </w:tc>
        <w:tc>
          <w:tcPr>
            <w:tcW w:w="1140" w:type="dxa"/>
            <w:vAlign w:val="bottom"/>
          </w:tcPr>
          <w:p>
            <w:pPr>
              <w:jc w:val="right"/>
              <w:ind w:right="198"/>
              <w:spacing w:after="0"/>
              <w:rPr>
                <w:sz w:val="20"/>
                <w:szCs w:val="20"/>
                <w:color w:val="auto"/>
              </w:rPr>
            </w:pPr>
            <w:r>
              <w:rPr>
                <w:rFonts w:ascii="Arial" w:cs="Arial" w:eastAsia="Arial" w:hAnsi="Arial"/>
                <w:sz w:val="18"/>
                <w:szCs w:val="18"/>
                <w:color w:val="auto"/>
              </w:rPr>
              <w:t>(77)</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60" w:type="dxa"/>
            <w:vAlign w:val="bottom"/>
            <w:shd w:val="clear" w:color="auto" w:fill="E5E5E5"/>
          </w:tcPr>
          <w:p>
            <w:pPr>
              <w:spacing w:after="0"/>
              <w:rPr>
                <w:sz w:val="20"/>
                <w:szCs w:val="20"/>
                <w:color w:val="auto"/>
              </w:rPr>
            </w:pPr>
            <w:r>
              <w:rPr>
                <w:rFonts w:ascii="Arial" w:cs="Arial" w:eastAsia="Arial" w:hAnsi="Arial"/>
                <w:sz w:val="18"/>
                <w:szCs w:val="18"/>
                <w:color w:val="auto"/>
                <w:w w:val="93"/>
              </w:rPr>
              <w:t>Reclassification adjustments for losses (gains) included in net income attributable to Comcast</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Corporation, net of deferred taxes of $(1), $(3), $(4) and $(17)</w:t>
            </w:r>
          </w:p>
        </w:tc>
        <w:tc>
          <w:tcPr>
            <w:tcW w:w="62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2</w:t>
            </w:r>
          </w:p>
        </w:tc>
        <w:tc>
          <w:tcPr>
            <w:tcW w:w="38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6</w:t>
            </w:r>
          </w:p>
        </w:tc>
        <w:tc>
          <w:tcPr>
            <w:tcW w:w="114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7</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840</w:t>
            </w:r>
          </w:p>
        </w:tc>
        <w:tc>
          <w:tcPr>
            <w:tcW w:w="3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942</w:t>
            </w:r>
          </w:p>
        </w:tc>
        <w:tc>
          <w:tcPr>
            <w:tcW w:w="114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2,565</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color w:val="auto"/>
              </w:rPr>
              <w:t>(18)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b w:val="1"/>
                <w:bCs w:val="1"/>
                <w:color w:val="auto"/>
              </w:rPr>
              <w:t>837</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952</w:t>
            </w:r>
          </w:p>
        </w:tc>
        <w:tc>
          <w:tcPr>
            <w:tcW w:w="1140" w:type="dxa"/>
            <w:vAlign w:val="bottom"/>
            <w:tcBorders>
              <w:bottom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b w:val="1"/>
                <w:bCs w:val="1"/>
                <w:color w:val="auto"/>
              </w:rPr>
              <w:t>$ 2,547</w:t>
            </w:r>
          </w:p>
        </w:tc>
        <w:tc>
          <w:tcPr>
            <w:tcW w:w="8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$ 2,724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results of operations and financial condition for the periods shown, including normal, recurring accruals and other items. We also evaluated events or transactions that occurred after the balance sheet date through the issuance date of these financial statements to determine if financial statement recognition or additional disclosure is required. The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annual financial statements for the preceding fiscal year as filed with the SEC.</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Reclassifications have been made to the prior year’s condensed consolidated financial statements between revenue and operating expenses to conform to classifications used in 2010.</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Guidance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of Variable Interest Entities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June 2009, the Financial Accounting Standards Board (“FASB”) updated the accounting guidance related to the consolidation of variable interest entities (“VIEs”). The updated guidance (i) requires an ongoing reassessment of whether an enterprise is the primary beneficiary of a VIE, (ii) changes the quantitative approach previously required for determining the primary beneficiary of a VIE and replaces it with a qualitative approach, and (iii) requires additional disclosure about an enterprise’s involvement in VIEs. We adopted the updated guidance on January 1, 2010 and it did not impact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or our Class A Special common stock, as applicable.</w:t>
      </w:r>
    </w:p>
    <w:p>
      <w:pPr>
        <w:spacing w:after="0" w:line="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Diluted EPS for the three and nine months ended September 30, 2010 excludes approximately 178 million and 189 million, respectively, of potential common shares related to our share-based compensation plans, because the inclusion of the potential common shares would have had an antidilutive effect. For the three and nine months ended September 30, 2009, diluted EPS excludes approximately 199 million and 196 million, respectively, of potential common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w w:val="98"/>
              </w:rPr>
              <w:t>Three Months Ended September 30</w:t>
            </w: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ind w:left="480"/>
              <w:spacing w:after="0" w:line="131" w:lineRule="exact"/>
              <w:rPr>
                <w:sz w:val="20"/>
                <w:szCs w:val="20"/>
                <w:color w:val="auto"/>
              </w:rPr>
            </w:pPr>
            <w:r>
              <w:rPr>
                <w:rFonts w:ascii="Arial" w:cs="Arial" w:eastAsia="Arial" w:hAnsi="Arial"/>
                <w:sz w:val="14"/>
                <w:szCs w:val="14"/>
                <w:color w:val="auto"/>
              </w:rPr>
              <w:t>Net Income</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Attributable to</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ind w:right="279"/>
              <w:spacing w:after="0" w:line="149" w:lineRule="exact"/>
              <w:rPr>
                <w:sz w:val="20"/>
                <w:szCs w:val="20"/>
                <w:color w:val="auto"/>
              </w:rPr>
            </w:pPr>
            <w:r>
              <w:rPr>
                <w:rFonts w:ascii="Arial" w:cs="Arial" w:eastAsia="Arial" w:hAnsi="Arial"/>
                <w:sz w:val="14"/>
                <w:szCs w:val="14"/>
                <w:color w:val="auto"/>
                <w:w w:val="94"/>
              </w:rPr>
              <w:t>Comcast</w:t>
            </w:r>
          </w:p>
        </w:tc>
        <w:tc>
          <w:tcPr>
            <w:tcW w:w="88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Per Share</w:t>
            </w:r>
          </w:p>
        </w:tc>
        <w:tc>
          <w:tcPr>
            <w:tcW w:w="360" w:type="dxa"/>
            <w:vAlign w:val="bottom"/>
          </w:tcPr>
          <w:p>
            <w:pPr>
              <w:spacing w:after="0"/>
              <w:rPr>
                <w:sz w:val="12"/>
                <w:szCs w:val="12"/>
                <w:color w:val="auto"/>
              </w:rPr>
            </w:pPr>
          </w:p>
        </w:tc>
        <w:tc>
          <w:tcPr>
            <w:tcW w:w="90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960" w:type="dxa"/>
            <w:vAlign w:val="bottom"/>
          </w:tcPr>
          <w:p>
            <w:pPr>
              <w:spacing w:after="0"/>
              <w:rPr>
                <w:sz w:val="12"/>
                <w:szCs w:val="12"/>
                <w:color w:val="auto"/>
              </w:rPr>
            </w:pP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020" w:type="dxa"/>
            <w:vAlign w:val="bottom"/>
            <w:gridSpan w:val="3"/>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380" w:type="dxa"/>
            <w:vAlign w:val="bottom"/>
            <w:gridSpan w:val="2"/>
          </w:tcPr>
          <w:p>
            <w:pPr>
              <w:jc w:val="right"/>
              <w:ind w:right="179"/>
              <w:spacing w:after="0" w:line="159" w:lineRule="exact"/>
              <w:rPr>
                <w:sz w:val="20"/>
                <w:szCs w:val="20"/>
                <w:color w:val="auto"/>
              </w:rPr>
            </w:pPr>
            <w:r>
              <w:rPr>
                <w:rFonts w:ascii="Arial" w:cs="Arial" w:eastAsia="Arial" w:hAnsi="Arial"/>
                <w:sz w:val="14"/>
                <w:szCs w:val="14"/>
                <w:color w:val="auto"/>
              </w:rPr>
              <w:t>Corporation</w:t>
            </w:r>
          </w:p>
        </w:tc>
        <w:tc>
          <w:tcPr>
            <w:tcW w:w="88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Shares</w:t>
            </w:r>
          </w:p>
        </w:tc>
        <w:tc>
          <w:tcPr>
            <w:tcW w:w="1080" w:type="dxa"/>
            <w:vAlign w:val="bottom"/>
            <w:gridSpan w:val="2"/>
          </w:tcPr>
          <w:p>
            <w:pPr>
              <w:jc w:val="right"/>
              <w:ind w:right="192"/>
              <w:spacing w:after="0" w:line="159" w:lineRule="exact"/>
              <w:rPr>
                <w:sz w:val="20"/>
                <w:szCs w:val="20"/>
                <w:color w:val="auto"/>
              </w:rPr>
            </w:pPr>
            <w:r>
              <w:rPr>
                <w:rFonts w:ascii="Arial" w:cs="Arial" w:eastAsia="Arial" w:hAnsi="Arial"/>
                <w:sz w:val="14"/>
                <w:szCs w:val="14"/>
                <w:color w:val="auto"/>
              </w:rPr>
              <w:t>Amount</w:t>
            </w:r>
          </w:p>
        </w:tc>
        <w:tc>
          <w:tcPr>
            <w:tcW w:w="12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960" w:type="dxa"/>
            <w:vAlign w:val="bottom"/>
          </w:tcPr>
          <w:p>
            <w:pPr>
              <w:jc w:val="right"/>
              <w:ind w:right="200"/>
              <w:spacing w:after="0" w:line="159" w:lineRule="exact"/>
              <w:rPr>
                <w:sz w:val="20"/>
                <w:szCs w:val="20"/>
                <w:color w:val="auto"/>
              </w:rPr>
            </w:pPr>
            <w:r>
              <w:rPr>
                <w:rFonts w:ascii="Arial" w:cs="Arial" w:eastAsia="Arial" w:hAnsi="Arial"/>
                <w:sz w:val="14"/>
                <w:szCs w:val="14"/>
                <w:color w:val="auto"/>
              </w:rPr>
              <w:t>Shares</w:t>
            </w:r>
          </w:p>
        </w:tc>
        <w:tc>
          <w:tcPr>
            <w:tcW w:w="8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80" w:type="dxa"/>
            <w:vAlign w:val="bottom"/>
            <w:tcBorders>
              <w:top w:val="single" w:sz="8" w:color="auto"/>
            </w:tcBorders>
            <w:shd w:val="clear" w:color="auto" w:fill="E5E5E5"/>
          </w:tcPr>
          <w:p>
            <w:pPr>
              <w:ind w:left="40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E5E5E5"/>
          </w:tcPr>
          <w:p>
            <w:pPr>
              <w:jc w:val="right"/>
              <w:ind w:right="119"/>
              <w:spacing w:after="0"/>
              <w:rPr>
                <w:sz w:val="20"/>
                <w:szCs w:val="20"/>
                <w:color w:val="auto"/>
              </w:rPr>
            </w:pPr>
            <w:r>
              <w:rPr>
                <w:rFonts w:ascii="Arial" w:cs="Arial" w:eastAsia="Arial" w:hAnsi="Arial"/>
                <w:sz w:val="18"/>
                <w:szCs w:val="18"/>
                <w:color w:val="auto"/>
              </w:rPr>
              <w:t>867</w:t>
            </w:r>
          </w:p>
        </w:tc>
        <w:tc>
          <w:tcPr>
            <w:tcW w:w="880" w:type="dxa"/>
            <w:vAlign w:val="bottom"/>
            <w:tcBorders>
              <w:top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2,802</w:t>
            </w:r>
          </w:p>
        </w:tc>
        <w:tc>
          <w:tcPr>
            <w:tcW w:w="46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0.31</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139"/>
              <w:spacing w:after="0"/>
              <w:rPr>
                <w:sz w:val="20"/>
                <w:szCs w:val="20"/>
                <w:color w:val="auto"/>
              </w:rPr>
            </w:pPr>
            <w:r>
              <w:rPr>
                <w:rFonts w:ascii="Arial" w:cs="Arial" w:eastAsia="Arial" w:hAnsi="Arial"/>
                <w:sz w:val="18"/>
                <w:szCs w:val="18"/>
                <w:color w:val="auto"/>
              </w:rPr>
              <w:t>944</w:t>
            </w:r>
          </w:p>
        </w:tc>
        <w:tc>
          <w:tcPr>
            <w:tcW w:w="960" w:type="dxa"/>
            <w:vAlign w:val="bottom"/>
            <w:tcBorders>
              <w:top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2,872</w:t>
            </w:r>
          </w:p>
        </w:tc>
        <w:tc>
          <w:tcPr>
            <w:tcW w:w="38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6"/>
              </w:rPr>
              <w:t>0.33</w:t>
            </w: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w w:val="90"/>
              </w:rPr>
              <w:t>Assumed exercise or issuance of shares relating to stock plans</w:t>
            </w:r>
          </w:p>
        </w:tc>
        <w:tc>
          <w:tcPr>
            <w:tcW w:w="4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Diluted EPS attributable to Comcast Corporation shareholders</w:t>
            </w:r>
          </w:p>
        </w:tc>
        <w:tc>
          <w:tcPr>
            <w:tcW w:w="4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867</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2,810</w:t>
            </w:r>
          </w:p>
        </w:tc>
        <w:tc>
          <w:tcPr>
            <w:tcW w:w="4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0.31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944</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b w:val="1"/>
                <w:bCs w:val="1"/>
                <w:color w:val="auto"/>
              </w:rPr>
              <w:t>2,877</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0.33</w:t>
            </w:r>
          </w:p>
        </w:tc>
      </w:tr>
      <w:tr>
        <w:trPr>
          <w:trHeight w:val="284"/>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Nine Months Ended September 30</w:t>
            </w: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2010</w:t>
            </w:r>
          </w:p>
        </w:tc>
        <w:tc>
          <w:tcPr>
            <w:tcW w:w="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0"/>
              <w:spacing w:after="0" w:line="142" w:lineRule="exact"/>
              <w:rPr>
                <w:sz w:val="20"/>
                <w:szCs w:val="20"/>
                <w:color w:val="auto"/>
              </w:rPr>
            </w:pPr>
            <w:r>
              <w:rPr>
                <w:rFonts w:ascii="Arial" w:cs="Arial" w:eastAsia="Arial" w:hAnsi="Arial"/>
                <w:sz w:val="14"/>
                <w:szCs w:val="14"/>
                <w:color w:val="auto"/>
              </w:rPr>
              <w:t>2009</w:t>
            </w: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ind w:left="400"/>
              <w:spacing w:after="0" w:line="131" w:lineRule="exact"/>
              <w:rPr>
                <w:sz w:val="20"/>
                <w:szCs w:val="20"/>
                <w:color w:val="auto"/>
              </w:rPr>
            </w:pPr>
            <w:r>
              <w:rPr>
                <w:rFonts w:ascii="Arial" w:cs="Arial" w:eastAsia="Arial" w:hAnsi="Arial"/>
                <w:sz w:val="14"/>
                <w:szCs w:val="14"/>
                <w:color w:val="auto"/>
              </w:rPr>
              <w:t>Net Income</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Net Income</w:t>
            </w: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Attributable to</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Attributable to</w:t>
            </w: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Comcast</w:t>
            </w:r>
          </w:p>
        </w:tc>
        <w:tc>
          <w:tcPr>
            <w:tcW w:w="880" w:type="dxa"/>
            <w:vAlign w:val="bottom"/>
          </w:tcPr>
          <w:p>
            <w:pPr>
              <w:spacing w:after="0"/>
              <w:rPr>
                <w:sz w:val="12"/>
                <w:szCs w:val="12"/>
                <w:color w:val="auto"/>
              </w:rPr>
            </w:pPr>
          </w:p>
        </w:tc>
        <w:tc>
          <w:tcPr>
            <w:tcW w:w="108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Per Share</w:t>
            </w:r>
          </w:p>
        </w:tc>
        <w:tc>
          <w:tcPr>
            <w:tcW w:w="360" w:type="dxa"/>
            <w:vAlign w:val="bottom"/>
          </w:tcPr>
          <w:p>
            <w:pPr>
              <w:spacing w:after="0"/>
              <w:rPr>
                <w:sz w:val="12"/>
                <w:szCs w:val="12"/>
                <w:color w:val="auto"/>
              </w:rPr>
            </w:pPr>
          </w:p>
        </w:tc>
        <w:tc>
          <w:tcPr>
            <w:tcW w:w="900" w:type="dxa"/>
            <w:vAlign w:val="bottom"/>
          </w:tcPr>
          <w:p>
            <w:pPr>
              <w:jc w:val="center"/>
              <w:ind w:right="299"/>
              <w:spacing w:after="0" w:line="149" w:lineRule="exact"/>
              <w:rPr>
                <w:sz w:val="20"/>
                <w:szCs w:val="20"/>
                <w:color w:val="auto"/>
              </w:rPr>
            </w:pPr>
            <w:r>
              <w:rPr>
                <w:rFonts w:ascii="Arial" w:cs="Arial" w:eastAsia="Arial" w:hAnsi="Arial"/>
                <w:sz w:val="14"/>
                <w:szCs w:val="14"/>
                <w:color w:val="auto"/>
                <w:w w:val="86"/>
              </w:rPr>
              <w:t>Comcast</w:t>
            </w:r>
          </w:p>
        </w:tc>
        <w:tc>
          <w:tcPr>
            <w:tcW w:w="960" w:type="dxa"/>
            <w:vAlign w:val="bottom"/>
          </w:tcPr>
          <w:p>
            <w:pPr>
              <w:spacing w:after="0"/>
              <w:rPr>
                <w:sz w:val="12"/>
                <w:szCs w:val="12"/>
                <w:color w:val="auto"/>
              </w:rPr>
            </w:pP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020" w:type="dxa"/>
            <w:vAlign w:val="bottom"/>
            <w:gridSpan w:val="3"/>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38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Corporation</w:t>
            </w:r>
          </w:p>
        </w:tc>
        <w:tc>
          <w:tcPr>
            <w:tcW w:w="880" w:type="dxa"/>
            <w:vAlign w:val="bottom"/>
          </w:tcPr>
          <w:p>
            <w:pPr>
              <w:jc w:val="right"/>
              <w:ind w:right="160"/>
              <w:spacing w:after="0" w:line="159" w:lineRule="exact"/>
              <w:rPr>
                <w:sz w:val="20"/>
                <w:szCs w:val="20"/>
                <w:color w:val="auto"/>
              </w:rPr>
            </w:pPr>
            <w:r>
              <w:rPr>
                <w:rFonts w:ascii="Arial" w:cs="Arial" w:eastAsia="Arial" w:hAnsi="Arial"/>
                <w:sz w:val="14"/>
                <w:szCs w:val="14"/>
                <w:color w:val="auto"/>
              </w:rPr>
              <w:t>Shares</w:t>
            </w:r>
          </w:p>
        </w:tc>
        <w:tc>
          <w:tcPr>
            <w:tcW w:w="10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Amount</w:t>
            </w:r>
          </w:p>
        </w:tc>
        <w:tc>
          <w:tcPr>
            <w:tcW w:w="12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7"/>
              </w:rPr>
              <w:t>Corporation</w:t>
            </w:r>
          </w:p>
        </w:tc>
        <w:tc>
          <w:tcPr>
            <w:tcW w:w="960" w:type="dxa"/>
            <w:vAlign w:val="bottom"/>
          </w:tcPr>
          <w:p>
            <w:pPr>
              <w:jc w:val="right"/>
              <w:ind w:right="200"/>
              <w:spacing w:after="0" w:line="159" w:lineRule="exact"/>
              <w:rPr>
                <w:sz w:val="20"/>
                <w:szCs w:val="20"/>
                <w:color w:val="auto"/>
              </w:rPr>
            </w:pPr>
            <w:r>
              <w:rPr>
                <w:rFonts w:ascii="Arial" w:cs="Arial" w:eastAsia="Arial" w:hAnsi="Arial"/>
                <w:sz w:val="14"/>
                <w:szCs w:val="14"/>
                <w:color w:val="auto"/>
              </w:rPr>
              <w:t>Shares</w:t>
            </w:r>
          </w:p>
        </w:tc>
        <w:tc>
          <w:tcPr>
            <w:tcW w:w="8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80" w:type="dxa"/>
            <w:vAlign w:val="bottom"/>
            <w:tcBorders>
              <w:top w:val="single" w:sz="8" w:color="auto"/>
            </w:tcBorders>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179"/>
              <w:spacing w:after="0"/>
              <w:rPr>
                <w:sz w:val="20"/>
                <w:szCs w:val="20"/>
                <w:color w:val="auto"/>
              </w:rPr>
            </w:pPr>
            <w:r>
              <w:rPr>
                <w:rFonts w:ascii="Arial" w:cs="Arial" w:eastAsia="Arial" w:hAnsi="Arial"/>
                <w:sz w:val="18"/>
                <w:szCs w:val="18"/>
                <w:color w:val="auto"/>
              </w:rPr>
              <w:t>2,617</w:t>
            </w:r>
          </w:p>
        </w:tc>
        <w:tc>
          <w:tcPr>
            <w:tcW w:w="880" w:type="dxa"/>
            <w:vAlign w:val="bottom"/>
            <w:tcBorders>
              <w:top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2,816</w:t>
            </w:r>
          </w:p>
        </w:tc>
        <w:tc>
          <w:tcPr>
            <w:tcW w:w="46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w w:val="91"/>
              </w:rPr>
              <w:t>0.93</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159"/>
              <w:spacing w:after="0"/>
              <w:rPr>
                <w:sz w:val="20"/>
                <w:szCs w:val="20"/>
                <w:color w:val="auto"/>
              </w:rPr>
            </w:pPr>
            <w:r>
              <w:rPr>
                <w:rFonts w:ascii="Arial" w:cs="Arial" w:eastAsia="Arial" w:hAnsi="Arial"/>
                <w:sz w:val="18"/>
                <w:szCs w:val="18"/>
                <w:color w:val="auto"/>
              </w:rPr>
              <w:t>2,683</w:t>
            </w:r>
          </w:p>
        </w:tc>
        <w:tc>
          <w:tcPr>
            <w:tcW w:w="960" w:type="dxa"/>
            <w:vAlign w:val="bottom"/>
            <w:tcBorders>
              <w:top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2,882</w:t>
            </w:r>
          </w:p>
        </w:tc>
        <w:tc>
          <w:tcPr>
            <w:tcW w:w="38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6"/>
              </w:rPr>
              <w:t>0.93</w:t>
            </w: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w w:val="90"/>
              </w:rPr>
              <w:t>Assumed exercise or issuance of shares relating to stock plans</w:t>
            </w:r>
          </w:p>
        </w:tc>
        <w:tc>
          <w:tcPr>
            <w:tcW w:w="4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Diluted EPS attributable to Comcast Corporation shareholders</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rPr>
              <w:t>2,617</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b w:val="1"/>
                <w:bCs w:val="1"/>
                <w:color w:val="auto"/>
              </w:rPr>
              <w:t>2,826</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1"/>
              </w:rPr>
              <w:t>0.93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b w:val="1"/>
                <w:bCs w:val="1"/>
                <w:color w:val="auto"/>
              </w:rPr>
              <w:t>2,683</w:t>
            </w: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2,890</w:t>
            </w:r>
          </w:p>
        </w:tc>
        <w:tc>
          <w:tcPr>
            <w:tcW w:w="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0.93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Acquisitions and Other Significant Events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 Universal Transaction</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sold $4.0 billion aggregate principal amount of senior notes in April 2010 and $5.1 billion aggregate principal amount of senior notes in October 2010 in connection with the transaction. We will contribute our national programming networks, our regional sports networks and certain of our Internet businesses, as well as other assets used primarily in those businesses. We will also make a cash payment to GE of $7.1 billion, less certain adjustments primarily based on the free cash flow generated by NBC Universal between December 4, 2009 and the closing. The transaction is subject to various regulatory approvals and is expected to close by the end of 2010.</w:t>
      </w:r>
    </w:p>
    <w:p>
      <w:pPr>
        <w:spacing w:after="0" w:line="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 will be entitled to cause the new company to redeem half of GE’s interest 3.5 years after the closing and its remaining interest 7 years after the closing. If GE exercises its first redemption right, we have the right to purchase the remainder of GE’s interest at that time. If GE does not exercise its first redemption right, we have the right to purchase half of GE’s interest 5 years after the closing. We also will have the right to purchase GE’s remaining interest, if any, 8 years after the closing. The redemption and purchase price will equal the ownership percentage being acquired multiplied by 120% of the fully distributed public market trading value of the new company, less half of the excess of 120% of that value over $28.15 billion. Subject to various limitations, we are committed to fund up to $2.875 billion in cash or common stock for each of the two redemptions (for an aggregate of up to $5.75 billion), with amounts not used in the first redemption to be available for the second redemption.</w:t>
      </w:r>
    </w:p>
    <w:p>
      <w:pPr>
        <w:spacing w:after="0" w:line="2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results of operations for the new company will be consolidated with our results of operations, as we will control the new company. When the transaction is completed, the NBC Universal businesses will be recorded 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their fair value and the businesses we contribute will be recorded at their historical or carry-over basis. GE’s interest will be recorded in our consolidated financial statements as a redeemable noncontrolling interest.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nine months ended September 30, 2010, we acquired CIMCO Communications, Inc. (“CIMCO”), a phone and high-speed Internet service provider for businesses, Paciolan, Inc. (“Paciolan”), a developer of automated ticketing software, New Global Telecom, Inc. (“NGT”), a phone service provider for small to medium-sized businesses, and made other smaller acquisitions. The aggregate purchase price of all these acquisitions was approximately $195 million. The results of operations for CIMCO and NGT are reported in our Cable segment. Paciolan is managed by Comcast Spectacor, whose results of operations are reported in Corporate and Other. The results of operations for these acquisitions have been included in our consolidated results of operations since their respective acquisition dates and were not material to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500" w:type="dxa"/>
            <w:vAlign w:val="bottom"/>
            <w:gridSpan w:val="2"/>
          </w:tcPr>
          <w:p>
            <w:pPr>
              <w:ind w:left="2320"/>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w w:val="90"/>
              </w:rPr>
              <w:t>December 31,</w:t>
            </w:r>
          </w:p>
        </w:tc>
      </w:tr>
      <w:tr>
        <w:trPr>
          <w:trHeight w:val="159"/>
        </w:trPr>
        <w:tc>
          <w:tcPr>
            <w:tcW w:w="67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2480" w:type="dxa"/>
            <w:vAlign w:val="bottom"/>
          </w:tcPr>
          <w:p>
            <w:pPr>
              <w:spacing w:after="0"/>
              <w:rPr>
                <w:sz w:val="13"/>
                <w:szCs w:val="13"/>
                <w:color w:val="auto"/>
              </w:rPr>
            </w:pPr>
          </w:p>
        </w:tc>
        <w:tc>
          <w:tcPr>
            <w:tcW w:w="1020" w:type="dxa"/>
            <w:vAlign w:val="bottom"/>
          </w:tcPr>
          <w:p>
            <w:pPr>
              <w:jc w:val="right"/>
              <w:ind w:right="575"/>
              <w:spacing w:after="0" w:line="159" w:lineRule="exact"/>
              <w:rPr>
                <w:sz w:val="20"/>
                <w:szCs w:val="20"/>
                <w:color w:val="auto"/>
              </w:rPr>
            </w:pPr>
            <w:r>
              <w:rPr>
                <w:rFonts w:ascii="Arial" w:cs="Arial" w:eastAsia="Arial" w:hAnsi="Arial"/>
                <w:sz w:val="14"/>
                <w:szCs w:val="14"/>
                <w:color w:val="auto"/>
              </w:rPr>
              <w:t>2010</w:t>
            </w:r>
          </w:p>
        </w:tc>
        <w:tc>
          <w:tcPr>
            <w:tcW w:w="560" w:type="dxa"/>
            <w:vAlign w:val="bottom"/>
          </w:tcPr>
          <w:p>
            <w:pPr>
              <w:spacing w:after="0"/>
              <w:rPr>
                <w:sz w:val="13"/>
                <w:szCs w:val="13"/>
                <w:color w:val="auto"/>
              </w:rPr>
            </w:pPr>
          </w:p>
        </w:tc>
        <w:tc>
          <w:tcPr>
            <w:tcW w:w="660" w:type="dxa"/>
            <w:vAlign w:val="bottom"/>
          </w:tcPr>
          <w:p>
            <w:pPr>
              <w:jc w:val="right"/>
              <w:ind w:right="215"/>
              <w:spacing w:after="0" w:line="159" w:lineRule="exact"/>
              <w:rPr>
                <w:sz w:val="20"/>
                <w:szCs w:val="20"/>
                <w:color w:val="auto"/>
              </w:rPr>
            </w:pPr>
            <w:r>
              <w:rPr>
                <w:rFonts w:ascii="Arial" w:cs="Arial" w:eastAsia="Arial" w:hAnsi="Arial"/>
                <w:sz w:val="14"/>
                <w:szCs w:val="14"/>
                <w:color w:val="auto"/>
              </w:rPr>
              <w:t>2009</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2480" w:type="dxa"/>
            <w:vAlign w:val="bottom"/>
            <w:tcBorders>
              <w:top w:val="single" w:sz="8" w:color="auto"/>
            </w:tcBorders>
            <w:shd w:val="clear" w:color="auto" w:fill="E5E5E5"/>
          </w:tcPr>
          <w:p>
            <w:pPr>
              <w:ind w:left="23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2,644</w:t>
            </w:r>
          </w:p>
        </w:tc>
        <w:tc>
          <w:tcPr>
            <w:tcW w:w="560" w:type="dxa"/>
            <w:vAlign w:val="bottom"/>
            <w:tcBorders>
              <w:top w:val="single" w:sz="8" w:color="auto"/>
            </w:tcBorders>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1,933</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Equity method, primarily SpectrumCo and Clearwire</w:t>
            </w:r>
          </w:p>
        </w:tc>
        <w:tc>
          <w:tcPr>
            <w:tcW w:w="248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Arial" w:cs="Arial" w:eastAsia="Arial" w:hAnsi="Arial"/>
                <w:sz w:val="18"/>
                <w:szCs w:val="18"/>
                <w:color w:val="auto"/>
              </w:rPr>
              <w:t>2,087</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Cost method, primarily AirTouch redeemable preferred shares</w:t>
            </w:r>
          </w:p>
        </w:tc>
        <w:tc>
          <w:tcPr>
            <w:tcW w:w="24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1,722</w:t>
            </w:r>
          </w:p>
        </w:tc>
        <w:tc>
          <w:tcPr>
            <w:tcW w:w="5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1,723</w:t>
            </w:r>
          </w:p>
        </w:tc>
      </w:tr>
      <w:tr>
        <w:trPr>
          <w:trHeight w:val="210"/>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Total investments</w:t>
            </w:r>
          </w:p>
        </w:tc>
        <w:tc>
          <w:tcPr>
            <w:tcW w:w="2480" w:type="dxa"/>
            <w:vAlign w:val="bottom"/>
          </w:tcPr>
          <w:p>
            <w:pPr>
              <w:spacing w:after="0"/>
              <w:rPr>
                <w:sz w:val="18"/>
                <w:szCs w:val="18"/>
                <w:color w:val="auto"/>
              </w:rPr>
            </w:pPr>
          </w:p>
        </w:tc>
        <w:tc>
          <w:tcPr>
            <w:tcW w:w="1020" w:type="dxa"/>
            <w:vAlign w:val="bottom"/>
          </w:tcPr>
          <w:p>
            <w:pPr>
              <w:jc w:val="right"/>
              <w:ind w:right="315"/>
              <w:spacing w:after="0"/>
              <w:rPr>
                <w:sz w:val="20"/>
                <w:szCs w:val="20"/>
                <w:color w:val="auto"/>
              </w:rPr>
            </w:pPr>
            <w:r>
              <w:rPr>
                <w:rFonts w:ascii="Arial" w:cs="Arial" w:eastAsia="Arial" w:hAnsi="Arial"/>
                <w:sz w:val="18"/>
                <w:szCs w:val="18"/>
                <w:color w:val="auto"/>
              </w:rPr>
              <w:t>6,453</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5,997</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p>
        </w:tc>
        <w:tc>
          <w:tcPr>
            <w:tcW w:w="24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72</w:t>
            </w:r>
          </w:p>
        </w:tc>
        <w:tc>
          <w:tcPr>
            <w:tcW w:w="5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w:t>
            </w:r>
          </w:p>
        </w:tc>
      </w:tr>
      <w:tr>
        <w:trPr>
          <w:trHeight w:val="217"/>
        </w:trPr>
        <w:tc>
          <w:tcPr>
            <w:tcW w:w="20" w:type="dxa"/>
            <w:vAlign w:val="bottom"/>
            <w:tcBorders>
              <w:bottom w:val="single" w:sz="8" w:color="auto"/>
            </w:tcBorders>
          </w:tcPr>
          <w:p>
            <w:pPr>
              <w:spacing w:after="0"/>
              <w:rPr>
                <w:sz w:val="18"/>
                <w:szCs w:val="18"/>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248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6,381</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5,947</w:t>
            </w: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2010 and December 31, 2009, the estimated fair value of the AirTouch redeemable preferred stock was $1.731 billion and $1.524 billion, respectively, which exceeded our carrying basis as of each date.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right"/>
              <w:ind w:right="574"/>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1760" w:type="dxa"/>
            <w:vAlign w:val="bottom"/>
            <w:gridSpan w:val="3"/>
          </w:tcPr>
          <w:p>
            <w:pPr>
              <w:jc w:val="right"/>
              <w:ind w:right="35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jc w:val="right"/>
              <w:ind w:right="418"/>
              <w:spacing w:after="0" w:line="142" w:lineRule="exact"/>
              <w:rPr>
                <w:sz w:val="20"/>
                <w:szCs w:val="20"/>
                <w:color w:val="auto"/>
              </w:rPr>
            </w:pPr>
            <w:r>
              <w:rPr>
                <w:rFonts w:ascii="Arial" w:cs="Arial" w:eastAsia="Arial" w:hAnsi="Arial"/>
                <w:sz w:val="14"/>
                <w:szCs w:val="14"/>
                <w:color w:val="auto"/>
                <w:w w:val="89"/>
              </w:rPr>
              <w:t>2010</w:t>
            </w:r>
          </w:p>
        </w:tc>
        <w:tc>
          <w:tcPr>
            <w:tcW w:w="420" w:type="dxa"/>
            <w:vAlign w:val="bottom"/>
          </w:tcPr>
          <w:p>
            <w:pPr>
              <w:spacing w:after="0"/>
              <w:rPr>
                <w:sz w:val="12"/>
                <w:szCs w:val="12"/>
                <w:color w:val="auto"/>
              </w:rPr>
            </w:pPr>
          </w:p>
        </w:tc>
        <w:tc>
          <w:tcPr>
            <w:tcW w:w="780" w:type="dxa"/>
            <w:vAlign w:val="bottom"/>
          </w:tcPr>
          <w:p>
            <w:pPr>
              <w:jc w:val="right"/>
              <w:ind w:right="414"/>
              <w:spacing w:after="0" w:line="142" w:lineRule="exact"/>
              <w:rPr>
                <w:sz w:val="20"/>
                <w:szCs w:val="20"/>
                <w:color w:val="auto"/>
              </w:rPr>
            </w:pPr>
            <w:r>
              <w:rPr>
                <w:rFonts w:ascii="Arial" w:cs="Arial" w:eastAsia="Arial" w:hAnsi="Arial"/>
                <w:sz w:val="14"/>
                <w:szCs w:val="14"/>
                <w:color w:val="auto"/>
                <w:w w:val="83"/>
              </w:rPr>
              <w:t>2009</w:t>
            </w:r>
          </w:p>
        </w:tc>
        <w:tc>
          <w:tcPr>
            <w:tcW w:w="420" w:type="dxa"/>
            <w:vAlign w:val="bottom"/>
          </w:tcPr>
          <w:p>
            <w:pPr>
              <w:spacing w:after="0"/>
              <w:rPr>
                <w:sz w:val="12"/>
                <w:szCs w:val="12"/>
                <w:color w:val="auto"/>
              </w:rPr>
            </w:pPr>
          </w:p>
        </w:tc>
        <w:tc>
          <w:tcPr>
            <w:tcW w:w="800" w:type="dxa"/>
            <w:vAlign w:val="bottom"/>
          </w:tcPr>
          <w:p>
            <w:pPr>
              <w:jc w:val="right"/>
              <w:ind w:right="418"/>
              <w:spacing w:after="0" w:line="142" w:lineRule="exact"/>
              <w:rPr>
                <w:sz w:val="20"/>
                <w:szCs w:val="20"/>
                <w:color w:val="auto"/>
              </w:rPr>
            </w:pPr>
            <w:r>
              <w:rPr>
                <w:rFonts w:ascii="Arial" w:cs="Arial" w:eastAsia="Arial" w:hAnsi="Arial"/>
                <w:sz w:val="14"/>
                <w:szCs w:val="14"/>
                <w:color w:val="auto"/>
                <w:w w:val="89"/>
              </w:rPr>
              <w:t>2010</w:t>
            </w:r>
          </w:p>
        </w:tc>
        <w:tc>
          <w:tcPr>
            <w:tcW w:w="420" w:type="dxa"/>
            <w:vAlign w:val="bottom"/>
          </w:tcPr>
          <w:p>
            <w:pPr>
              <w:spacing w:after="0"/>
              <w:rPr>
                <w:sz w:val="12"/>
                <w:szCs w:val="12"/>
                <w:color w:val="auto"/>
              </w:rPr>
            </w:pPr>
          </w:p>
        </w:tc>
        <w:tc>
          <w:tcPr>
            <w:tcW w:w="540" w:type="dxa"/>
            <w:vAlign w:val="bottom"/>
          </w:tcPr>
          <w:p>
            <w:pPr>
              <w:jc w:val="right"/>
              <w:ind w:right="154"/>
              <w:spacing w:after="0" w:line="142" w:lineRule="exact"/>
              <w:rPr>
                <w:sz w:val="20"/>
                <w:szCs w:val="20"/>
                <w:color w:val="auto"/>
              </w:rPr>
            </w:pPr>
            <w:r>
              <w:rPr>
                <w:rFonts w:ascii="Arial" w:cs="Arial" w:eastAsia="Arial" w:hAnsi="Arial"/>
                <w:sz w:val="14"/>
                <w:szCs w:val="14"/>
                <w:color w:val="auto"/>
                <w:w w:val="8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298"/>
              <w:spacing w:after="0"/>
              <w:rPr>
                <w:sz w:val="20"/>
                <w:szCs w:val="20"/>
                <w:color w:val="auto"/>
              </w:rPr>
            </w:pPr>
            <w:r>
              <w:rPr>
                <w:rFonts w:ascii="Arial" w:cs="Arial" w:eastAsia="Arial" w:hAnsi="Arial"/>
                <w:sz w:val="18"/>
                <w:szCs w:val="18"/>
                <w:color w:val="auto"/>
              </w:rPr>
              <w:t>3</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10</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color w:val="auto"/>
              </w:rPr>
              <w:t>14</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680" w:type="dxa"/>
            <w:vAlign w:val="bottom"/>
          </w:tcPr>
          <w:p>
            <w:pPr>
              <w:spacing w:after="0"/>
              <w:rPr>
                <w:sz w:val="18"/>
                <w:szCs w:val="18"/>
                <w:color w:val="auto"/>
              </w:rPr>
            </w:pPr>
          </w:p>
        </w:tc>
        <w:tc>
          <w:tcPr>
            <w:tcW w:w="800" w:type="dxa"/>
            <w:vAlign w:val="bottom"/>
          </w:tcPr>
          <w:p>
            <w:pPr>
              <w:jc w:val="right"/>
              <w:ind w:right="238"/>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w w:val="98"/>
              </w:rPr>
              <w:t>Unrealized gains (losses) on securities underlying prepaid forward sale agreements</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98"/>
              <w:spacing w:after="0"/>
              <w:rPr>
                <w:sz w:val="20"/>
                <w:szCs w:val="20"/>
                <w:color w:val="auto"/>
              </w:rPr>
            </w:pPr>
            <w:r>
              <w:rPr>
                <w:rFonts w:ascii="Arial" w:cs="Arial" w:eastAsia="Arial" w:hAnsi="Arial"/>
                <w:sz w:val="18"/>
                <w:szCs w:val="18"/>
                <w:color w:val="auto"/>
              </w:rPr>
              <w:t>475</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456</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706</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w w:val="91"/>
              </w:rPr>
              <w:t>Mark to market adjustments on derivative component of prepaid forward sale agreements</w:t>
            </w:r>
          </w:p>
        </w:tc>
        <w:tc>
          <w:tcPr>
            <w:tcW w:w="680" w:type="dxa"/>
            <w:vAlign w:val="bottom"/>
          </w:tcPr>
          <w:p>
            <w:pPr>
              <w:spacing w:after="0"/>
              <w:rPr>
                <w:sz w:val="18"/>
                <w:szCs w:val="18"/>
                <w:color w:val="auto"/>
              </w:rPr>
            </w:pPr>
          </w:p>
        </w:tc>
        <w:tc>
          <w:tcPr>
            <w:tcW w:w="800" w:type="dxa"/>
            <w:vAlign w:val="bottom"/>
          </w:tcPr>
          <w:p>
            <w:pPr>
              <w:jc w:val="right"/>
              <w:ind w:right="238"/>
              <w:spacing w:after="0"/>
              <w:rPr>
                <w:sz w:val="20"/>
                <w:szCs w:val="20"/>
                <w:color w:val="auto"/>
              </w:rPr>
            </w:pPr>
            <w:r>
              <w:rPr>
                <w:rFonts w:ascii="Arial" w:cs="Arial" w:eastAsia="Arial" w:hAnsi="Arial"/>
                <w:sz w:val="18"/>
                <w:szCs w:val="18"/>
                <w:color w:val="auto"/>
              </w:rPr>
              <w:t>(399)</w:t>
            </w:r>
          </w:p>
        </w:tc>
        <w:tc>
          <w:tcPr>
            <w:tcW w:w="42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(357)</w:t>
            </w:r>
          </w:p>
        </w:tc>
        <w:tc>
          <w:tcPr>
            <w:tcW w:w="420" w:type="dxa"/>
            <w:vAlign w:val="bottom"/>
          </w:tcPr>
          <w:p>
            <w:pPr>
              <w:spacing w:after="0"/>
              <w:rPr>
                <w:sz w:val="18"/>
                <w:szCs w:val="18"/>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(545)</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E5E5E5"/>
          </w:tcPr>
          <w:p>
            <w:pPr>
              <w:spacing w:after="0"/>
              <w:rPr>
                <w:sz w:val="20"/>
                <w:szCs w:val="20"/>
                <w:color w:val="auto"/>
              </w:rPr>
            </w:pPr>
            <w:r>
              <w:rPr>
                <w:rFonts w:ascii="Arial" w:cs="Arial" w:eastAsia="Arial" w:hAnsi="Arial"/>
                <w:sz w:val="18"/>
                <w:szCs w:val="18"/>
                <w:color w:val="auto"/>
              </w:rPr>
              <w:t>Mark to market adjustments on derivative component of ZONES</w:t>
            </w: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(1)</w:t>
            </w:r>
          </w:p>
        </w:tc>
        <w:tc>
          <w:tcPr>
            <w:tcW w:w="4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2</w:t>
            </w:r>
          </w:p>
        </w:tc>
        <w:tc>
          <w:tcPr>
            <w:tcW w:w="4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78"/>
              <w:spacing w:after="0"/>
              <w:rPr>
                <w:sz w:val="20"/>
                <w:szCs w:val="20"/>
                <w:color w:val="auto"/>
              </w:rPr>
            </w:pPr>
            <w:r>
              <w:rPr>
                <w:rFonts w:ascii="Arial" w:cs="Arial" w:eastAsia="Arial" w:hAnsi="Arial"/>
                <w:sz w:val="18"/>
                <w:szCs w:val="18"/>
                <w:color w:val="auto"/>
              </w:rPr>
              <w:t>1</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and dividend income</w:t>
            </w:r>
          </w:p>
        </w:tc>
        <w:tc>
          <w:tcPr>
            <w:tcW w:w="680" w:type="dxa"/>
            <w:vAlign w:val="bottom"/>
          </w:tcPr>
          <w:p>
            <w:pPr>
              <w:spacing w:after="0"/>
              <w:rPr>
                <w:sz w:val="18"/>
                <w:szCs w:val="18"/>
                <w:color w:val="auto"/>
              </w:rPr>
            </w:pPr>
          </w:p>
        </w:tc>
        <w:tc>
          <w:tcPr>
            <w:tcW w:w="800" w:type="dxa"/>
            <w:vAlign w:val="bottom"/>
          </w:tcPr>
          <w:p>
            <w:pPr>
              <w:jc w:val="right"/>
              <w:ind w:right="298"/>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780" w:type="dxa"/>
            <w:vAlign w:val="bottom"/>
          </w:tcPr>
          <w:p>
            <w:pPr>
              <w:jc w:val="right"/>
              <w:ind w:right="274"/>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800" w:type="dxa"/>
            <w:vAlign w:val="bottom"/>
          </w:tcPr>
          <w:p>
            <w:pPr>
              <w:jc w:val="right"/>
              <w:ind w:right="278"/>
              <w:spacing w:after="0"/>
              <w:rPr>
                <w:sz w:val="20"/>
                <w:szCs w:val="20"/>
                <w:color w:val="auto"/>
              </w:rPr>
            </w:pPr>
            <w:r>
              <w:rPr>
                <w:rFonts w:ascii="Arial" w:cs="Arial" w:eastAsia="Arial" w:hAnsi="Arial"/>
                <w:sz w:val="18"/>
                <w:szCs w:val="18"/>
                <w:color w:val="auto"/>
              </w:rPr>
              <w:t>70</w:t>
            </w:r>
          </w:p>
        </w:tc>
        <w:tc>
          <w:tcPr>
            <w:tcW w:w="4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net</w:t>
            </w:r>
          </w:p>
        </w:tc>
        <w:tc>
          <w:tcPr>
            <w:tcW w:w="6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98"/>
              <w:spacing w:after="0"/>
              <w:rPr>
                <w:sz w:val="20"/>
                <w:szCs w:val="20"/>
                <w:color w:val="auto"/>
              </w:rPr>
            </w:pPr>
            <w:r>
              <w:rPr>
                <w:rFonts w:ascii="Arial" w:cs="Arial" w:eastAsia="Arial" w:hAnsi="Arial"/>
                <w:sz w:val="18"/>
                <w:szCs w:val="18"/>
                <w:color w:val="auto"/>
              </w:rPr>
              <w:t>16</w:t>
            </w:r>
          </w:p>
        </w:tc>
        <w:tc>
          <w:tcPr>
            <w:tcW w:w="4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color w:val="auto"/>
              </w:rPr>
              <w:t>(12)</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 income (loss),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b w:val="1"/>
                <w:bCs w:val="1"/>
                <w:color w:val="auto"/>
              </w:rPr>
              <w:t>109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148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8"/>
                <w:szCs w:val="18"/>
                <w:b w:val="1"/>
                <w:bCs w:val="1"/>
                <w:color w:val="auto"/>
              </w:rPr>
              <w:t>210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218</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color w:val="auto"/>
              </w:rPr>
              <w:t>Corporate</w:t>
            </w:r>
          </w:p>
        </w:tc>
        <w:tc>
          <w:tcPr>
            <w:tcW w:w="940" w:type="dxa"/>
            <w:vAlign w:val="bottom"/>
          </w:tcPr>
          <w:p>
            <w:pPr>
              <w:spacing w:after="0"/>
              <w:rPr>
                <w:sz w:val="14"/>
                <w:szCs w:val="14"/>
                <w:color w:val="auto"/>
              </w:rPr>
            </w:pPr>
          </w:p>
        </w:tc>
      </w:tr>
      <w:tr>
        <w:trPr>
          <w:trHeight w:val="159"/>
        </w:trPr>
        <w:tc>
          <w:tcPr>
            <w:tcW w:w="48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420" w:type="dxa"/>
            <w:vAlign w:val="bottom"/>
          </w:tcPr>
          <w:p>
            <w:pPr>
              <w:jc w:val="right"/>
              <w:ind w:right="336"/>
              <w:spacing w:after="0" w:line="159" w:lineRule="exact"/>
              <w:rPr>
                <w:sz w:val="20"/>
                <w:szCs w:val="20"/>
                <w:color w:val="auto"/>
              </w:rPr>
            </w:pPr>
            <w:r>
              <w:rPr>
                <w:rFonts w:ascii="Arial" w:cs="Arial" w:eastAsia="Arial" w:hAnsi="Arial"/>
                <w:sz w:val="14"/>
                <w:szCs w:val="14"/>
                <w:color w:val="auto"/>
              </w:rPr>
              <w:t>Cable</w:t>
            </w:r>
          </w:p>
        </w:tc>
        <w:tc>
          <w:tcPr>
            <w:tcW w:w="12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Programming</w:t>
            </w:r>
          </w:p>
        </w:tc>
        <w:tc>
          <w:tcPr>
            <w:tcW w:w="10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and Other</w:t>
            </w:r>
          </w:p>
        </w:tc>
        <w:tc>
          <w:tcPr>
            <w:tcW w:w="940" w:type="dxa"/>
            <w:vAlign w:val="bottom"/>
          </w:tcPr>
          <w:p>
            <w:pPr>
              <w:jc w:val="right"/>
              <w:ind w:right="17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December 31, 2009(a)</w:t>
            </w:r>
          </w:p>
        </w:tc>
        <w:tc>
          <w:tcPr>
            <w:tcW w:w="342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$12,828</w:t>
            </w:r>
          </w:p>
        </w:tc>
        <w:tc>
          <w:tcPr>
            <w:tcW w:w="44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1,630</w:t>
            </w:r>
          </w:p>
        </w:tc>
        <w:tc>
          <w:tcPr>
            <w:tcW w:w="44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475</w:t>
            </w:r>
          </w:p>
        </w:tc>
        <w:tc>
          <w:tcPr>
            <w:tcW w:w="9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$14,933</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Acquisitions</w:t>
            </w:r>
          </w:p>
        </w:tc>
        <w:tc>
          <w:tcPr>
            <w:tcW w:w="3420" w:type="dxa"/>
            <w:vAlign w:val="bottom"/>
          </w:tcPr>
          <w:p>
            <w:pPr>
              <w:jc w:val="right"/>
              <w:ind w:right="196"/>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Settlements and adjustments</w:t>
            </w:r>
          </w:p>
        </w:tc>
        <w:tc>
          <w:tcPr>
            <w:tcW w:w="34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2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2010</w:t>
            </w:r>
          </w:p>
        </w:tc>
        <w:tc>
          <w:tcPr>
            <w:tcW w:w="34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$12,901</w:t>
            </w: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1,643</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485</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$15,029</w:t>
            </w:r>
          </w:p>
        </w:tc>
      </w:tr>
    </w:tbl>
    <w:p>
      <w:pPr>
        <w:spacing w:after="0" w:line="5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December 31, 2009 Cable segment and Corporate and Other amounts have been adjusted for segment reclassifications to be consistent with our 2010 management reporting presentation.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2010, we issued $1.4 billion principal amount of 5.15% notes due 2020 and $1.0 billion principal amount of 6.4% notes due 2040. The net proceeds of these issuances will be used for working capital and general corporate purposes, which may include the repayment of debt at its maturity and funding a portion of our payment to GE due upon closing of the NBC Universal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 and Derivative Financial Instruments</w:t>
      </w:r>
    </w:p>
    <w:p>
      <w:pPr>
        <w:spacing w:after="0" w:line="13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use derivative financial instruments to manage our exposure to the risks associated with fluctuations in interest rates and equity prices. Our objective is to manage the financial and operational exposure arising from these risks by offsetting gains and losses on the underlying exposures with gains and losses on the derivatives used to economically hedge them. Derivative financial instruments that receive designated hedge accounting treatment are evaluated for effectiveness at the time they are designated, as well as throughout the hedging period. We do not engage in any speculative or leveraged derivative transactions. All derivative transactions must comply with a derivatives policy authorized by our Board of Directors.</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exposure to and benefits from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periodically examine the instruments we use to hedge exposure to interest rate and equity price risks to ensure that the instruments are matched with underlying assets or liabilities, to reduce our risks relating to changes in interest rates or equity prices and, through market value and sensitivity analysis, to maintain a high correlation to the risk inherent in the hedged item. For those instruments that do not meet the above conditions, and for those derivative financial instruments that are not designated as a hedge, changes in fair value are recognized on a current basis in earnings.</w:t>
      </w:r>
    </w:p>
    <w:p>
      <w:pPr>
        <w:spacing w:after="0" w:line="1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As of September 30, 2010, our derivative financial instruments designated as hedges included (i) the derivative component of one of our prepaid forward sale agreements, which is recorded to other noncurrent liabilities, (ii) our interest rate swap agreements, which are recorded to other current or noncurrent assets or liabilities, and (iii) our interest rate collars, which are recorded to other current liabilities. Changes in the fair value of the derivative component of our prepaid forward sale agreements are recorded to investment income (loss), net. Changes in the fair value of our interest rate swap agreements are recorded to interest expense. These amounts are completely offset by changes in the fair value of the related debt because the swaps are deemed to be 100% effective. The difference between variable and fixed rates to be paid or received under the terms of the interest rate swap agreements is accrued as interest rates change and recognized as an adjustment to interest expense for the related debt. The effective portion of changes in the fair value of our interest rate collars is recorded to accumulated other comprehensive income (loss). The ineffective portion, if any, of changes in the fair value of our interest rate collars is recorded to investment income (loss), net.</w:t>
      </w:r>
    </w:p>
    <w:p>
      <w:pPr>
        <w:spacing w:after="0" w:line="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2010, our derivative financial instruments not designated as hedges included (i) the derivative component of our indexed debt instruments (our ZONES debt), which is recorded to long-term debt, and (ii) the derivative component of certain of our prepaid forward sale agreements, which is recorded to other current and noncurrent liabilities.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2010, our debt had an estimated fair value of $34.932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 is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gridSpan w:val="4"/>
          </w:tcPr>
          <w:p>
            <w:pPr>
              <w:jc w:val="right"/>
              <w:ind w:right="52"/>
              <w:spacing w:after="0"/>
              <w:rPr>
                <w:sz w:val="20"/>
                <w:szCs w:val="20"/>
                <w:color w:val="auto"/>
              </w:rPr>
            </w:pPr>
            <w:r>
              <w:rPr>
                <w:rFonts w:ascii="Arial" w:cs="Arial" w:eastAsia="Arial" w:hAnsi="Arial"/>
                <w:sz w:val="14"/>
                <w:szCs w:val="14"/>
                <w:color w:val="auto"/>
                <w:w w:val="90"/>
              </w:rPr>
              <w:t>Fair value as of September 30, 2010</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color w:val="auto"/>
                <w:w w:val="86"/>
              </w:rPr>
              <w:t>December 31, 2009</w:t>
            </w:r>
          </w:p>
        </w:tc>
        <w:tc>
          <w:tcPr>
            <w:tcW w:w="0" w:type="dxa"/>
            <w:vAlign w:val="bottom"/>
          </w:tcPr>
          <w:p>
            <w:pPr>
              <w:spacing w:after="0"/>
              <w:rPr>
                <w:sz w:val="1"/>
                <w:szCs w:val="1"/>
                <w:color w:val="auto"/>
              </w:rPr>
            </w:pPr>
          </w:p>
        </w:tc>
      </w:tr>
      <w:tr>
        <w:trPr>
          <w:trHeight w:val="142"/>
        </w:trPr>
        <w:tc>
          <w:tcPr>
            <w:tcW w:w="5860" w:type="dxa"/>
            <w:vAlign w:val="bottom"/>
            <w:gridSpan w:val="2"/>
          </w:tcPr>
          <w:p>
            <w:pPr>
              <w:spacing w:after="0" w:line="142" w:lineRule="exact"/>
              <w:rPr>
                <w:sz w:val="20"/>
                <w:szCs w:val="20"/>
                <w:color w:val="auto"/>
              </w:rPr>
            </w:pPr>
            <w:r>
              <w:rPr>
                <w:rFonts w:ascii="Arial" w:cs="Arial" w:eastAsia="Arial" w:hAnsi="Arial"/>
                <w:sz w:val="14"/>
                <w:szCs w:val="14"/>
                <w:color w:val="auto"/>
              </w:rPr>
              <w:t>(in millions)</w:t>
            </w: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color w:val="auto"/>
              </w:rPr>
              <w:t>Level 1</w:t>
            </w:r>
          </w:p>
        </w:tc>
        <w:tc>
          <w:tcPr>
            <w:tcW w:w="1120" w:type="dxa"/>
            <w:vAlign w:val="bottom"/>
            <w:tcBorders>
              <w:top w:val="single" w:sz="8" w:color="auto"/>
            </w:tcBorders>
            <w:gridSpan w:val="2"/>
          </w:tcPr>
          <w:p>
            <w:pPr>
              <w:ind w:left="440"/>
              <w:spacing w:after="0" w:line="142" w:lineRule="exact"/>
              <w:rPr>
                <w:sz w:val="20"/>
                <w:szCs w:val="20"/>
                <w:color w:val="auto"/>
              </w:rPr>
            </w:pPr>
            <w:r>
              <w:rPr>
                <w:rFonts w:ascii="Arial" w:cs="Arial" w:eastAsia="Arial" w:hAnsi="Arial"/>
                <w:sz w:val="14"/>
                <w:szCs w:val="14"/>
                <w:color w:val="auto"/>
              </w:rPr>
              <w:t>Level 2</w:t>
            </w:r>
          </w:p>
        </w:tc>
        <w:tc>
          <w:tcPr>
            <w:tcW w:w="110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rPr>
              <w:t>Level 3</w:t>
            </w:r>
          </w:p>
        </w:tc>
        <w:tc>
          <w:tcPr>
            <w:tcW w:w="1040" w:type="dxa"/>
            <w:vAlign w:val="bottom"/>
            <w:tcBorders>
              <w:top w:val="single" w:sz="8" w:color="auto"/>
            </w:tcBorders>
            <w:gridSpan w:val="2"/>
          </w:tcPr>
          <w:p>
            <w:pPr>
              <w:jc w:val="center"/>
              <w:ind w:right="216"/>
              <w:spacing w:after="0" w:line="142" w:lineRule="exact"/>
              <w:rPr>
                <w:sz w:val="20"/>
                <w:szCs w:val="20"/>
                <w:color w:val="auto"/>
              </w:rPr>
            </w:pPr>
            <w:r>
              <w:rPr>
                <w:rFonts w:ascii="Arial" w:cs="Arial" w:eastAsia="Arial" w:hAnsi="Arial"/>
                <w:sz w:val="14"/>
                <w:szCs w:val="14"/>
                <w:color w:val="auto"/>
                <w:w w:val="83"/>
              </w:rPr>
              <w:t>Total</w:t>
            </w:r>
          </w:p>
        </w:tc>
        <w:tc>
          <w:tcPr>
            <w:tcW w:w="1160" w:type="dxa"/>
            <w:vAlign w:val="bottom"/>
            <w:tcBorders>
              <w:top w:val="single" w:sz="8" w:color="auto"/>
            </w:tcBorders>
            <w:gridSpan w:val="2"/>
          </w:tcPr>
          <w:p>
            <w:pPr>
              <w:jc w:val="right"/>
              <w:ind w:right="313"/>
              <w:spacing w:after="0" w:line="142"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w w:val="84"/>
              </w:rPr>
              <w:t>2,544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36"/>
              <w:spacing w:after="0"/>
              <w:rPr>
                <w:sz w:val="20"/>
                <w:szCs w:val="20"/>
                <w:color w:val="auto"/>
              </w:rPr>
            </w:pPr>
            <w:r>
              <w:rPr>
                <w:rFonts w:ascii="Arial" w:cs="Arial" w:eastAsia="Arial" w:hAnsi="Arial"/>
                <w:sz w:val="18"/>
                <w:szCs w:val="18"/>
                <w:color w:val="auto"/>
              </w:rPr>
              <w:t>$2,544</w:t>
            </w: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E5E5E5"/>
          </w:tcPr>
          <w:p>
            <w:pPr>
              <w:spacing w:after="0"/>
              <w:rPr>
                <w:sz w:val="18"/>
                <w:szCs w:val="18"/>
                <w:color w:val="auto"/>
              </w:rPr>
            </w:pPr>
          </w:p>
        </w:tc>
        <w:tc>
          <w:tcPr>
            <w:tcW w:w="52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98</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6"/>
              <w:spacing w:after="0"/>
              <w:rPr>
                <w:sz w:val="20"/>
                <w:szCs w:val="20"/>
                <w:color w:val="auto"/>
              </w:rPr>
            </w:pPr>
            <w:r>
              <w:rPr>
                <w:rFonts w:ascii="Arial" w:cs="Arial" w:eastAsia="Arial" w:hAnsi="Arial"/>
                <w:sz w:val="18"/>
                <w:szCs w:val="18"/>
                <w:color w:val="auto"/>
                <w:w w:val="79"/>
              </w:rPr>
              <w:t>98</w:t>
            </w: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Equity warrants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600" w:type="dxa"/>
            <w:vAlign w:val="bottom"/>
          </w:tcPr>
          <w:p>
            <w:pPr>
              <w:jc w:val="right"/>
              <w:ind w:right="336"/>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16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321</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E5E5E5"/>
          </w:tcPr>
          <w:p>
            <w:pPr>
              <w:jc w:val="right"/>
              <w:ind w:right="336"/>
              <w:spacing w:after="0"/>
              <w:rPr>
                <w:sz w:val="20"/>
                <w:szCs w:val="20"/>
                <w:color w:val="auto"/>
              </w:rPr>
            </w:pPr>
            <w:r>
              <w:rPr>
                <w:rFonts w:ascii="Arial" w:cs="Arial" w:eastAsia="Arial" w:hAnsi="Arial"/>
                <w:sz w:val="18"/>
                <w:szCs w:val="18"/>
                <w:color w:val="auto"/>
              </w:rPr>
              <w:t>321</w:t>
            </w:r>
          </w:p>
        </w:tc>
        <w:tc>
          <w:tcPr>
            <w:tcW w:w="6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84"/>
              </w:rPr>
              <w:t>2,642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321</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w:t>
            </w:r>
          </w:p>
        </w:tc>
        <w:tc>
          <w:tcPr>
            <w:tcW w:w="104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8"/>
                <w:szCs w:val="18"/>
                <w:b w:val="1"/>
                <w:bCs w:val="1"/>
                <w:color w:val="auto"/>
              </w:rPr>
              <w:t>$2,965</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Derivative component of ZONES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6"/>
              <w:spacing w:after="0"/>
              <w:rPr>
                <w:sz w:val="20"/>
                <w:szCs w:val="20"/>
                <w:color w:val="auto"/>
              </w:rPr>
            </w:pPr>
            <w:r>
              <w:rPr>
                <w:rFonts w:ascii="Arial" w:cs="Arial" w:eastAsia="Arial" w:hAnsi="Arial"/>
                <w:sz w:val="18"/>
                <w:szCs w:val="18"/>
                <w:color w:val="auto"/>
                <w:w w:val="79"/>
              </w:rPr>
              <w:t>14</w:t>
            </w: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Derivative component of prepaid forward sale agreements</w:t>
            </w:r>
          </w:p>
        </w:tc>
        <w:tc>
          <w:tcPr>
            <w:tcW w:w="1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894</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336"/>
              <w:spacing w:after="0"/>
              <w:rPr>
                <w:sz w:val="20"/>
                <w:szCs w:val="20"/>
                <w:color w:val="auto"/>
              </w:rPr>
            </w:pPr>
            <w:r>
              <w:rPr>
                <w:rFonts w:ascii="Arial" w:cs="Arial" w:eastAsia="Arial" w:hAnsi="Arial"/>
                <w:sz w:val="18"/>
                <w:szCs w:val="18"/>
                <w:color w:val="auto"/>
              </w:rPr>
              <w:t>894</w:t>
            </w: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70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0" w:type="dxa"/>
            <w:vAlign w:val="bottom"/>
          </w:tcPr>
          <w:p>
            <w:pPr>
              <w:jc w:val="right"/>
              <w:ind w:right="336"/>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Interest rate collars</w:t>
            </w:r>
          </w:p>
        </w:tc>
        <w:tc>
          <w:tcPr>
            <w:tcW w:w="16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124</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E5E5E5"/>
          </w:tcPr>
          <w:p>
            <w:pPr>
              <w:jc w:val="right"/>
              <w:ind w:right="336"/>
              <w:spacing w:after="0"/>
              <w:rPr>
                <w:sz w:val="20"/>
                <w:szCs w:val="20"/>
                <w:color w:val="auto"/>
              </w:rPr>
            </w:pPr>
            <w:r>
              <w:rPr>
                <w:rFonts w:ascii="Arial" w:cs="Arial" w:eastAsia="Arial" w:hAnsi="Arial"/>
                <w:sz w:val="18"/>
                <w:szCs w:val="18"/>
                <w:color w:val="auto"/>
              </w:rPr>
              <w:t>124</w:t>
            </w:r>
          </w:p>
        </w:tc>
        <w:tc>
          <w:tcPr>
            <w:tcW w:w="6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8"/>
                <w:szCs w:val="18"/>
                <w:b w:val="1"/>
                <w:bCs w:val="1"/>
                <w:color w:val="auto"/>
              </w:rPr>
              <w:t>$1,033</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8"/>
                <w:szCs w:val="18"/>
                <w:b w:val="1"/>
                <w:bCs w:val="1"/>
                <w:color w:val="auto"/>
              </w:rPr>
              <w:t>$1,033</w:t>
            </w: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9200" w:type="dxa"/>
            <w:vAlign w:val="bottom"/>
            <w:gridSpan w:val="9"/>
          </w:tcPr>
          <w:p>
            <w:pPr>
              <w:jc w:val="center"/>
              <w:ind w:left="2092"/>
              <w:spacing w:after="0"/>
              <w:rPr>
                <w:sz w:val="20"/>
                <w:szCs w:val="20"/>
                <w:color w:val="auto"/>
              </w:rPr>
            </w:pPr>
            <w:r>
              <w:rPr>
                <w:rFonts w:ascii="Arial" w:cs="Arial" w:eastAsia="Arial" w:hAnsi="Arial"/>
                <w:sz w:val="18"/>
                <w:szCs w:val="18"/>
                <w:b w:val="1"/>
                <w:bCs w:val="1"/>
                <w:color w:val="auto"/>
                <w:w w:val="97"/>
              </w:rPr>
              <w:t>Amount of Gain (Loss) Recognized in Income on Derivative Financial Instruments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gridSpan w:val="4"/>
          </w:tcPr>
          <w:p>
            <w:pPr>
              <w:ind w:left="440"/>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6"/>
                <w:szCs w:val="16"/>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color w:val="auto"/>
                <w:w w:val="87"/>
              </w:rPr>
              <w:t>Nine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w w:val="97"/>
              </w:rPr>
              <w:t>September 30</w:t>
            </w: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left="236"/>
              <w:spacing w:after="0"/>
              <w:rPr>
                <w:sz w:val="20"/>
                <w:szCs w:val="20"/>
                <w:color w:val="auto"/>
              </w:rPr>
            </w:pPr>
            <w:r>
              <w:rPr>
                <w:rFonts w:ascii="Arial" w:cs="Arial" w:eastAsia="Arial" w:hAnsi="Arial"/>
                <w:sz w:val="14"/>
                <w:szCs w:val="14"/>
                <w:color w:val="auto"/>
                <w:w w:val="84"/>
              </w:rPr>
              <w:t>September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320" w:type="dxa"/>
            <w:vAlign w:val="bottom"/>
            <w:gridSpan w:val="3"/>
          </w:tcPr>
          <w:p>
            <w:pPr>
              <w:spacing w:after="0" w:line="143" w:lineRule="exact"/>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right"/>
              <w:ind w:right="493"/>
              <w:spacing w:after="0" w:line="143" w:lineRule="exact"/>
              <w:rPr>
                <w:sz w:val="20"/>
                <w:szCs w:val="20"/>
                <w:color w:val="auto"/>
              </w:rPr>
            </w:pPr>
            <w:r>
              <w:rPr>
                <w:rFonts w:ascii="Arial" w:cs="Arial" w:eastAsia="Arial" w:hAnsi="Arial"/>
                <w:sz w:val="14"/>
                <w:szCs w:val="14"/>
                <w:color w:val="auto"/>
              </w:rPr>
              <w:t>2010</w:t>
            </w:r>
          </w:p>
        </w:tc>
        <w:tc>
          <w:tcPr>
            <w:tcW w:w="1100" w:type="dxa"/>
            <w:vAlign w:val="bottom"/>
            <w:gridSpan w:val="2"/>
          </w:tcPr>
          <w:p>
            <w:pPr>
              <w:jc w:val="right"/>
              <w:ind w:right="392"/>
              <w:spacing w:after="0" w:line="143"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600" w:type="dxa"/>
            <w:vAlign w:val="bottom"/>
          </w:tcPr>
          <w:p>
            <w:pPr>
              <w:jc w:val="right"/>
              <w:ind w:right="216"/>
              <w:spacing w:after="0" w:line="143" w:lineRule="exact"/>
              <w:rPr>
                <w:sz w:val="20"/>
                <w:szCs w:val="20"/>
                <w:color w:val="auto"/>
              </w:rPr>
            </w:pPr>
            <w:r>
              <w:rPr>
                <w:rFonts w:ascii="Arial" w:cs="Arial" w:eastAsia="Arial" w:hAnsi="Arial"/>
                <w:sz w:val="14"/>
                <w:szCs w:val="14"/>
                <w:color w:val="auto"/>
                <w:w w:val="89"/>
              </w:rPr>
              <w:t>2010</w:t>
            </w:r>
          </w:p>
        </w:tc>
        <w:tc>
          <w:tcPr>
            <w:tcW w:w="620" w:type="dxa"/>
            <w:vAlign w:val="bottom"/>
          </w:tcPr>
          <w:p>
            <w:pPr>
              <w:spacing w:after="0"/>
              <w:rPr>
                <w:sz w:val="12"/>
                <w:szCs w:val="12"/>
                <w:color w:val="auto"/>
              </w:rPr>
            </w:pPr>
          </w:p>
        </w:tc>
        <w:tc>
          <w:tcPr>
            <w:tcW w:w="540" w:type="dxa"/>
            <w:vAlign w:val="bottom"/>
          </w:tcPr>
          <w:p>
            <w:pPr>
              <w:jc w:val="right"/>
              <w:ind w:right="153"/>
              <w:spacing w:after="0" w:line="143" w:lineRule="exact"/>
              <w:rPr>
                <w:sz w:val="20"/>
                <w:szCs w:val="20"/>
                <w:color w:val="auto"/>
              </w:rPr>
            </w:pPr>
            <w:r>
              <w:rPr>
                <w:rFonts w:ascii="Arial" w:cs="Arial" w:eastAsia="Arial" w:hAnsi="Arial"/>
                <w:sz w:val="14"/>
                <w:szCs w:val="14"/>
                <w:color w:val="auto"/>
                <w:w w:val="89"/>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Designated Fair Value Hedging Relationships</w:t>
            </w:r>
          </w:p>
        </w:tc>
        <w:tc>
          <w:tcPr>
            <w:tcW w:w="160" w:type="dxa"/>
            <w:vAlign w:val="bottom"/>
            <w:tcBorders>
              <w:top w:val="single" w:sz="8" w:color="auto"/>
            </w:tcBorders>
            <w:shd w:val="clear" w:color="auto" w:fill="E5E5E5"/>
          </w:tcPr>
          <w:p>
            <w:pPr>
              <w:spacing w:after="0"/>
              <w:rPr>
                <w:sz w:val="18"/>
                <w:szCs w:val="18"/>
                <w:color w:val="auto"/>
              </w:rPr>
            </w:pPr>
          </w:p>
        </w:tc>
        <w:tc>
          <w:tcPr>
            <w:tcW w:w="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rPr>
              <w:t>Interest rate swap agreements (fixed to variable)</w:t>
            </w:r>
          </w:p>
        </w:tc>
        <w:tc>
          <w:tcPr>
            <w:tcW w:w="1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373"/>
              <w:spacing w:after="0"/>
              <w:rPr>
                <w:sz w:val="20"/>
                <w:szCs w:val="20"/>
                <w:color w:val="auto"/>
              </w:rPr>
            </w:pPr>
            <w:r>
              <w:rPr>
                <w:rFonts w:ascii="Arial" w:cs="Arial" w:eastAsia="Arial" w:hAnsi="Arial"/>
                <w:sz w:val="18"/>
                <w:szCs w:val="18"/>
                <w:color w:val="auto"/>
                <w:w w:val="79"/>
              </w:rPr>
              <w:t>60</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43</w:t>
            </w:r>
          </w:p>
        </w:tc>
        <w:tc>
          <w:tcPr>
            <w:tcW w:w="440" w:type="dxa"/>
            <w:vAlign w:val="bottom"/>
            <w:shd w:val="clear" w:color="auto" w:fill="E5E5E5"/>
          </w:tcPr>
          <w:p>
            <w:pPr>
              <w:jc w:val="center"/>
              <w:ind w:left="23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178</w:t>
            </w:r>
          </w:p>
        </w:tc>
        <w:tc>
          <w:tcPr>
            <w:tcW w:w="620" w:type="dxa"/>
            <w:vAlign w:val="bottom"/>
            <w:shd w:val="clear" w:color="auto" w:fill="E5E5E5"/>
          </w:tcPr>
          <w:p>
            <w:pPr>
              <w:ind w:left="5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Long-term debt—interest rate swap agreements (fixed to variable)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313"/>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Investment Income (Expense):</w:t>
            </w:r>
          </w:p>
        </w:tc>
        <w:tc>
          <w:tcPr>
            <w:tcW w:w="1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w w:val="89"/>
              </w:rPr>
              <w:t>Unrealized gains (losses) on securities underlying prepaid forward sale agreement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373"/>
              <w:spacing w:after="0"/>
              <w:rPr>
                <w:sz w:val="20"/>
                <w:szCs w:val="20"/>
                <w:color w:val="auto"/>
              </w:rPr>
            </w:pPr>
            <w:r>
              <w:rPr>
                <w:rFonts w:ascii="Arial" w:cs="Arial" w:eastAsia="Arial" w:hAnsi="Arial"/>
                <w:sz w:val="18"/>
                <w:szCs w:val="18"/>
                <w:color w:val="auto"/>
                <w:w w:val="79"/>
              </w:rPr>
              <w:t>13</w:t>
            </w:r>
          </w:p>
        </w:tc>
        <w:tc>
          <w:tcPr>
            <w:tcW w:w="400" w:type="dxa"/>
            <w:vAlign w:val="bottom"/>
          </w:tcPr>
          <w:p>
            <w:pPr>
              <w:spacing w:after="0"/>
              <w:rPr>
                <w:sz w:val="18"/>
                <w:szCs w:val="18"/>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600" w:type="dxa"/>
            <w:vAlign w:val="bottom"/>
          </w:tcPr>
          <w:p>
            <w:pPr>
              <w:jc w:val="right"/>
              <w:ind w:right="76"/>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w w:val="95"/>
              </w:rPr>
              <w:t>Mark to market adjustments on derivative component of prepaid forward sale</w:t>
            </w:r>
          </w:p>
        </w:tc>
        <w:tc>
          <w:tcPr>
            <w:tcW w:w="1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gridSpan w:val="2"/>
            <w:shd w:val="clear" w:color="auto" w:fill="E5E5E5"/>
          </w:tcPr>
          <w:p>
            <w:pPr>
              <w:ind w:left="640"/>
              <w:spacing w:after="0"/>
              <w:rPr>
                <w:sz w:val="20"/>
                <w:szCs w:val="20"/>
                <w:color w:val="auto"/>
              </w:rPr>
            </w:pPr>
            <w:r>
              <w:rPr>
                <w:rFonts w:ascii="Arial" w:cs="Arial" w:eastAsia="Arial" w:hAnsi="Arial"/>
                <w:sz w:val="18"/>
                <w:szCs w:val="18"/>
                <w:color w:val="auto"/>
              </w:rPr>
              <w:t>agreement</w:t>
            </w:r>
          </w:p>
        </w:tc>
        <w:tc>
          <w:tcPr>
            <w:tcW w:w="160" w:type="dxa"/>
            <w:vAlign w:val="bottom"/>
            <w:tcBorders>
              <w:bottom w:val="single" w:sz="8" w:color="auto"/>
            </w:tcBorders>
            <w:shd w:val="clear" w:color="auto" w:fill="E5E5E5"/>
          </w:tcPr>
          <w:p>
            <w:pPr>
              <w:spacing w:after="0"/>
              <w:rPr>
                <w:sz w:val="19"/>
                <w:szCs w:val="19"/>
                <w:color w:val="auto"/>
              </w:rPr>
            </w:pPr>
          </w:p>
        </w:tc>
        <w:tc>
          <w:tcPr>
            <w:tcW w:w="80" w:type="dxa"/>
            <w:vAlign w:val="bottom"/>
            <w:tcBorders>
              <w:bottom w:val="single" w:sz="8" w:color="auto"/>
            </w:tcBorders>
            <w:shd w:val="clear" w:color="auto" w:fill="E5E5E5"/>
          </w:tcPr>
          <w:p>
            <w:pPr>
              <w:spacing w:after="0"/>
              <w:rPr>
                <w:sz w:val="19"/>
                <w:szCs w:val="19"/>
                <w:color w:val="auto"/>
              </w:rPr>
            </w:pPr>
          </w:p>
        </w:tc>
        <w:tc>
          <w:tcPr>
            <w:tcW w:w="440" w:type="dxa"/>
            <w:vAlign w:val="bottom"/>
            <w:tcBorders>
              <w:bottom w:val="single" w:sz="8" w:color="auto"/>
            </w:tcBorders>
            <w:shd w:val="clear" w:color="auto" w:fill="E5E5E5"/>
          </w:tcPr>
          <w:p>
            <w:pPr>
              <w:spacing w:after="0"/>
              <w:rPr>
                <w:sz w:val="19"/>
                <w:szCs w:val="19"/>
                <w:color w:val="auto"/>
              </w:rPr>
            </w:pPr>
          </w:p>
        </w:tc>
        <w:tc>
          <w:tcPr>
            <w:tcW w:w="480" w:type="dxa"/>
            <w:vAlign w:val="bottom"/>
            <w:tcBorders>
              <w:bottom w:val="single" w:sz="8" w:color="auto"/>
            </w:tcBorders>
            <w:shd w:val="clear" w:color="auto" w:fill="E5E5E5"/>
          </w:tcPr>
          <w:p>
            <w:pPr>
              <w:spacing w:after="0"/>
              <w:rPr>
                <w:sz w:val="19"/>
                <w:szCs w:val="19"/>
                <w:color w:val="auto"/>
              </w:rPr>
            </w:pPr>
          </w:p>
        </w:tc>
        <w:tc>
          <w:tcPr>
            <w:tcW w:w="64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color w:val="auto"/>
                <w:w w:val="99"/>
              </w:rPr>
              <w:t>(8)</w:t>
            </w:r>
          </w:p>
        </w:tc>
        <w:tc>
          <w:tcPr>
            <w:tcW w:w="40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auto"/>
            </w:tcBorders>
            <w:shd w:val="clear" w:color="auto" w:fill="E5E5E5"/>
          </w:tcPr>
          <w:p>
            <w:pPr>
              <w:spacing w:after="0"/>
              <w:rPr>
                <w:sz w:val="19"/>
                <w:szCs w:val="19"/>
                <w:color w:val="auto"/>
              </w:rPr>
            </w:pPr>
          </w:p>
        </w:tc>
        <w:tc>
          <w:tcPr>
            <w:tcW w:w="6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(15)</w:t>
            </w:r>
          </w:p>
        </w:tc>
        <w:tc>
          <w:tcPr>
            <w:tcW w:w="62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Gain (loss) on fair value hedging relationships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ind w:right="373"/>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600" w:type="dxa"/>
            <w:vAlign w:val="bottom"/>
          </w:tcPr>
          <w:p>
            <w:pPr>
              <w:jc w:val="right"/>
              <w:ind w:right="76"/>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Nondesignated</w:t>
            </w:r>
          </w:p>
        </w:tc>
        <w:tc>
          <w:tcPr>
            <w:tcW w:w="1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Investment Income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E5E5E5"/>
          </w:tcPr>
          <w:p>
            <w:pPr>
              <w:ind w:left="420"/>
              <w:spacing w:after="0"/>
              <w:rPr>
                <w:sz w:val="20"/>
                <w:szCs w:val="20"/>
                <w:color w:val="auto"/>
              </w:rPr>
            </w:pPr>
            <w:r>
              <w:rPr>
                <w:rFonts w:ascii="Arial" w:cs="Arial" w:eastAsia="Arial" w:hAnsi="Arial"/>
                <w:sz w:val="18"/>
                <w:szCs w:val="18"/>
                <w:color w:val="auto"/>
                <w:w w:val="88"/>
              </w:rPr>
              <w:t>Unrealized gains (losses) on securities underlying prepaid forward sale agreements</w:t>
            </w:r>
          </w:p>
        </w:tc>
        <w:tc>
          <w:tcPr>
            <w:tcW w:w="1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ind w:right="373"/>
              <w:spacing w:after="0"/>
              <w:rPr>
                <w:sz w:val="20"/>
                <w:szCs w:val="20"/>
                <w:color w:val="auto"/>
              </w:rPr>
            </w:pPr>
            <w:r>
              <w:rPr>
                <w:rFonts w:ascii="Arial" w:cs="Arial" w:eastAsia="Arial" w:hAnsi="Arial"/>
                <w:sz w:val="18"/>
                <w:szCs w:val="18"/>
                <w:color w:val="auto"/>
              </w:rPr>
              <w:t>462</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434</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6"/>
              <w:spacing w:after="0"/>
              <w:rPr>
                <w:sz w:val="20"/>
                <w:szCs w:val="20"/>
                <w:color w:val="auto"/>
              </w:rPr>
            </w:pPr>
            <w:r>
              <w:rPr>
                <w:rFonts w:ascii="Arial" w:cs="Arial" w:eastAsia="Arial" w:hAnsi="Arial"/>
                <w:sz w:val="18"/>
                <w:szCs w:val="18"/>
                <w:color w:val="auto"/>
              </w:rPr>
              <w:t>677</w:t>
            </w:r>
          </w:p>
        </w:tc>
        <w:tc>
          <w:tcPr>
            <w:tcW w:w="6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w w:val="95"/>
              </w:rPr>
              <w:t>Mark to market adjustments on derivative component of prepaid forward sale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ind w:left="640"/>
              <w:spacing w:after="0"/>
              <w:rPr>
                <w:sz w:val="20"/>
                <w:szCs w:val="20"/>
                <w:color w:val="auto"/>
              </w:rPr>
            </w:pPr>
            <w:r>
              <w:rPr>
                <w:rFonts w:ascii="Arial" w:cs="Arial" w:eastAsia="Arial" w:hAnsi="Arial"/>
                <w:sz w:val="18"/>
                <w:szCs w:val="18"/>
                <w:color w:val="auto"/>
              </w:rPr>
              <w:t>agreements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313"/>
              <w:spacing w:after="0"/>
              <w:rPr>
                <w:sz w:val="20"/>
                <w:szCs w:val="20"/>
                <w:color w:val="auto"/>
              </w:rPr>
            </w:pPr>
            <w:r>
              <w:rPr>
                <w:rFonts w:ascii="Arial" w:cs="Arial" w:eastAsia="Arial" w:hAnsi="Arial"/>
                <w:sz w:val="18"/>
                <w:szCs w:val="18"/>
                <w:color w:val="auto"/>
              </w:rPr>
              <w:t>(391)</w:t>
            </w:r>
          </w:p>
        </w:tc>
        <w:tc>
          <w:tcPr>
            <w:tcW w:w="400" w:type="dxa"/>
            <w:vAlign w:val="bottom"/>
          </w:tcPr>
          <w:p>
            <w:pPr>
              <w:spacing w:after="0"/>
              <w:rPr>
                <w:sz w:val="19"/>
                <w:szCs w:val="19"/>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95"/>
              </w:rPr>
              <w:t>(341)</w:t>
            </w:r>
          </w:p>
        </w:tc>
        <w:tc>
          <w:tcPr>
            <w:tcW w:w="44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(530)</w:t>
            </w:r>
          </w:p>
        </w:tc>
        <w:tc>
          <w:tcPr>
            <w:tcW w:w="6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E5E5E5"/>
          </w:tcPr>
          <w:p>
            <w:pPr>
              <w:ind w:left="420"/>
              <w:spacing w:after="0"/>
              <w:rPr>
                <w:sz w:val="20"/>
                <w:szCs w:val="20"/>
                <w:color w:val="auto"/>
              </w:rPr>
            </w:pPr>
            <w:r>
              <w:rPr>
                <w:rFonts w:ascii="Arial" w:cs="Arial" w:eastAsia="Arial" w:hAnsi="Arial"/>
                <w:sz w:val="18"/>
                <w:szCs w:val="18"/>
                <w:color w:val="auto"/>
              </w:rPr>
              <w:t>Mark to market adjustments on derivative component of ZONES</w:t>
            </w:r>
          </w:p>
        </w:tc>
        <w:tc>
          <w:tcPr>
            <w:tcW w:w="16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color w:val="auto"/>
                <w:w w:val="99"/>
              </w:rPr>
              <w:t>(1)</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gain (loss)</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w w:val="79"/>
              </w:rPr>
              <w:t>75</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101</w:t>
            </w:r>
          </w:p>
        </w:tc>
        <w:tc>
          <w:tcPr>
            <w:tcW w:w="440" w:type="dxa"/>
            <w:vAlign w:val="bottom"/>
            <w:tcBorders>
              <w:bottom w:val="single" w:sz="8" w:color="auto"/>
            </w:tcBorders>
          </w:tcPr>
          <w:p>
            <w:pPr>
              <w:jc w:val="center"/>
              <w:ind w:left="234"/>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162</w:t>
            </w:r>
          </w:p>
        </w:tc>
        <w:tc>
          <w:tcPr>
            <w:tcW w:w="6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8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variable and fixed rates received under the terms of our interest rate swap agreements reduced interest expense by approximately $33 million and $98 million during the three and nine months ended September 30, 2010, respectively. These amounts during the three and nine months ended September 30, 2009 were approximately $26 million and $74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13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of our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2010, we acquired all of the noncontrolling interest of one of our technology ventures, which had a carrying value of approximately $20 million, for approximately $9 million. The difference between the amount paid and the carrying value of the noncontrolling interest resulted in an increase of approximately $11 million to additional paid-in capital of Comcast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to or from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2000" w:type="dxa"/>
            <w:vAlign w:val="bottom"/>
            <w:gridSpan w:val="3"/>
          </w:tcPr>
          <w:p>
            <w:pPr>
              <w:jc w:val="center"/>
              <w:ind w:left="362"/>
              <w:spacing w:after="0"/>
              <w:rPr>
                <w:sz w:val="20"/>
                <w:szCs w:val="20"/>
                <w:color w:val="auto"/>
              </w:rPr>
            </w:pPr>
            <w:r>
              <w:rPr>
                <w:rFonts w:ascii="Arial" w:cs="Arial" w:eastAsia="Arial" w:hAnsi="Arial"/>
                <w:sz w:val="14"/>
                <w:szCs w:val="14"/>
                <w:color w:val="auto"/>
                <w:w w:val="87"/>
              </w:rPr>
              <w:t>Nine Months Ended</w:t>
            </w:r>
          </w:p>
        </w:tc>
      </w:tr>
      <w:tr>
        <w:trPr>
          <w:trHeight w:val="172"/>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2000" w:type="dxa"/>
            <w:vAlign w:val="bottom"/>
            <w:gridSpan w:val="3"/>
          </w:tcPr>
          <w:p>
            <w:pPr>
              <w:jc w:val="center"/>
              <w:ind w:left="362"/>
              <w:spacing w:after="0"/>
              <w:rPr>
                <w:sz w:val="20"/>
                <w:szCs w:val="20"/>
                <w:color w:val="auto"/>
              </w:rPr>
            </w:pPr>
            <w:r>
              <w:rPr>
                <w:rFonts w:ascii="Arial" w:cs="Arial" w:eastAsia="Arial" w:hAnsi="Arial"/>
                <w:sz w:val="14"/>
                <w:szCs w:val="14"/>
                <w:color w:val="auto"/>
                <w:w w:val="86"/>
              </w:rPr>
              <w:t>September 30</w:t>
            </w:r>
          </w:p>
        </w:tc>
      </w:tr>
      <w:tr>
        <w:trPr>
          <w:trHeight w:val="143"/>
        </w:trPr>
        <w:tc>
          <w:tcPr>
            <w:tcW w:w="94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1220" w:type="dxa"/>
            <w:vAlign w:val="bottom"/>
            <w:tcBorders>
              <w:top w:val="single" w:sz="8" w:color="auto"/>
            </w:tcBorders>
          </w:tcPr>
          <w:p>
            <w:pPr>
              <w:jc w:val="right"/>
              <w:ind w:right="282"/>
              <w:spacing w:after="0" w:line="143" w:lineRule="exact"/>
              <w:rPr>
                <w:sz w:val="20"/>
                <w:szCs w:val="20"/>
                <w:color w:val="auto"/>
              </w:rPr>
            </w:pPr>
            <w:r>
              <w:rPr>
                <w:rFonts w:ascii="Arial" w:cs="Arial" w:eastAsia="Arial" w:hAnsi="Arial"/>
                <w:sz w:val="14"/>
                <w:szCs w:val="14"/>
                <w:color w:val="auto"/>
              </w:rPr>
              <w:t>2010</w:t>
            </w:r>
          </w:p>
        </w:tc>
        <w:tc>
          <w:tcPr>
            <w:tcW w:w="760" w:type="dxa"/>
            <w:vAlign w:val="bottom"/>
            <w:tcBorders>
              <w:top w:val="single" w:sz="8" w:color="auto"/>
            </w:tcBorders>
          </w:tcPr>
          <w:p>
            <w:pPr>
              <w:jc w:val="right"/>
              <w:ind w:right="57"/>
              <w:spacing w:after="0" w:line="143" w:lineRule="exact"/>
              <w:rPr>
                <w:sz w:val="20"/>
                <w:szCs w:val="20"/>
                <w:color w:val="auto"/>
              </w:rPr>
            </w:pPr>
            <w:r>
              <w:rPr>
                <w:rFonts w:ascii="Arial" w:cs="Arial" w:eastAsia="Arial" w:hAnsi="Arial"/>
                <w:sz w:val="14"/>
                <w:szCs w:val="14"/>
                <w:color w:val="auto"/>
              </w:rPr>
              <w:t>2009</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220" w:type="dxa"/>
            <w:vAlign w:val="bottom"/>
            <w:tcBorders>
              <w:top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$ 2,617</w:t>
            </w: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$ 2,683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Increase in Comcast Corporation additional paid-in capital resulting from the purchase of noncontrolling interest</w:t>
            </w:r>
          </w:p>
        </w:tc>
        <w:tc>
          <w:tcPr>
            <w:tcW w:w="122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rPr>
              <w:t>11</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from net income attributable to Comcast Corporation and transfers from (to) noncontrolling interests</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b w:val="1"/>
                <w:bCs w:val="1"/>
                <w:color w:val="auto"/>
              </w:rPr>
              <w:t>$ 2,628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$ 2,713</w:t>
            </w:r>
          </w:p>
        </w:tc>
        <w:tc>
          <w:tcPr>
            <w:tcW w:w="20" w:type="dxa"/>
            <w:vAlign w:val="bottom"/>
            <w:tcBorders>
              <w:bottom w:val="single" w:sz="8" w:color="auto"/>
            </w:tcBorders>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Equity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Our Board of Directors may grant share-based awards, in the form of stock options and RSUs, to certain employees and directors. Additionally, through our employee stock purchase plan, employees are able to purchase shares of Comcast Class A common stock at a discount through payroll deductions.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2010, we granted 30.9 million stock options and 8.4 million RSUs related to our annual management grant program. The fair values associated with these grants were $5.11 per stock option and $16.87 per RSU.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gridSpan w:val="3"/>
          </w:tcPr>
          <w:p>
            <w:pPr>
              <w:jc w:val="right"/>
              <w:ind w:right="396"/>
              <w:spacing w:after="0"/>
              <w:rPr>
                <w:sz w:val="20"/>
                <w:szCs w:val="20"/>
                <w:color w:val="auto"/>
              </w:rPr>
            </w:pPr>
            <w:r>
              <w:rPr>
                <w:rFonts w:ascii="Arial" w:cs="Arial" w:eastAsia="Arial" w:hAnsi="Arial"/>
                <w:sz w:val="14"/>
                <w:szCs w:val="14"/>
                <w:color w:val="auto"/>
                <w:w w:val="93"/>
              </w:rPr>
              <w:t>Three Months Ended</w:t>
            </w:r>
          </w:p>
        </w:tc>
        <w:tc>
          <w:tcPr>
            <w:tcW w:w="380" w:type="dxa"/>
            <w:vAlign w:val="bottom"/>
          </w:tcPr>
          <w:p>
            <w:pPr>
              <w:spacing w:after="0"/>
              <w:rPr>
                <w:sz w:val="14"/>
                <w:szCs w:val="14"/>
                <w:color w:val="auto"/>
              </w:rPr>
            </w:pPr>
          </w:p>
        </w:tc>
        <w:tc>
          <w:tcPr>
            <w:tcW w:w="1500" w:type="dxa"/>
            <w:vAlign w:val="bottom"/>
            <w:gridSpan w:val="4"/>
          </w:tcPr>
          <w:p>
            <w:pPr>
              <w:ind w:left="1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2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ind w:right="321"/>
              <w:spacing w:after="0" w:line="142" w:lineRule="exact"/>
              <w:rPr>
                <w:sz w:val="20"/>
                <w:szCs w:val="20"/>
                <w:color w:val="auto"/>
              </w:rPr>
            </w:pPr>
            <w:r>
              <w:rPr>
                <w:rFonts w:ascii="Arial" w:cs="Arial" w:eastAsia="Arial" w:hAnsi="Arial"/>
                <w:sz w:val="14"/>
                <w:szCs w:val="14"/>
                <w:color w:val="auto"/>
                <w:w w:val="83"/>
              </w:rPr>
              <w:t>2010</w:t>
            </w:r>
          </w:p>
        </w:tc>
        <w:tc>
          <w:tcPr>
            <w:tcW w:w="380" w:type="dxa"/>
            <w:vAlign w:val="bottom"/>
          </w:tcPr>
          <w:p>
            <w:pPr>
              <w:spacing w:after="0"/>
              <w:rPr>
                <w:sz w:val="12"/>
                <w:szCs w:val="12"/>
                <w:color w:val="auto"/>
              </w:rPr>
            </w:pPr>
          </w:p>
        </w:tc>
        <w:tc>
          <w:tcPr>
            <w:tcW w:w="660" w:type="dxa"/>
            <w:vAlign w:val="bottom"/>
          </w:tcPr>
          <w:p>
            <w:pPr>
              <w:jc w:val="right"/>
              <w:ind w:right="296"/>
              <w:spacing w:after="0" w:line="142" w:lineRule="exact"/>
              <w:rPr>
                <w:sz w:val="20"/>
                <w:szCs w:val="20"/>
                <w:color w:val="auto"/>
              </w:rPr>
            </w:pPr>
            <w:r>
              <w:rPr>
                <w:rFonts w:ascii="Arial" w:cs="Arial" w:eastAsia="Arial" w:hAnsi="Arial"/>
                <w:sz w:val="14"/>
                <w:szCs w:val="14"/>
                <w:color w:val="auto"/>
                <w:w w:val="83"/>
              </w:rPr>
              <w:t>2009</w:t>
            </w:r>
          </w:p>
        </w:tc>
        <w:tc>
          <w:tcPr>
            <w:tcW w:w="380" w:type="dxa"/>
            <w:vAlign w:val="bottom"/>
          </w:tcPr>
          <w:p>
            <w:pPr>
              <w:spacing w:after="0"/>
              <w:rPr>
                <w:sz w:val="12"/>
                <w:szCs w:val="12"/>
                <w:color w:val="auto"/>
              </w:rPr>
            </w:pPr>
          </w:p>
        </w:tc>
        <w:tc>
          <w:tcPr>
            <w:tcW w:w="680" w:type="dxa"/>
            <w:vAlign w:val="bottom"/>
          </w:tcPr>
          <w:p>
            <w:pPr>
              <w:jc w:val="right"/>
              <w:ind w:right="301"/>
              <w:spacing w:after="0" w:line="142" w:lineRule="exact"/>
              <w:rPr>
                <w:sz w:val="20"/>
                <w:szCs w:val="20"/>
                <w:color w:val="auto"/>
              </w:rPr>
            </w:pPr>
            <w:r>
              <w:rPr>
                <w:rFonts w:ascii="Arial" w:cs="Arial" w:eastAsia="Arial" w:hAnsi="Arial"/>
                <w:sz w:val="14"/>
                <w:szCs w:val="14"/>
                <w:color w:val="auto"/>
                <w:w w:val="89"/>
              </w:rPr>
              <w:t>2010</w:t>
            </w:r>
          </w:p>
        </w:tc>
        <w:tc>
          <w:tcPr>
            <w:tcW w:w="38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Arial" w:cs="Arial" w:eastAsia="Arial" w:hAnsi="Arial"/>
                <w:sz w:val="14"/>
                <w:szCs w:val="14"/>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25</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28</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78</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4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w:t>
            </w:r>
          </w:p>
        </w:tc>
        <w:tc>
          <w:tcPr>
            <w:tcW w:w="6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60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60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187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September 30, 2010, there was $312 million of unrecognized pretax compensation cost related to nonvested stock options and $312 million related to nonvested RSUs.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employee cost associated with participation in the employee stock purchase plan was satisfied with payroll deductions of approximately $13 million and $39 million for the three and nine months ended September 30, 2010, respectively. For the three and nine months ended September 30, 2009, the employee cost was $11 million and $38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jc w:val="right"/>
              <w:ind w:right="439"/>
              <w:spacing w:after="0" w:line="142" w:lineRule="exact"/>
              <w:rPr>
                <w:sz w:val="20"/>
                <w:szCs w:val="20"/>
                <w:color w:val="auto"/>
              </w:rPr>
            </w:pPr>
            <w:r>
              <w:rPr>
                <w:rFonts w:ascii="Arial" w:cs="Arial" w:eastAsia="Arial" w:hAnsi="Arial"/>
                <w:sz w:val="14"/>
                <w:szCs w:val="14"/>
                <w:color w:val="auto"/>
                <w:w w:val="89"/>
              </w:rPr>
              <w:t>2010</w:t>
            </w:r>
          </w:p>
        </w:tc>
        <w:tc>
          <w:tcPr>
            <w:tcW w:w="460" w:type="dxa"/>
            <w:vAlign w:val="bottom"/>
          </w:tcPr>
          <w:p>
            <w:pPr>
              <w:spacing w:after="0"/>
              <w:rPr>
                <w:sz w:val="12"/>
                <w:szCs w:val="12"/>
                <w:color w:val="auto"/>
              </w:rPr>
            </w:pPr>
          </w:p>
        </w:tc>
        <w:tc>
          <w:tcPr>
            <w:tcW w:w="540" w:type="dxa"/>
            <w:vAlign w:val="bottom"/>
          </w:tcPr>
          <w:p>
            <w:pPr>
              <w:jc w:val="right"/>
              <w:ind w:right="156"/>
              <w:spacing w:after="0" w:line="142" w:lineRule="exact"/>
              <w:rPr>
                <w:sz w:val="20"/>
                <w:szCs w:val="20"/>
                <w:color w:val="auto"/>
              </w:rPr>
            </w:pPr>
            <w:r>
              <w:rPr>
                <w:rFonts w:ascii="Arial" w:cs="Arial" w:eastAsia="Arial" w:hAnsi="Arial"/>
                <w:sz w:val="14"/>
                <w:szCs w:val="14"/>
                <w:color w:val="auto"/>
                <w:w w:val="8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7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319"/>
              <w:spacing w:after="0"/>
              <w:rPr>
                <w:sz w:val="20"/>
                <w:szCs w:val="20"/>
                <w:color w:val="auto"/>
              </w:rPr>
            </w:pPr>
            <w:r>
              <w:rPr>
                <w:rFonts w:ascii="Arial" w:cs="Arial" w:eastAsia="Arial" w:hAnsi="Arial"/>
                <w:sz w:val="18"/>
                <w:szCs w:val="18"/>
                <w:color w:val="auto"/>
              </w:rPr>
              <w:t>22</w:t>
            </w:r>
          </w:p>
        </w:tc>
        <w:tc>
          <w:tcPr>
            <w:tcW w:w="4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74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Unrealized gains (losses) on employee benefit obligations</w:t>
            </w:r>
          </w:p>
        </w:tc>
        <w:tc>
          <w:tcPr>
            <w:tcW w:w="7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59"/>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8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income (loss), net of deferred taxes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b w:val="1"/>
                <w:bCs w:val="1"/>
                <w:color w:val="auto"/>
              </w:rPr>
              <w:t>(116)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losses on cash flow hedges in the table above relate primarily to interest rate lock agreements and interest rate collars. As of September 30, 2010, we expect $16 million of unrealized losses, $10 million net of deferred taxes, related to the interest rate lock agreements, to be reclassified as an adjustment to interest expense over the next 12 months.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Statement of Cash Flows—Supplemental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adjustments to reconcile net income from consolidated operations to net cash provided by operating activities.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3"/>
          </w:tcPr>
          <w:p>
            <w:pPr>
              <w:jc w:val="right"/>
              <w:ind w:right="294"/>
              <w:spacing w:after="0"/>
              <w:rPr>
                <w:sz w:val="20"/>
                <w:szCs w:val="20"/>
                <w:color w:val="auto"/>
              </w:rPr>
            </w:pPr>
            <w:r>
              <w:rPr>
                <w:rFonts w:ascii="Arial" w:cs="Arial" w:eastAsia="Arial" w:hAnsi="Arial"/>
                <w:sz w:val="14"/>
                <w:szCs w:val="14"/>
                <w:color w:val="auto"/>
              </w:rPr>
              <w:t>Nine Months Ended</w:t>
            </w:r>
          </w:p>
        </w:tc>
      </w:tr>
      <w:tr>
        <w:trPr>
          <w:trHeight w:val="172"/>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4"/>
                <w:szCs w:val="14"/>
                <w:color w:val="auto"/>
              </w:rPr>
            </w:pPr>
          </w:p>
        </w:tc>
      </w:tr>
      <w:tr>
        <w:trPr>
          <w:trHeight w:val="143"/>
        </w:trPr>
        <w:tc>
          <w:tcPr>
            <w:tcW w:w="69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jc w:val="right"/>
              <w:ind w:right="358"/>
              <w:spacing w:after="0" w:line="143" w:lineRule="exact"/>
              <w:rPr>
                <w:sz w:val="20"/>
                <w:szCs w:val="20"/>
                <w:color w:val="auto"/>
              </w:rPr>
            </w:pPr>
            <w:r>
              <w:rPr>
                <w:rFonts w:ascii="Arial" w:cs="Arial" w:eastAsia="Arial" w:hAnsi="Arial"/>
                <w:sz w:val="14"/>
                <w:szCs w:val="14"/>
                <w:color w:val="auto"/>
              </w:rPr>
              <w:t>2010</w:t>
            </w:r>
          </w:p>
        </w:tc>
        <w:tc>
          <w:tcPr>
            <w:tcW w:w="880" w:type="dxa"/>
            <w:vAlign w:val="bottom"/>
            <w:gridSpan w:val="2"/>
          </w:tcPr>
          <w:p>
            <w:pPr>
              <w:jc w:val="right"/>
              <w:ind w:right="154"/>
              <w:spacing w:after="0" w:line="143" w:lineRule="exact"/>
              <w:rPr>
                <w:sz w:val="20"/>
                <w:szCs w:val="20"/>
                <w:color w:val="auto"/>
              </w:rPr>
            </w:pPr>
            <w:r>
              <w:rPr>
                <w:rFonts w:ascii="Arial" w:cs="Arial" w:eastAsia="Arial" w:hAnsi="Arial"/>
                <w:sz w:val="14"/>
                <w:szCs w:val="14"/>
                <w:color w:val="auto"/>
              </w:rPr>
              <w:t>2009</w:t>
            </w: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from consolidated operations</w:t>
            </w:r>
          </w:p>
        </w:tc>
        <w:tc>
          <w:tcPr>
            <w:tcW w:w="6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1280" w:type="dxa"/>
            <w:vAlign w:val="bottom"/>
            <w:tcBorders>
              <w:top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color w:val="auto"/>
              </w:rPr>
              <w:t>$ 2,635</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4"/>
              </w:rPr>
              <w:t>2,668</w:t>
            </w: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Arial" w:cs="Arial" w:eastAsia="Arial" w:hAnsi="Arial"/>
                <w:sz w:val="18"/>
                <w:szCs w:val="18"/>
                <w:color w:val="auto"/>
                <w:w w:val="94"/>
              </w:rPr>
              <w:t>Adjustments to reconcile net income from consolidated operations to net cash provided by operating activities:</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Depreciation</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4,167</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4,148</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jc w:val="right"/>
              <w:ind w:right="218"/>
              <w:spacing w:after="0"/>
              <w:rPr>
                <w:sz w:val="20"/>
                <w:szCs w:val="20"/>
                <w:color w:val="auto"/>
              </w:rPr>
            </w:pPr>
            <w:r>
              <w:rPr>
                <w:rFonts w:ascii="Arial" w:cs="Arial" w:eastAsia="Arial" w:hAnsi="Arial"/>
                <w:sz w:val="18"/>
                <w:szCs w:val="18"/>
                <w:color w:val="auto"/>
              </w:rPr>
              <w:t>746</w:t>
            </w:r>
          </w:p>
        </w:tc>
        <w:tc>
          <w:tcPr>
            <w:tcW w:w="3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760</w:t>
            </w: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Noncash interest expense (income), net</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jc w:val="right"/>
              <w:ind w:right="218"/>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98</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(Gains) losses on investments and noncash other (income) expense, net</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jc w:val="right"/>
              <w:ind w:right="158"/>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income taxes</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(241)</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572</w:t>
            </w: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w w:val="97"/>
              </w:rPr>
              <w:t>Changes in operating assets and liabilities, net of effects of acquisitions and divestitures: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Change in accounts receivable, net</w:t>
            </w:r>
          </w:p>
        </w:tc>
        <w:tc>
          <w:tcPr>
            <w:tcW w:w="6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jc w:val="right"/>
              <w:ind w:right="218"/>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Change in other operating assets and liabilities</w:t>
            </w:r>
          </w:p>
        </w:tc>
        <w:tc>
          <w:tcPr>
            <w:tcW w:w="6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color w:val="auto"/>
              </w:rPr>
              <w:t>162</w:t>
            </w:r>
          </w:p>
        </w:tc>
        <w:tc>
          <w:tcPr>
            <w:tcW w:w="3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(554)</w:t>
            </w:r>
          </w:p>
        </w:tc>
      </w:tr>
      <w:tr>
        <w:trPr>
          <w:trHeight w:val="217"/>
        </w:trPr>
        <w:tc>
          <w:tcPr>
            <w:tcW w:w="20" w:type="dxa"/>
            <w:vAlign w:val="bottom"/>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$ 7,732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4"/>
              </w:rPr>
              <w:t>7,725</w:t>
            </w:r>
          </w:p>
        </w:tc>
      </w:tr>
      <w:tr>
        <w:trPr>
          <w:trHeight w:val="403"/>
        </w:trPr>
        <w:tc>
          <w:tcPr>
            <w:tcW w:w="20" w:type="dxa"/>
            <w:vAlign w:val="bottom"/>
          </w:tcPr>
          <w:p>
            <w:pPr>
              <w:spacing w:after="0"/>
              <w:rPr>
                <w:sz w:val="24"/>
                <w:szCs w:val="24"/>
                <w:color w:val="auto"/>
              </w:rPr>
            </w:pPr>
          </w:p>
        </w:tc>
        <w:tc>
          <w:tcPr>
            <w:tcW w:w="8280" w:type="dxa"/>
            <w:vAlign w:val="bottom"/>
            <w:gridSpan w:val="3"/>
          </w:tcPr>
          <w:p>
            <w:pPr>
              <w:ind w:left="3780"/>
              <w:spacing w:after="0"/>
              <w:rPr>
                <w:sz w:val="20"/>
                <w:szCs w:val="20"/>
                <w:color w:val="auto"/>
              </w:rPr>
            </w:pPr>
            <w:r>
              <w:rPr>
                <w:rFonts w:ascii="Arial" w:cs="Arial" w:eastAsia="Arial" w:hAnsi="Arial"/>
                <w:sz w:val="18"/>
                <w:szCs w:val="18"/>
                <w:b w:val="1"/>
                <w:bCs w:val="1"/>
                <w:color w:val="auto"/>
              </w:rPr>
              <w:t>Cash Payments for Interest and Income Taxes</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61"/>
        </w:trPr>
        <w:tc>
          <w:tcPr>
            <w:tcW w:w="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color w:val="auto"/>
              </w:rPr>
              <w:t>Three Months Ended</w:t>
            </w:r>
          </w:p>
        </w:tc>
        <w:tc>
          <w:tcPr>
            <w:tcW w:w="2160" w:type="dxa"/>
            <w:vAlign w:val="bottom"/>
            <w:gridSpan w:val="3"/>
          </w:tcPr>
          <w:p>
            <w:pPr>
              <w:jc w:val="right"/>
              <w:ind w:right="254"/>
              <w:spacing w:after="0"/>
              <w:rPr>
                <w:sz w:val="20"/>
                <w:szCs w:val="20"/>
                <w:color w:val="auto"/>
              </w:rPr>
            </w:pPr>
            <w:r>
              <w:rPr>
                <w:rFonts w:ascii="Arial" w:cs="Arial" w:eastAsia="Arial" w:hAnsi="Arial"/>
                <w:sz w:val="14"/>
                <w:szCs w:val="14"/>
                <w:color w:val="auto"/>
              </w:rPr>
              <w:t>Nine Months Ended</w:t>
            </w:r>
          </w:p>
        </w:tc>
      </w:tr>
      <w:tr>
        <w:trPr>
          <w:trHeight w:val="172"/>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5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4"/>
                <w:szCs w:val="14"/>
                <w:color w:val="auto"/>
              </w:rPr>
            </w:pPr>
          </w:p>
        </w:tc>
      </w:tr>
      <w:tr>
        <w:trPr>
          <w:trHeight w:val="143"/>
        </w:trPr>
        <w:tc>
          <w:tcPr>
            <w:tcW w:w="694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720" w:type="dxa"/>
            <w:vAlign w:val="bottom"/>
          </w:tcPr>
          <w:p>
            <w:pPr>
              <w:jc w:val="right"/>
              <w:ind w:right="364"/>
              <w:spacing w:after="0" w:line="143" w:lineRule="exact"/>
              <w:rPr>
                <w:sz w:val="20"/>
                <w:szCs w:val="20"/>
                <w:color w:val="auto"/>
              </w:rPr>
            </w:pPr>
            <w:r>
              <w:rPr>
                <w:rFonts w:ascii="Arial" w:cs="Arial" w:eastAsia="Arial" w:hAnsi="Arial"/>
                <w:sz w:val="14"/>
                <w:szCs w:val="14"/>
                <w:color w:val="auto"/>
                <w:w w:val="83"/>
              </w:rPr>
              <w:t>2010</w:t>
            </w:r>
          </w:p>
        </w:tc>
        <w:tc>
          <w:tcPr>
            <w:tcW w:w="400" w:type="dxa"/>
            <w:vAlign w:val="bottom"/>
          </w:tcPr>
          <w:p>
            <w:pPr>
              <w:spacing w:after="0"/>
              <w:rPr>
                <w:sz w:val="12"/>
                <w:szCs w:val="12"/>
                <w:color w:val="auto"/>
              </w:rPr>
            </w:pPr>
          </w:p>
        </w:tc>
        <w:tc>
          <w:tcPr>
            <w:tcW w:w="560" w:type="dxa"/>
            <w:vAlign w:val="bottom"/>
          </w:tcPr>
          <w:p>
            <w:pPr>
              <w:jc w:val="right"/>
              <w:ind w:right="199"/>
              <w:spacing w:after="0" w:line="143" w:lineRule="exact"/>
              <w:rPr>
                <w:sz w:val="20"/>
                <w:szCs w:val="20"/>
                <w:color w:val="auto"/>
              </w:rPr>
            </w:pPr>
            <w:r>
              <w:rPr>
                <w:rFonts w:ascii="Arial" w:cs="Arial" w:eastAsia="Arial" w:hAnsi="Arial"/>
                <w:sz w:val="14"/>
                <w:szCs w:val="14"/>
                <w:color w:val="auto"/>
                <w:w w:val="83"/>
              </w:rPr>
              <w:t>2009</w:t>
            </w:r>
          </w:p>
        </w:tc>
        <w:tc>
          <w:tcPr>
            <w:tcW w:w="1280" w:type="dxa"/>
            <w:vAlign w:val="bottom"/>
          </w:tcPr>
          <w:p>
            <w:pPr>
              <w:jc w:val="center"/>
              <w:ind w:left="78"/>
              <w:spacing w:after="0" w:line="143" w:lineRule="exact"/>
              <w:rPr>
                <w:sz w:val="20"/>
                <w:szCs w:val="20"/>
                <w:color w:val="auto"/>
              </w:rPr>
            </w:pPr>
            <w:r>
              <w:rPr>
                <w:rFonts w:ascii="Arial" w:cs="Arial" w:eastAsia="Arial" w:hAnsi="Arial"/>
                <w:sz w:val="14"/>
                <w:szCs w:val="14"/>
                <w:color w:val="auto"/>
                <w:w w:val="89"/>
              </w:rPr>
              <w:t>2010</w:t>
            </w:r>
          </w:p>
        </w:tc>
        <w:tc>
          <w:tcPr>
            <w:tcW w:w="380" w:type="dxa"/>
            <w:vAlign w:val="bottom"/>
          </w:tcPr>
          <w:p>
            <w:pPr>
              <w:spacing w:after="0"/>
              <w:rPr>
                <w:sz w:val="12"/>
                <w:szCs w:val="12"/>
                <w:color w:val="auto"/>
              </w:rPr>
            </w:pPr>
          </w:p>
        </w:tc>
        <w:tc>
          <w:tcPr>
            <w:tcW w:w="500" w:type="dxa"/>
            <w:vAlign w:val="bottom"/>
          </w:tcPr>
          <w:p>
            <w:pPr>
              <w:jc w:val="right"/>
              <w:ind w:right="94"/>
              <w:spacing w:after="0" w:line="143" w:lineRule="exact"/>
              <w:rPr>
                <w:sz w:val="20"/>
                <w:szCs w:val="20"/>
                <w:color w:val="auto"/>
              </w:rPr>
            </w:pPr>
            <w:r>
              <w:rPr>
                <w:rFonts w:ascii="Arial" w:cs="Arial" w:eastAsia="Arial" w:hAnsi="Arial"/>
                <w:sz w:val="14"/>
                <w:szCs w:val="14"/>
                <w:color w:val="auto"/>
                <w:w w:val="96"/>
              </w:rPr>
              <w:t>2009</w:t>
            </w: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661</w:t>
            </w:r>
          </w:p>
        </w:tc>
        <w:tc>
          <w:tcPr>
            <w:tcW w:w="4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jc w:val="right"/>
              <w:ind w:right="59"/>
              <w:spacing w:after="0"/>
              <w:rPr>
                <w:sz w:val="20"/>
                <w:szCs w:val="20"/>
                <w:color w:val="auto"/>
              </w:rPr>
            </w:pPr>
            <w:r>
              <w:rPr>
                <w:rFonts w:ascii="Arial" w:cs="Arial" w:eastAsia="Arial" w:hAnsi="Arial"/>
                <w:sz w:val="18"/>
                <w:szCs w:val="18"/>
                <w:color w:val="auto"/>
              </w:rPr>
              <w:t>615</w:t>
            </w:r>
          </w:p>
        </w:tc>
        <w:tc>
          <w:tcPr>
            <w:tcW w:w="1280" w:type="dxa"/>
            <w:vAlign w:val="bottom"/>
            <w:tcBorders>
              <w:top w:val="single" w:sz="8" w:color="auto"/>
            </w:tcBorders>
            <w:shd w:val="clear" w:color="auto" w:fill="E5E5E5"/>
          </w:tcPr>
          <w:p>
            <w:pPr>
              <w:jc w:val="center"/>
              <w:ind w:left="58"/>
              <w:spacing w:after="0"/>
              <w:rPr>
                <w:sz w:val="20"/>
                <w:szCs w:val="20"/>
                <w:color w:val="auto"/>
              </w:rPr>
            </w:pPr>
            <w:r>
              <w:rPr>
                <w:rFonts w:ascii="Arial" w:cs="Arial" w:eastAsia="Arial" w:hAnsi="Arial"/>
                <w:sz w:val="18"/>
                <w:szCs w:val="18"/>
                <w:color w:val="auto"/>
                <w:w w:val="89"/>
              </w:rPr>
              <w:t>$ 1,630</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1,678</w:t>
            </w:r>
          </w:p>
        </w:tc>
      </w:tr>
      <w:tr>
        <w:trPr>
          <w:trHeight w:val="216"/>
        </w:trPr>
        <w:tc>
          <w:tcPr>
            <w:tcW w:w="20" w:type="dxa"/>
            <w:vAlign w:val="bottom"/>
            <w:tcBorders>
              <w:bottom w:val="single" w:sz="8" w:color="auto"/>
            </w:tcBorders>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668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194</w:t>
            </w:r>
          </w:p>
        </w:tc>
        <w:tc>
          <w:tcPr>
            <w:tcW w:w="1280" w:type="dxa"/>
            <w:vAlign w:val="bottom"/>
            <w:tcBorders>
              <w:bottom w:val="single" w:sz="8" w:color="auto"/>
            </w:tcBorders>
          </w:tcPr>
          <w:p>
            <w:pPr>
              <w:jc w:val="center"/>
              <w:ind w:left="58"/>
              <w:spacing w:after="0"/>
              <w:rPr>
                <w:sz w:val="20"/>
                <w:szCs w:val="20"/>
                <w:color w:val="auto"/>
              </w:rPr>
            </w:pPr>
            <w:r>
              <w:rPr>
                <w:rFonts w:ascii="Arial" w:cs="Arial" w:eastAsia="Arial" w:hAnsi="Arial"/>
                <w:sz w:val="18"/>
                <w:szCs w:val="18"/>
                <w:color w:val="auto"/>
                <w:w w:val="89"/>
              </w:rPr>
              <w:t>$ 1,794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Financing and 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2010, we:</w:t>
      </w:r>
    </w:p>
    <w:p>
      <w:pPr>
        <w:spacing w:after="0" w:line="77" w:lineRule="exact"/>
        <w:rPr>
          <w:sz w:val="20"/>
          <w:szCs w:val="20"/>
          <w:color w:val="auto"/>
        </w:rPr>
      </w:pPr>
    </w:p>
    <w:p>
      <w:pPr>
        <w:ind w:left="1020" w:right="1260" w:hanging="215"/>
        <w:spacing w:after="0" w:line="26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recorded a liability of approximately $264 million for a quarterly cash dividend of $0.0945 per common share paid in October 2010, which is a noncash financing activity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0" w:right="1260" w:hanging="215"/>
        <w:spacing w:after="0" w:line="26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acquired approximately $554 million of property and equipment and software that was accrued but unpaid, which is a noncash investing activity</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of our subsidiaries supports debt compliance with respect to obligations of a cable system in which we hold an ownership interest, which expires March 2011. Although there can be no assurance, we believe that this cable system will be able to support its debt compliance requirements on its own and that we will not be required to fund our obligation under this commitment. The total notional amount of our commitment was $410 million as of September 30, 2010, at which time there were no quoted market prices for similar agreements.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Classes of Philadelphia Cluster and Chicago Cluster customers were certified in May 2007 and October 2007, respectively. In March 2009, as a result of a Third Circuit Court of Appeals decision clarifying the standards for class certification, the order certifying the Philadelphia Cluster class was vacated without prejudice to the plaintiffs filing a new motion. In January 2010, in its decision on the plaintiffs’ new motion, the Eastern District of Pennsylvania certified a class subject to certain limitations. In June 2010, the Third Circuit Court of Appeals granted our petition for an interlocutory appeal from the class certification decision. In March 2010, we moved for summary judgment dismissing all of the plaintiffs’ claims in the Philadelphia Cluster; the summary judgment motion is stayed pending the class certification appeal. The plaintiffs’ claims concerning the other two clusters are stayed pending determination of the Philadelphia Cluster claims.</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The plaintiffs have appealed that order to the Ninth Circuit Court of Appeals.</w:t>
      </w:r>
    </w:p>
    <w:p>
      <w:pPr>
        <w:spacing w:after="0" w:line="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violations of additional state antitrust laws and unfair/deceptive trade practices acts on behalf of new subclasses in Connecticut, Florida, Minnesota, Missouri, New Jersey, New Mexico and West Virginia. In the amended complaint, plaintiffs dropped their unjust enrichment claim, as well as their state law claims on behalf of the Alabama, Illinois, and Pennsylvania subclasses.</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West Virginia Attorney General also filed a complaint in West Virginia state court in July 2009 alleging that we improperly “tie” the rental of set-top boxes to the provision of premium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his claims seeking civil penalties and injunctive relief back to West Virginia state court. We filed a brief in opposition to the motion in July 2010.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 Litigation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and several of our current officers have been named as defendants in a purported class action lawsuit filed in the United States District Court for the Eastern District of Pennsylvania in February 2008. The potential class comprises participants in our retirement investment (401(k)) plan that invested in the plan’s company stock account. The plaintiffs assert that the defendants breached their fiduciary duties under the Employee Retirement Income Security Act of 1974 (ERISA) in managing the plan by allowing participants to continue to invest in the company stock account during a time in 2007 when we allegedly knew (but had not disclosed) that we would not meet our forecasted results. In July 2010, the parties agreed to settle this action with a payment by us of $5 million and our agreement to take certain action with respect to the administration of the plan.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the claims in each of the actions described above in this item are without merit and intend to defend the actions vigorously. Although we cannot predict the outcome of any of the actions described above or how the final resolution of any such actions would impact our results of operations or cash flows for any one period or our consolidated financial condition,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Financial Data by Business Segment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reportable segments consist of our Cable and Programming businesses. In evaluating the profitability of our segments, the components of net income (loss) below operating income (loss) before depreciation and amortization are not separately evaluated by our management. Assets are not allocated to segments for management reporting, although over 95% of our assets relate to the Cable segment. Our financial data by business segment is presented in the table below.</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gridSpan w:val="2"/>
          </w:tcPr>
          <w:p>
            <w:pPr>
              <w:ind w:left="300"/>
              <w:spacing w:after="0" w:line="158" w:lineRule="exact"/>
              <w:rPr>
                <w:sz w:val="20"/>
                <w:szCs w:val="20"/>
                <w:color w:val="auto"/>
              </w:rPr>
            </w:pPr>
            <w:r>
              <w:rPr>
                <w:rFonts w:ascii="Arial" w:cs="Arial" w:eastAsia="Arial" w:hAnsi="Arial"/>
                <w:sz w:val="14"/>
                <w:szCs w:val="14"/>
                <w:color w:val="auto"/>
              </w:rPr>
              <w:t>Corporate and</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2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Cable(a)(b)</w:t>
            </w:r>
          </w:p>
        </w:tc>
        <w:tc>
          <w:tcPr>
            <w:tcW w:w="150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Programming(c)</w:t>
            </w:r>
          </w:p>
        </w:tc>
        <w:tc>
          <w:tcPr>
            <w:tcW w:w="1400" w:type="dxa"/>
            <w:vAlign w:val="bottom"/>
            <w:gridSpan w:val="2"/>
          </w:tcPr>
          <w:p>
            <w:pPr>
              <w:jc w:val="right"/>
              <w:ind w:right="332"/>
              <w:spacing w:after="0" w:line="159" w:lineRule="exact"/>
              <w:rPr>
                <w:sz w:val="20"/>
                <w:szCs w:val="20"/>
                <w:color w:val="auto"/>
              </w:rPr>
            </w:pPr>
            <w:r>
              <w:rPr>
                <w:rFonts w:ascii="Arial" w:cs="Arial" w:eastAsia="Arial" w:hAnsi="Arial"/>
                <w:sz w:val="14"/>
                <w:szCs w:val="14"/>
                <w:color w:val="auto"/>
              </w:rPr>
              <w:t>Other(d)(e)</w:t>
            </w:r>
          </w:p>
        </w:tc>
        <w:tc>
          <w:tcPr>
            <w:tcW w:w="14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Eliminations(f)</w:t>
            </w:r>
          </w:p>
        </w:tc>
        <w:tc>
          <w:tcPr>
            <w:tcW w:w="400" w:type="dxa"/>
            <w:vAlign w:val="bottom"/>
          </w:tcPr>
          <w:p>
            <w:pPr>
              <w:spacing w:after="0"/>
              <w:rPr>
                <w:sz w:val="13"/>
                <w:szCs w:val="13"/>
                <w:color w:val="auto"/>
              </w:rPr>
            </w:pPr>
          </w:p>
        </w:tc>
        <w:tc>
          <w:tcPr>
            <w:tcW w:w="480" w:type="dxa"/>
            <w:vAlign w:val="bottom"/>
          </w:tcPr>
          <w:p>
            <w:pPr>
              <w:jc w:val="right"/>
              <w:ind w:right="73"/>
              <w:spacing w:after="0" w:line="15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2010</w:t>
            </w:r>
          </w:p>
        </w:tc>
        <w:tc>
          <w:tcPr>
            <w:tcW w:w="3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Revenue(g)</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8,981</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416</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174</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(82)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w w:val="96"/>
              </w:rPr>
              <w:t>Operating income (loss) before depreciation and amortization(h)</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3,546</w:t>
            </w: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150</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(115)</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1,552</w:t>
            </w:r>
          </w:p>
        </w:tc>
        <w:tc>
          <w:tcPr>
            <w:tcW w:w="60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8"/>
                <w:szCs w:val="18"/>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1,994</w:t>
            </w: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98</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(144)</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6</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1,318</w:t>
            </w:r>
          </w:p>
        </w:tc>
        <w:tc>
          <w:tcPr>
            <w:tcW w:w="600" w:type="dxa"/>
            <w:vAlign w:val="bottom"/>
          </w:tcPr>
          <w:p>
            <w:pPr>
              <w:spacing w:after="0"/>
              <w:rPr>
                <w:sz w:val="19"/>
                <w:szCs w:val="19"/>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Three months ended September 30, 2009</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Revenue(g)(i)(j)</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8,402</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383</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153</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(93)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w w:val="93"/>
              </w:rPr>
              <w:t>Operating income (loss) before depreciation and amortization(h)(i)</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3,312</w:t>
            </w: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118</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(104)</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 and amortization(i)</w:t>
            </w:r>
          </w:p>
        </w:tc>
        <w:tc>
          <w:tcPr>
            <w:tcW w:w="38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1,545</w:t>
            </w:r>
          </w:p>
        </w:tc>
        <w:tc>
          <w:tcPr>
            <w:tcW w:w="60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(loss)(i)</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1,767</w:t>
            </w: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69</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(130)</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5</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1,212</w:t>
            </w:r>
          </w:p>
        </w:tc>
        <w:tc>
          <w:tcPr>
            <w:tcW w:w="600" w:type="dxa"/>
            <w:vAlign w:val="bottom"/>
          </w:tcPr>
          <w:p>
            <w:pPr>
              <w:spacing w:after="0"/>
              <w:rPr>
                <w:sz w:val="19"/>
                <w:szCs w:val="19"/>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2010</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Revenue(g)</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w w:val="90"/>
              </w:rPr>
              <w:t>26,607</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1,255</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630</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(276)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w w:val="96"/>
              </w:rPr>
              <w:t>Operating income (loss) before depreciation and amortization(h)</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90"/>
              </w:rPr>
              <w:t>10,786</w:t>
            </w: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423</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10,880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4,696</w:t>
            </w:r>
          </w:p>
        </w:tc>
        <w:tc>
          <w:tcPr>
            <w:tcW w:w="60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155</w:t>
            </w:r>
          </w:p>
        </w:tc>
        <w:tc>
          <w:tcPr>
            <w:tcW w:w="560" w:type="dxa"/>
            <w:vAlign w:val="bottom"/>
          </w:tcPr>
          <w:p>
            <w:pPr>
              <w:spacing w:after="0"/>
              <w:rPr>
                <w:sz w:val="18"/>
                <w:szCs w:val="18"/>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6,090</w:t>
            </w: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268</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(410)</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19</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3,351</w:t>
            </w:r>
          </w:p>
        </w:tc>
        <w:tc>
          <w:tcPr>
            <w:tcW w:w="600" w:type="dxa"/>
            <w:vAlign w:val="bottom"/>
          </w:tcPr>
          <w:p>
            <w:pPr>
              <w:spacing w:after="0"/>
              <w:rPr>
                <w:sz w:val="19"/>
                <w:szCs w:val="19"/>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9"/>
                <w:szCs w:val="19"/>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Nine months ended September 30, 2009</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Revenue(g)(i)(j)</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12"/>
              <w:spacing w:after="0"/>
              <w:rPr>
                <w:sz w:val="20"/>
                <w:szCs w:val="20"/>
                <w:color w:val="auto"/>
              </w:rPr>
            </w:pPr>
            <w:r>
              <w:rPr>
                <w:rFonts w:ascii="Arial" w:cs="Arial" w:eastAsia="Arial" w:hAnsi="Arial"/>
                <w:sz w:val="18"/>
                <w:szCs w:val="18"/>
                <w:color w:val="auto"/>
                <w:w w:val="90"/>
              </w:rPr>
              <w:t>25,303</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1,128</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509</w:t>
            </w:r>
          </w:p>
        </w:tc>
        <w:tc>
          <w:tcPr>
            <w:tcW w:w="58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(251)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w w:val="93"/>
              </w:rPr>
              <w:t>Operating income (loss) before depreciation and amortization(h)(i)</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w w:val="90"/>
              </w:rPr>
              <w:t>10,215</w:t>
            </w: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343</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(252)</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3"/>
              </w:rPr>
              <w:t>10,305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 and amortization(i)</w:t>
            </w:r>
          </w:p>
        </w:tc>
        <w:tc>
          <w:tcPr>
            <w:tcW w:w="38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4,708</w:t>
            </w:r>
          </w:p>
        </w:tc>
        <w:tc>
          <w:tcPr>
            <w:tcW w:w="60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146</w:t>
            </w:r>
          </w:p>
        </w:tc>
        <w:tc>
          <w:tcPr>
            <w:tcW w:w="560" w:type="dxa"/>
            <w:vAlign w:val="bottom"/>
          </w:tcPr>
          <w:p>
            <w:pPr>
              <w:spacing w:after="0"/>
              <w:rPr>
                <w:sz w:val="18"/>
                <w:szCs w:val="18"/>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(loss)(i)</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5,507</w:t>
            </w:r>
          </w:p>
        </w:tc>
        <w:tc>
          <w:tcPr>
            <w:tcW w:w="6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197</w:t>
            </w: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(328)</w:t>
            </w:r>
          </w:p>
        </w:tc>
        <w:tc>
          <w:tcPr>
            <w:tcW w:w="5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21</w:t>
            </w:r>
          </w:p>
        </w:tc>
        <w:tc>
          <w:tcPr>
            <w:tcW w:w="40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3,450</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23</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Cable segment revenue was derived from the following services:</w:t>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780" w:type="dxa"/>
            <w:vAlign w:val="bottom"/>
            <w:gridSpan w:val="2"/>
          </w:tcPr>
          <w:p>
            <w:pPr>
              <w:jc w:val="right"/>
              <w:ind w:right="712"/>
              <w:spacing w:after="0"/>
              <w:rPr>
                <w:sz w:val="20"/>
                <w:szCs w:val="20"/>
                <w:color w:val="auto"/>
              </w:rPr>
            </w:pPr>
            <w:r>
              <w:rPr>
                <w:rFonts w:ascii="Arial" w:cs="Arial" w:eastAsia="Arial" w:hAnsi="Arial"/>
                <w:sz w:val="14"/>
                <w:szCs w:val="14"/>
                <w:color w:val="auto"/>
              </w:rPr>
              <w:t>Three Months Ended</w:t>
            </w:r>
          </w:p>
        </w:tc>
        <w:tc>
          <w:tcPr>
            <w:tcW w:w="2140" w:type="dxa"/>
            <w:vAlign w:val="bottom"/>
            <w:gridSpan w:val="2"/>
          </w:tcPr>
          <w:p>
            <w:pPr>
              <w:jc w:val="right"/>
              <w:ind w:right="412"/>
              <w:spacing w:after="0"/>
              <w:rPr>
                <w:sz w:val="20"/>
                <w:szCs w:val="20"/>
                <w:color w:val="auto"/>
              </w:rPr>
            </w:pPr>
            <w:r>
              <w:rPr>
                <w:rFonts w:ascii="Arial" w:cs="Arial" w:eastAsia="Arial" w:hAnsi="Arial"/>
                <w:sz w:val="14"/>
                <w:szCs w:val="14"/>
                <w:color w:val="auto"/>
              </w:rPr>
              <w:t>Nine Months Ended</w:t>
            </w:r>
          </w:p>
        </w:tc>
      </w:tr>
      <w:tr>
        <w:trPr>
          <w:trHeight w:val="173"/>
        </w:trPr>
        <w:tc>
          <w:tcPr>
            <w:tcW w:w="6140" w:type="dxa"/>
            <w:vAlign w:val="bottom"/>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w:t>
            </w: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5"/>
                <w:szCs w:val="15"/>
                <w:color w:val="auto"/>
              </w:rPr>
            </w:pPr>
          </w:p>
        </w:tc>
      </w:tr>
      <w:tr>
        <w:trPr>
          <w:trHeight w:val="237"/>
        </w:trPr>
        <w:tc>
          <w:tcPr>
            <w:tcW w:w="6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rPr>
              <w:t>2010</w:t>
            </w: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2009</w:t>
            </w:r>
          </w:p>
        </w:tc>
        <w:tc>
          <w:tcPr>
            <w:tcW w:w="15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color w:val="auto"/>
              </w:rPr>
              <w:t>2010</w:t>
            </w: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96"/>
              </w:rPr>
              <w:t>2009</w:t>
            </w:r>
          </w:p>
        </w:tc>
      </w:tr>
      <w:tr>
        <w:trPr>
          <w:trHeight w:val="142"/>
        </w:trPr>
        <w:tc>
          <w:tcPr>
            <w:tcW w:w="614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Video(j)</w:t>
            </w:r>
          </w:p>
        </w:tc>
        <w:tc>
          <w:tcPr>
            <w:tcW w:w="1860" w:type="dxa"/>
            <w:vAlign w:val="bottom"/>
            <w:shd w:val="clear" w:color="auto" w:fill="E5E5E5"/>
          </w:tcPr>
          <w:p>
            <w:pPr>
              <w:jc w:val="right"/>
              <w:ind w:right="592"/>
              <w:spacing w:after="0" w:line="142" w:lineRule="exact"/>
              <w:rPr>
                <w:sz w:val="20"/>
                <w:szCs w:val="20"/>
                <w:color w:val="auto"/>
              </w:rPr>
            </w:pPr>
            <w:r>
              <w:rPr>
                <w:rFonts w:ascii="Arial" w:cs="Arial" w:eastAsia="Arial" w:hAnsi="Arial"/>
                <w:sz w:val="14"/>
                <w:szCs w:val="14"/>
                <w:color w:val="auto"/>
              </w:rPr>
              <w:t>54.3%</w:t>
            </w:r>
          </w:p>
        </w:tc>
        <w:tc>
          <w:tcPr>
            <w:tcW w:w="920" w:type="dxa"/>
            <w:vAlign w:val="bottom"/>
            <w:shd w:val="clear" w:color="auto" w:fill="E5E5E5"/>
          </w:tcPr>
          <w:p>
            <w:pPr>
              <w:jc w:val="right"/>
              <w:ind w:right="292"/>
              <w:spacing w:after="0" w:line="142" w:lineRule="exact"/>
              <w:rPr>
                <w:sz w:val="20"/>
                <w:szCs w:val="20"/>
                <w:color w:val="auto"/>
              </w:rPr>
            </w:pPr>
            <w:r>
              <w:rPr>
                <w:rFonts w:ascii="Arial" w:cs="Arial" w:eastAsia="Arial" w:hAnsi="Arial"/>
                <w:sz w:val="14"/>
                <w:szCs w:val="14"/>
                <w:color w:val="auto"/>
              </w:rPr>
              <w:t>56.9%</w:t>
            </w:r>
          </w:p>
        </w:tc>
        <w:tc>
          <w:tcPr>
            <w:tcW w:w="1540" w:type="dxa"/>
            <w:vAlign w:val="bottom"/>
            <w:shd w:val="clear" w:color="auto" w:fill="E5E5E5"/>
          </w:tcPr>
          <w:p>
            <w:pPr>
              <w:jc w:val="right"/>
              <w:ind w:right="592"/>
              <w:spacing w:after="0" w:line="142" w:lineRule="exact"/>
              <w:rPr>
                <w:sz w:val="20"/>
                <w:szCs w:val="20"/>
                <w:color w:val="auto"/>
              </w:rPr>
            </w:pPr>
            <w:r>
              <w:rPr>
                <w:rFonts w:ascii="Arial" w:cs="Arial" w:eastAsia="Arial" w:hAnsi="Arial"/>
                <w:sz w:val="14"/>
                <w:szCs w:val="14"/>
                <w:color w:val="auto"/>
              </w:rPr>
              <w:t>55.0%</w:t>
            </w:r>
          </w:p>
        </w:tc>
        <w:tc>
          <w:tcPr>
            <w:tcW w:w="600" w:type="dxa"/>
            <w:vAlign w:val="bottom"/>
            <w:shd w:val="clear" w:color="auto" w:fill="E5E5E5"/>
          </w:tcPr>
          <w:p>
            <w:pPr>
              <w:jc w:val="right"/>
              <w:spacing w:after="0" w:line="142" w:lineRule="exact"/>
              <w:rPr>
                <w:sz w:val="20"/>
                <w:szCs w:val="20"/>
                <w:color w:val="auto"/>
              </w:rPr>
            </w:pPr>
            <w:r>
              <w:rPr>
                <w:rFonts w:ascii="Arial" w:cs="Arial" w:eastAsia="Arial" w:hAnsi="Arial"/>
                <w:sz w:val="14"/>
                <w:szCs w:val="14"/>
                <w:color w:val="auto"/>
              </w:rPr>
              <w:t>57.7%</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High-speed Internet</w:t>
            </w:r>
          </w:p>
        </w:tc>
        <w:tc>
          <w:tcPr>
            <w:tcW w:w="186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24.1%</w:t>
            </w:r>
          </w:p>
        </w:tc>
        <w:tc>
          <w:tcPr>
            <w:tcW w:w="9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23.1%</w:t>
            </w:r>
          </w:p>
        </w:tc>
        <w:tc>
          <w:tcPr>
            <w:tcW w:w="15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23.9%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22.9%</w:t>
            </w:r>
          </w:p>
        </w:tc>
      </w:tr>
      <w:tr>
        <w:trPr>
          <w:trHeight w:val="149"/>
        </w:trPr>
        <w:tc>
          <w:tcPr>
            <w:tcW w:w="6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Phone</w:t>
            </w:r>
          </w:p>
        </w:tc>
        <w:tc>
          <w:tcPr>
            <w:tcW w:w="186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10.4%</w:t>
            </w:r>
          </w:p>
        </w:tc>
        <w:tc>
          <w:tcPr>
            <w:tcW w:w="92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9.9%</w:t>
            </w:r>
          </w:p>
        </w:tc>
        <w:tc>
          <w:tcPr>
            <w:tcW w:w="154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10.2%</w:t>
            </w:r>
          </w:p>
        </w:tc>
        <w:tc>
          <w:tcPr>
            <w:tcW w:w="6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9.6%</w:t>
            </w:r>
          </w:p>
        </w:tc>
      </w:tr>
      <w:tr>
        <w:trPr>
          <w:trHeight w:val="149"/>
        </w:trPr>
        <w:tc>
          <w:tcPr>
            <w:tcW w:w="6140" w:type="dxa"/>
            <w:vAlign w:val="bottom"/>
          </w:tcPr>
          <w:p>
            <w:pPr>
              <w:spacing w:after="0" w:line="149" w:lineRule="exact"/>
              <w:rPr>
                <w:sz w:val="20"/>
                <w:szCs w:val="20"/>
                <w:color w:val="auto"/>
              </w:rPr>
            </w:pPr>
            <w:r>
              <w:rPr>
                <w:rFonts w:ascii="Arial" w:cs="Arial" w:eastAsia="Arial" w:hAnsi="Arial"/>
                <w:sz w:val="14"/>
                <w:szCs w:val="14"/>
                <w:color w:val="auto"/>
              </w:rPr>
              <w:t>Advertising(j)</w:t>
            </w:r>
          </w:p>
        </w:tc>
        <w:tc>
          <w:tcPr>
            <w:tcW w:w="186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5.1%</w:t>
            </w:r>
          </w:p>
        </w:tc>
        <w:tc>
          <w:tcPr>
            <w:tcW w:w="9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4.3%</w:t>
            </w:r>
          </w:p>
        </w:tc>
        <w:tc>
          <w:tcPr>
            <w:tcW w:w="15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4.8%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6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Franchise fees</w:t>
            </w:r>
          </w:p>
        </w:tc>
        <w:tc>
          <w:tcPr>
            <w:tcW w:w="186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2.8%</w:t>
            </w:r>
          </w:p>
        </w:tc>
        <w:tc>
          <w:tcPr>
            <w:tcW w:w="920" w:type="dxa"/>
            <w:vAlign w:val="bottom"/>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2.8%</w:t>
            </w:r>
          </w:p>
        </w:tc>
        <w:tc>
          <w:tcPr>
            <w:tcW w:w="1540" w:type="dxa"/>
            <w:vAlign w:val="bottom"/>
            <w:shd w:val="clear" w:color="auto" w:fill="E5E5E5"/>
          </w:tcPr>
          <w:p>
            <w:pPr>
              <w:jc w:val="right"/>
              <w:ind w:right="592"/>
              <w:spacing w:after="0" w:line="149" w:lineRule="exact"/>
              <w:rPr>
                <w:sz w:val="20"/>
                <w:szCs w:val="20"/>
                <w:color w:val="auto"/>
              </w:rPr>
            </w:pPr>
            <w:r>
              <w:rPr>
                <w:rFonts w:ascii="Arial" w:cs="Arial" w:eastAsia="Arial" w:hAnsi="Arial"/>
                <w:sz w:val="14"/>
                <w:szCs w:val="14"/>
                <w:color w:val="auto"/>
              </w:rPr>
              <w:t>2.8%</w:t>
            </w:r>
          </w:p>
        </w:tc>
        <w:tc>
          <w:tcPr>
            <w:tcW w:w="60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2.8%</w:t>
            </w:r>
          </w:p>
        </w:tc>
      </w:tr>
      <w:tr>
        <w:trPr>
          <w:trHeight w:val="149"/>
        </w:trPr>
        <w:tc>
          <w:tcPr>
            <w:tcW w:w="6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Other(j)</w:t>
            </w:r>
          </w:p>
        </w:tc>
        <w:tc>
          <w:tcPr>
            <w:tcW w:w="1860" w:type="dxa"/>
            <w:vAlign w:val="bottom"/>
            <w:tcBorders>
              <w:bottom w:val="single" w:sz="8" w:color="auto"/>
            </w:tcBorders>
          </w:tcPr>
          <w:p>
            <w:pPr>
              <w:jc w:val="right"/>
              <w:ind w:right="592"/>
              <w:spacing w:after="0" w:line="149" w:lineRule="exact"/>
              <w:rPr>
                <w:sz w:val="20"/>
                <w:szCs w:val="20"/>
                <w:color w:val="auto"/>
              </w:rPr>
            </w:pPr>
            <w:r>
              <w:rPr>
                <w:rFonts w:ascii="Arial" w:cs="Arial" w:eastAsia="Arial" w:hAnsi="Arial"/>
                <w:sz w:val="14"/>
                <w:szCs w:val="14"/>
                <w:color w:val="auto"/>
              </w:rPr>
              <w:t>3.3%</w:t>
            </w:r>
          </w:p>
        </w:tc>
        <w:tc>
          <w:tcPr>
            <w:tcW w:w="92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3.0%</w:t>
            </w:r>
          </w:p>
        </w:tc>
        <w:tc>
          <w:tcPr>
            <w:tcW w:w="1540" w:type="dxa"/>
            <w:vAlign w:val="bottom"/>
            <w:tcBorders>
              <w:bottom w:val="single" w:sz="8" w:color="auto"/>
            </w:tcBorders>
          </w:tcPr>
          <w:p>
            <w:pPr>
              <w:jc w:val="right"/>
              <w:ind w:right="592"/>
              <w:spacing w:after="0" w:line="149" w:lineRule="exact"/>
              <w:rPr>
                <w:sz w:val="20"/>
                <w:szCs w:val="20"/>
                <w:color w:val="auto"/>
              </w:rPr>
            </w:pPr>
            <w:r>
              <w:rPr>
                <w:rFonts w:ascii="Arial" w:cs="Arial" w:eastAsia="Arial" w:hAnsi="Arial"/>
                <w:sz w:val="14"/>
                <w:szCs w:val="14"/>
                <w:color w:val="auto"/>
              </w:rPr>
              <w:t>3.3%</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w:t>
            </w:r>
          </w:p>
        </w:tc>
      </w:tr>
      <w:tr>
        <w:trPr>
          <w:trHeight w:val="149"/>
        </w:trPr>
        <w:tc>
          <w:tcPr>
            <w:tcW w:w="6140" w:type="dxa"/>
            <w:vAlign w:val="bottom"/>
            <w:tcBorders>
              <w:bottom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Total</w:t>
            </w:r>
          </w:p>
        </w:tc>
        <w:tc>
          <w:tcPr>
            <w:tcW w:w="1860" w:type="dxa"/>
            <w:vAlign w:val="bottom"/>
            <w:tcBorders>
              <w:bottom w:val="single" w:sz="8" w:color="auto"/>
            </w:tcBorders>
            <w:shd w:val="clear" w:color="auto" w:fill="E5E5E5"/>
          </w:tcPr>
          <w:p>
            <w:pPr>
              <w:jc w:val="right"/>
              <w:ind w:right="592"/>
              <w:spacing w:after="0" w:line="142" w:lineRule="exact"/>
              <w:rPr>
                <w:sz w:val="20"/>
                <w:szCs w:val="20"/>
                <w:color w:val="auto"/>
              </w:rPr>
            </w:pPr>
            <w:r>
              <w:rPr>
                <w:rFonts w:ascii="Arial" w:cs="Arial" w:eastAsia="Arial" w:hAnsi="Arial"/>
                <w:sz w:val="14"/>
                <w:szCs w:val="14"/>
                <w:color w:val="auto"/>
              </w:rPr>
              <w:t>100.0%</w:t>
            </w:r>
          </w:p>
        </w:tc>
        <w:tc>
          <w:tcPr>
            <w:tcW w:w="920" w:type="dxa"/>
            <w:vAlign w:val="bottom"/>
            <w:tcBorders>
              <w:bottom w:val="single" w:sz="8" w:color="auto"/>
            </w:tcBorders>
            <w:shd w:val="clear" w:color="auto" w:fill="E5E5E5"/>
          </w:tcPr>
          <w:p>
            <w:pPr>
              <w:jc w:val="right"/>
              <w:ind w:right="292"/>
              <w:spacing w:after="0" w:line="142" w:lineRule="exact"/>
              <w:rPr>
                <w:sz w:val="20"/>
                <w:szCs w:val="20"/>
                <w:color w:val="auto"/>
              </w:rPr>
            </w:pPr>
            <w:r>
              <w:rPr>
                <w:rFonts w:ascii="Arial" w:cs="Arial" w:eastAsia="Arial" w:hAnsi="Arial"/>
                <w:sz w:val="14"/>
                <w:szCs w:val="14"/>
                <w:color w:val="auto"/>
              </w:rPr>
              <w:t>100.0%</w:t>
            </w:r>
          </w:p>
        </w:tc>
        <w:tc>
          <w:tcPr>
            <w:tcW w:w="1540" w:type="dxa"/>
            <w:vAlign w:val="bottom"/>
            <w:tcBorders>
              <w:bottom w:val="single" w:sz="8" w:color="auto"/>
            </w:tcBorders>
            <w:shd w:val="clear" w:color="auto" w:fill="E5E5E5"/>
          </w:tcPr>
          <w:p>
            <w:pPr>
              <w:jc w:val="right"/>
              <w:ind w:right="592"/>
              <w:spacing w:after="0" w:line="142" w:lineRule="exact"/>
              <w:rPr>
                <w:sz w:val="20"/>
                <w:szCs w:val="20"/>
                <w:color w:val="auto"/>
              </w:rPr>
            </w:pPr>
            <w:r>
              <w:rPr>
                <w:rFonts w:ascii="Arial" w:cs="Arial" w:eastAsia="Arial" w:hAnsi="Arial"/>
                <w:sz w:val="14"/>
                <w:szCs w:val="14"/>
                <w:color w:val="auto"/>
              </w:rPr>
              <w:t>100.0%</w:t>
            </w:r>
          </w:p>
        </w:tc>
        <w:tc>
          <w:tcPr>
            <w:tcW w:w="600" w:type="dxa"/>
            <w:vAlign w:val="bottom"/>
            <w:tcBorders>
              <w:bottom w:val="single" w:sz="8" w:color="auto"/>
            </w:tcBorders>
            <w:shd w:val="clear" w:color="auto" w:fill="E5E5E5"/>
          </w:tcPr>
          <w:p>
            <w:pPr>
              <w:jc w:val="right"/>
              <w:spacing w:after="0" w:line="142" w:lineRule="exact"/>
              <w:rPr>
                <w:sz w:val="20"/>
                <w:szCs w:val="20"/>
                <w:color w:val="auto"/>
              </w:rPr>
            </w:pPr>
            <w:r>
              <w:rPr>
                <w:rFonts w:ascii="Arial" w:cs="Arial" w:eastAsia="Arial" w:hAnsi="Arial"/>
                <w:sz w:val="14"/>
                <w:szCs w:val="14"/>
                <w:color w:val="auto"/>
              </w:rPr>
              <w:t>100.0%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Cable segment includes our regional sports networks.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Programming segment consists primarily of our consolidated national programming networks, E!, Golf Channel, VERSUS, G4 and Style.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Corporate and Other activities include Comcast Interactive Media, Comcast Spectacor, a portion of the operating results of our less than wholly owned technology development ventures (see “(e)” below), corporate activities and all other businesses not presented in our Cable or Programming segments.</w:t>
      </w:r>
    </w:p>
    <w:p>
      <w:pPr>
        <w:spacing w:after="0" w:line="43" w:lineRule="exact"/>
        <w:rPr>
          <w:rFonts w:ascii="Arial" w:cs="Arial" w:eastAsia="Arial" w:hAnsi="Arial"/>
          <w:sz w:val="14"/>
          <w:szCs w:val="14"/>
          <w:color w:val="auto"/>
        </w:rPr>
      </w:pPr>
    </w:p>
    <w:p>
      <w:pPr>
        <w:jc w:val="both"/>
        <w:ind w:left="340" w:hanging="332"/>
        <w:spacing w:after="0" w:line="23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consolidate our less than wholly owned technology development ventures that we control or of which we are considered the primary beneficiary. These ventures are with Motorola. The ventures have been created to share the costs of development of new technologies for set-top boxes and other devices. The results of these entities are included within Corporate and Other except for cost allocations, which are made to the Cable segment based on our percentage ownership in each entity.</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the Eliminations column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Programming segment generates revenue by selling cable network programming to our Cable segment, which represents a substantial majority of the revenue elimination amount</w:t>
      </w:r>
    </w:p>
    <w:p>
      <w:pPr>
        <w:spacing w:after="0" w:line="43"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Programming segment when negotiating programming contracts that are recorded as a reduction to programming expenses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Cable segment generates revenue by selling advertising and by selling the use of satellite feeds to our Programming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Cable segment generates revenue by providing network services to Comcast Interactive Media</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Non-U.S. revenue was not significant in any period. No single customer accounted for a significant amount of our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reported in accordance with GAAP.</w:t>
      </w:r>
    </w:p>
    <w:p>
      <w:pPr>
        <w:spacing w:after="0" w:line="28" w:lineRule="exact"/>
        <w:rPr>
          <w:rFonts w:ascii="Arial" w:cs="Arial" w:eastAsia="Arial" w:hAnsi="Arial"/>
          <w:sz w:val="12"/>
          <w:szCs w:val="12"/>
          <w:color w:val="auto"/>
        </w:rPr>
      </w:pPr>
    </w:p>
    <w:p>
      <w:pPr>
        <w:jc w:val="both"/>
        <w:ind w:left="340" w:hanging="332"/>
        <w:spacing w:after="0" w:line="23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2009 Cable segment and Corporate and Other amounts have been adjusted for segment reclassifications to be consistent with our 2010 management reporting presentation. The adjustments resulted in the reclassification of revenue, operating income (loss) before depreciation and amortization, depreciation and amortization, and operating income from Corporate and Other to our Cable segment for the amounts presented below.</w:t>
      </w:r>
    </w:p>
    <w:p>
      <w:pPr>
        <w:spacing w:after="0" w:line="3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860" w:type="dxa"/>
            <w:vAlign w:val="bottom"/>
            <w:gridSpan w:val="2"/>
          </w:tcPr>
          <w:p>
            <w:pPr>
              <w:ind w:left="2040"/>
              <w:spacing w:after="0"/>
              <w:rPr>
                <w:sz w:val="20"/>
                <w:szCs w:val="20"/>
                <w:color w:val="auto"/>
              </w:rPr>
            </w:pPr>
            <w:r>
              <w:rPr>
                <w:rFonts w:ascii="Arial" w:cs="Arial" w:eastAsia="Arial" w:hAnsi="Arial"/>
                <w:sz w:val="14"/>
                <w:szCs w:val="14"/>
                <w:color w:val="auto"/>
              </w:rPr>
              <w:t>Three Months Ended</w:t>
            </w:r>
          </w:p>
        </w:tc>
        <w:tc>
          <w:tcPr>
            <w:tcW w:w="1820" w:type="dxa"/>
            <w:vAlign w:val="bottom"/>
            <w:gridSpan w:val="2"/>
          </w:tcPr>
          <w:p>
            <w:pPr>
              <w:ind w:left="640"/>
              <w:spacing w:after="0"/>
              <w:rPr>
                <w:sz w:val="20"/>
                <w:szCs w:val="20"/>
                <w:color w:val="auto"/>
              </w:rPr>
            </w:pPr>
            <w:r>
              <w:rPr>
                <w:rFonts w:ascii="Arial" w:cs="Arial" w:eastAsia="Arial" w:hAnsi="Arial"/>
                <w:sz w:val="14"/>
                <w:szCs w:val="14"/>
                <w:color w:val="auto"/>
                <w:w w:val="94"/>
              </w:rPr>
              <w:t>Nine Months Ended</w:t>
            </w:r>
          </w:p>
        </w:tc>
      </w:tr>
      <w:tr>
        <w:trPr>
          <w:trHeight w:val="159"/>
        </w:trPr>
        <w:tc>
          <w:tcPr>
            <w:tcW w:w="53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860" w:type="dxa"/>
            <w:vAlign w:val="bottom"/>
            <w:tcBorders>
              <w:bottom w:val="single" w:sz="8" w:color="auto"/>
            </w:tcBorders>
            <w:gridSpan w:val="2"/>
          </w:tcPr>
          <w:p>
            <w:pPr>
              <w:ind w:left="2060"/>
              <w:spacing w:after="0" w:line="159" w:lineRule="exact"/>
              <w:rPr>
                <w:sz w:val="20"/>
                <w:szCs w:val="20"/>
                <w:color w:val="auto"/>
              </w:rPr>
            </w:pPr>
            <w:r>
              <w:rPr>
                <w:rFonts w:ascii="Arial" w:cs="Arial" w:eastAsia="Arial" w:hAnsi="Arial"/>
                <w:sz w:val="14"/>
                <w:szCs w:val="14"/>
                <w:color w:val="auto"/>
              </w:rPr>
              <w:t>September 30, 2009</w:t>
            </w:r>
          </w:p>
        </w:tc>
        <w:tc>
          <w:tcPr>
            <w:tcW w:w="1820" w:type="dxa"/>
            <w:vAlign w:val="bottom"/>
            <w:tcBorders>
              <w:bottom w:val="single" w:sz="8" w:color="auto"/>
            </w:tcBorders>
            <w:gridSpan w:val="2"/>
          </w:tcPr>
          <w:p>
            <w:pPr>
              <w:ind w:left="660"/>
              <w:spacing w:after="0" w:line="159" w:lineRule="exact"/>
              <w:rPr>
                <w:sz w:val="20"/>
                <w:szCs w:val="20"/>
                <w:color w:val="auto"/>
              </w:rPr>
            </w:pPr>
            <w:r>
              <w:rPr>
                <w:rFonts w:ascii="Arial" w:cs="Arial" w:eastAsia="Arial" w:hAnsi="Arial"/>
                <w:sz w:val="14"/>
                <w:szCs w:val="14"/>
                <w:color w:val="auto"/>
                <w:w w:val="89"/>
              </w:rPr>
              <w:t>September 30, 2009</w:t>
            </w:r>
          </w:p>
        </w:tc>
      </w:tr>
      <w:tr>
        <w:trPr>
          <w:trHeight w:val="142"/>
        </w:trPr>
        <w:tc>
          <w:tcPr>
            <w:tcW w:w="538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Revenue</w:t>
            </w:r>
          </w:p>
        </w:tc>
        <w:tc>
          <w:tcPr>
            <w:tcW w:w="2580" w:type="dxa"/>
            <w:vAlign w:val="bottom"/>
            <w:shd w:val="clear" w:color="auto" w:fill="E5E5E5"/>
          </w:tcPr>
          <w:p>
            <w:pPr>
              <w:ind w:left="2040"/>
              <w:spacing w:after="0" w:line="142" w:lineRule="exact"/>
              <w:rPr>
                <w:sz w:val="20"/>
                <w:szCs w:val="20"/>
                <w:color w:val="auto"/>
              </w:rPr>
            </w:pPr>
            <w:r>
              <w:rPr>
                <w:rFonts w:ascii="Arial" w:cs="Arial" w:eastAsia="Arial" w:hAnsi="Arial"/>
                <w:sz w:val="14"/>
                <w:szCs w:val="14"/>
                <w:color w:val="auto"/>
              </w:rPr>
              <w:t>$</w:t>
            </w:r>
          </w:p>
        </w:tc>
        <w:tc>
          <w:tcPr>
            <w:tcW w:w="1280" w:type="dxa"/>
            <w:vAlign w:val="bottom"/>
            <w:shd w:val="clear" w:color="auto" w:fill="E5E5E5"/>
          </w:tcPr>
          <w:p>
            <w:pPr>
              <w:jc w:val="right"/>
              <w:ind w:right="612"/>
              <w:spacing w:after="0" w:line="142" w:lineRule="exact"/>
              <w:rPr>
                <w:sz w:val="20"/>
                <w:szCs w:val="20"/>
                <w:color w:val="auto"/>
              </w:rPr>
            </w:pPr>
            <w:r>
              <w:rPr>
                <w:rFonts w:ascii="Arial" w:cs="Arial" w:eastAsia="Arial" w:hAnsi="Arial"/>
                <w:sz w:val="14"/>
                <w:szCs w:val="14"/>
                <w:color w:val="auto"/>
              </w:rPr>
              <w:t>2</w:t>
            </w:r>
          </w:p>
        </w:tc>
        <w:tc>
          <w:tcPr>
            <w:tcW w:w="1140" w:type="dxa"/>
            <w:vAlign w:val="bottom"/>
            <w:shd w:val="clear" w:color="auto" w:fill="E5E5E5"/>
          </w:tcPr>
          <w:p>
            <w:pPr>
              <w:ind w:left="64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7</w:t>
            </w:r>
          </w:p>
        </w:tc>
      </w:tr>
      <w:tr>
        <w:trPr>
          <w:trHeight w:val="149"/>
        </w:trPr>
        <w:tc>
          <w:tcPr>
            <w:tcW w:w="5380" w:type="dxa"/>
            <w:vAlign w:val="bottom"/>
          </w:tcPr>
          <w:p>
            <w:pPr>
              <w:spacing w:after="0" w:line="149" w:lineRule="exact"/>
              <w:rPr>
                <w:sz w:val="20"/>
                <w:szCs w:val="20"/>
                <w:color w:val="auto"/>
              </w:rPr>
            </w:pPr>
            <w:r>
              <w:rPr>
                <w:rFonts w:ascii="Arial" w:cs="Arial" w:eastAsia="Arial" w:hAnsi="Arial"/>
                <w:sz w:val="14"/>
                <w:szCs w:val="14"/>
                <w:color w:val="auto"/>
              </w:rPr>
              <w:t>Operating income (loss) before depreciation and amortization</w:t>
            </w:r>
          </w:p>
        </w:tc>
        <w:tc>
          <w:tcPr>
            <w:tcW w:w="2580" w:type="dxa"/>
            <w:vAlign w:val="bottom"/>
          </w:tcPr>
          <w:p>
            <w:pPr>
              <w:ind w:left="2040"/>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572"/>
              <w:spacing w:after="0" w:line="149" w:lineRule="exact"/>
              <w:rPr>
                <w:sz w:val="20"/>
                <w:szCs w:val="20"/>
                <w:color w:val="auto"/>
              </w:rPr>
            </w:pPr>
            <w:r>
              <w:rPr>
                <w:rFonts w:ascii="Arial" w:cs="Arial" w:eastAsia="Arial" w:hAnsi="Arial"/>
                <w:sz w:val="14"/>
                <w:szCs w:val="14"/>
                <w:color w:val="auto"/>
              </w:rPr>
              <w:t>(2)</w:t>
            </w:r>
          </w:p>
        </w:tc>
        <w:tc>
          <w:tcPr>
            <w:tcW w:w="11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9"/>
        </w:trPr>
        <w:tc>
          <w:tcPr>
            <w:tcW w:w="53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580" w:type="dxa"/>
            <w:vAlign w:val="bottom"/>
            <w:shd w:val="clear" w:color="auto" w:fill="E5E5E5"/>
          </w:tcPr>
          <w:p>
            <w:pPr>
              <w:ind w:left="204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E5E5E5"/>
          </w:tcPr>
          <w:p>
            <w:pPr>
              <w:jc w:val="right"/>
              <w:ind w:right="612"/>
              <w:spacing w:after="0" w:line="149" w:lineRule="exact"/>
              <w:rPr>
                <w:sz w:val="20"/>
                <w:szCs w:val="20"/>
                <w:color w:val="auto"/>
              </w:rPr>
            </w:pPr>
            <w:r>
              <w:rPr>
                <w:rFonts w:ascii="Arial" w:cs="Arial" w:eastAsia="Arial" w:hAnsi="Arial"/>
                <w:sz w:val="14"/>
                <w:szCs w:val="14"/>
                <w:color w:val="auto"/>
              </w:rPr>
              <w:t>4</w:t>
            </w:r>
          </w:p>
        </w:tc>
        <w:tc>
          <w:tcPr>
            <w:tcW w:w="1140" w:type="dxa"/>
            <w:vAlign w:val="bottom"/>
            <w:shd w:val="clear" w:color="auto" w:fill="E5E5E5"/>
          </w:tcPr>
          <w:p>
            <w:pPr>
              <w:ind w:left="6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10</w:t>
            </w:r>
          </w:p>
        </w:tc>
      </w:tr>
      <w:tr>
        <w:trPr>
          <w:trHeight w:val="149"/>
        </w:trPr>
        <w:tc>
          <w:tcPr>
            <w:tcW w:w="53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Operating income (loss)</w:t>
            </w:r>
          </w:p>
        </w:tc>
        <w:tc>
          <w:tcPr>
            <w:tcW w:w="2580" w:type="dxa"/>
            <w:vAlign w:val="bottom"/>
            <w:tcBorders>
              <w:bottom w:val="single" w:sz="8" w:color="auto"/>
            </w:tcBorders>
          </w:tcPr>
          <w:p>
            <w:pPr>
              <w:ind w:left="2040"/>
              <w:spacing w:after="0" w:line="14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572"/>
              <w:spacing w:after="0" w:line="149" w:lineRule="exact"/>
              <w:rPr>
                <w:sz w:val="20"/>
                <w:szCs w:val="20"/>
                <w:color w:val="auto"/>
              </w:rPr>
            </w:pPr>
            <w:r>
              <w:rPr>
                <w:rFonts w:ascii="Arial" w:cs="Arial" w:eastAsia="Arial" w:hAnsi="Arial"/>
                <w:sz w:val="14"/>
                <w:szCs w:val="14"/>
                <w:color w:val="auto"/>
              </w:rPr>
              <w:t>(6)</w:t>
            </w:r>
          </w:p>
        </w:tc>
        <w:tc>
          <w:tcPr>
            <w:tcW w:w="1140" w:type="dxa"/>
            <w:vAlign w:val="bottom"/>
            <w:tcBorders>
              <w:bottom w:val="single" w:sz="8" w:color="auto"/>
            </w:tcBorders>
          </w:tcPr>
          <w:p>
            <w:pPr>
              <w:ind w:left="64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w:t>
            </w:r>
          </w:p>
        </w:tc>
      </w:tr>
    </w:tbl>
    <w:p>
      <w:pPr>
        <w:spacing w:after="0" w:line="5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Reclassifications have been made to prior year amounts between revenue and operating expenses to conform to classifications used in 2010.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four of our wholly owned cable holding company subsidiaries, Comcast Cable Communications, LLC (“CCCL”),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Comcast Corporation provides an unconditional subordinated guarantee of the $185 million principal amount currently outstanding of Comcast Holdings’ ZONES due October 2029 and the $202 million principal amount currently outstanding of Comcast Holdings’ 10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subordinated debentures due 2012. Comcast Corporation does not guarantee the $61 million principal amount currently outstanding of Comcast Holdings’ ZONES due November 2029. We have included Comcast Holdings’ condensed consolidated financial information for all periods presented. Our condensed consolidating financial information is presented in the tables below.</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140" w:type="dxa"/>
            <w:vAlign w:val="bottom"/>
          </w:tcPr>
          <w:p>
            <w:pPr>
              <w:spacing w:after="0"/>
              <w:rPr>
                <w:sz w:val="12"/>
                <w:szCs w:val="12"/>
                <w:color w:val="auto"/>
              </w:rPr>
            </w:pPr>
          </w:p>
        </w:tc>
        <w:tc>
          <w:tcPr>
            <w:tcW w:w="64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94"/>
              </w:rPr>
              <w:t>CCCL</w:t>
            </w: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c>
          <w:tcPr>
            <w:tcW w:w="0" w:type="dxa"/>
            <w:vAlign w:val="bottom"/>
          </w:tcPr>
          <w:p>
            <w:pPr>
              <w:spacing w:after="0"/>
              <w:rPr>
                <w:sz w:val="1"/>
                <w:szCs w:val="1"/>
                <w:color w:val="auto"/>
              </w:rPr>
            </w:pPr>
          </w:p>
        </w:tc>
      </w:tr>
      <w:tr>
        <w:trPr>
          <w:trHeight w:val="173"/>
        </w:trPr>
        <w:tc>
          <w:tcPr>
            <w:tcW w:w="4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color w:val="auto"/>
                <w:w w:val="87"/>
              </w:rPr>
              <w:t>Parent</w:t>
            </w:r>
          </w:p>
        </w:tc>
        <w:tc>
          <w:tcPr>
            <w:tcW w:w="14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w w:val="87"/>
              </w:rPr>
              <w:t>Parent</w:t>
            </w:r>
          </w:p>
        </w:tc>
        <w:tc>
          <w:tcPr>
            <w:tcW w:w="24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w w:val="78"/>
              </w:rPr>
              <w:t>Parents</w:t>
            </w:r>
          </w:p>
        </w:tc>
        <w:tc>
          <w:tcPr>
            <w:tcW w:w="860" w:type="dxa"/>
            <w:vAlign w:val="bottom"/>
            <w:gridSpan w:val="2"/>
          </w:tcPr>
          <w:p>
            <w:pPr>
              <w:jc w:val="right"/>
              <w:ind w:right="92"/>
              <w:spacing w:after="0"/>
              <w:rPr>
                <w:sz w:val="20"/>
                <w:szCs w:val="20"/>
                <w:color w:val="auto"/>
              </w:rPr>
            </w:pPr>
            <w:r>
              <w:rPr>
                <w:rFonts w:ascii="Arial" w:cs="Arial" w:eastAsia="Arial" w:hAnsi="Arial"/>
                <w:sz w:val="14"/>
                <w:szCs w:val="14"/>
                <w:color w:val="auto"/>
              </w:rPr>
              <w:t>Holdings</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4,542</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72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1,868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520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7,002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6,381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1"/>
              </w:rPr>
              <w:t>Investments in and amounts due from subsidiaries eliminated upon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22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w w:val="87"/>
              </w:rPr>
              <w:t>67,962</w:t>
            </w:r>
          </w:p>
        </w:tc>
        <w:tc>
          <w:tcPr>
            <w:tcW w:w="140" w:type="dxa"/>
            <w:vAlign w:val="bottom"/>
          </w:tcPr>
          <w:p>
            <w:pPr>
              <w:spacing w:after="0"/>
              <w:rPr>
                <w:sz w:val="19"/>
                <w:szCs w:val="19"/>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85,786</w:t>
            </w:r>
          </w:p>
        </w:tc>
        <w:tc>
          <w:tcPr>
            <w:tcW w:w="240" w:type="dxa"/>
            <w:vAlign w:val="bottom"/>
          </w:tcPr>
          <w:p>
            <w:pPr>
              <w:spacing w:after="0"/>
              <w:rPr>
                <w:sz w:val="19"/>
                <w:szCs w:val="19"/>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48,960</w:t>
            </w:r>
          </w:p>
        </w:tc>
        <w:tc>
          <w:tcPr>
            <w:tcW w:w="24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w w:val="83"/>
              </w:rPr>
              <w:t>71,404</w:t>
            </w:r>
          </w:p>
        </w:tc>
        <w:tc>
          <w:tcPr>
            <w:tcW w:w="26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9,199</w:t>
            </w:r>
          </w:p>
        </w:tc>
        <w:tc>
          <w:tcPr>
            <w:tcW w:w="26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w w:val="90"/>
              </w:rPr>
              <w:t>(283,311)</w:t>
            </w:r>
          </w:p>
        </w:tc>
        <w:tc>
          <w:tcPr>
            <w:tcW w:w="240" w:type="dxa"/>
            <w:vAlign w:val="bottom"/>
          </w:tcPr>
          <w:p>
            <w:pPr>
              <w:spacing w:after="0"/>
              <w:rPr>
                <w:sz w:val="19"/>
                <w:szCs w:val="19"/>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23,048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Franchise rights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59,452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15,029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3,741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1,161</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863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(820)</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87"/>
              </w:rPr>
              <w:t>69,582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87"/>
              </w:rPr>
              <w:t>85,847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48,960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3"/>
              </w:rPr>
              <w:t>71,552</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124,715</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(284,131)</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116,525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w w:val="88"/>
              </w:rPr>
              <w:t>Accounts payable and accrued expenses related to trade creditors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3,280</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32</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1,674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1,261</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2,303</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1,267</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32</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4,993</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w w:val="87"/>
              </w:rPr>
              <w:t>21,842</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3,977</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2,346</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27,338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1,653</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6,061</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32</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7"/>
              </w:rPr>
              <w:t>43,752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7"/>
              </w:rPr>
              <w:t>80,603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46,582</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3"/>
              </w:rPr>
              <w:t>70,289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85,837</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(283,311)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7"/>
              </w:rPr>
              <w:t>43,784</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7"/>
              </w:rPr>
              <w:t>80,603</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46,582</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3"/>
              </w:rPr>
              <w:t>70,289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85,837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(283,311)</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7"/>
              </w:rPr>
              <w:t>43,784</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7"/>
              </w:rPr>
              <w:t>80,603</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46,582</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3"/>
              </w:rPr>
              <w:t>70,289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85,921</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(283,311)</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43,868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87"/>
              </w:rPr>
              <w:t>69,582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87"/>
              </w:rPr>
              <w:t>85,847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48,960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3"/>
              </w:rPr>
              <w:t>71,552</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124,715</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(284,131)</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116,525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Combined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Non-</w:t>
            </w:r>
          </w:p>
        </w:tc>
        <w:tc>
          <w:tcPr>
            <w:tcW w:w="220" w:type="dxa"/>
            <w:vAlign w:val="bottom"/>
          </w:tcPr>
          <w:p>
            <w:pPr>
              <w:spacing w:after="0"/>
              <w:rPr>
                <w:sz w:val="12"/>
                <w:szCs w:val="12"/>
                <w:color w:val="auto"/>
              </w:rPr>
            </w:pPr>
          </w:p>
        </w:tc>
        <w:tc>
          <w:tcPr>
            <w:tcW w:w="86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86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88"/>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6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200" w:type="dxa"/>
            <w:vAlign w:val="bottom"/>
          </w:tcPr>
          <w:p>
            <w:pPr>
              <w:spacing w:after="0"/>
              <w:rPr>
                <w:sz w:val="12"/>
                <w:szCs w:val="12"/>
                <w:color w:val="auto"/>
              </w:rPr>
            </w:pPr>
          </w:p>
        </w:tc>
        <w:tc>
          <w:tcPr>
            <w:tcW w:w="600" w:type="dxa"/>
            <w:vAlign w:val="bottom"/>
          </w:tcPr>
          <w:p>
            <w:pPr>
              <w:jc w:val="right"/>
              <w:ind w:right="154"/>
              <w:spacing w:after="0" w:line="149" w:lineRule="exact"/>
              <w:rPr>
                <w:sz w:val="20"/>
                <w:szCs w:val="20"/>
                <w:color w:val="auto"/>
              </w:rPr>
            </w:pPr>
            <w:r>
              <w:rPr>
                <w:rFonts w:ascii="Arial" w:cs="Arial" w:eastAsia="Arial" w:hAnsi="Arial"/>
                <w:sz w:val="14"/>
                <w:szCs w:val="14"/>
                <w:color w:val="auto"/>
                <w:w w:val="89"/>
              </w:rPr>
              <w:t>CCCL</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CCHMO</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8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6"/>
              </w:rPr>
              <w:t>Comcast</w:t>
            </w:r>
          </w:p>
        </w:tc>
        <w:tc>
          <w:tcPr>
            <w:tcW w:w="0" w:type="dxa"/>
            <w:vAlign w:val="bottom"/>
          </w:tcPr>
          <w:p>
            <w:pPr>
              <w:spacing w:after="0"/>
              <w:rPr>
                <w:sz w:val="1"/>
                <w:szCs w:val="1"/>
                <w:color w:val="auto"/>
              </w:rPr>
            </w:pPr>
          </w:p>
        </w:tc>
      </w:tr>
      <w:tr>
        <w:trPr>
          <w:trHeight w:val="173"/>
        </w:trPr>
        <w:tc>
          <w:tcPr>
            <w:tcW w:w="5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color w:val="auto"/>
                <w:w w:val="82"/>
              </w:rPr>
              <w:t>Parent</w:t>
            </w:r>
          </w:p>
        </w:tc>
        <w:tc>
          <w:tcPr>
            <w:tcW w:w="20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w w:val="82"/>
              </w:rPr>
              <w:t>Parent</w:t>
            </w:r>
          </w:p>
        </w:tc>
        <w:tc>
          <w:tcPr>
            <w:tcW w:w="1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w w:val="78"/>
              </w:rPr>
              <w:t>Parents</w:t>
            </w:r>
          </w:p>
        </w:tc>
        <w:tc>
          <w:tcPr>
            <w:tcW w:w="800" w:type="dxa"/>
            <w:vAlign w:val="bottom"/>
            <w:gridSpan w:val="2"/>
          </w:tcPr>
          <w:p>
            <w:pPr>
              <w:jc w:val="right"/>
              <w:ind w:right="52"/>
              <w:spacing w:after="0"/>
              <w:rPr>
                <w:sz w:val="20"/>
                <w:szCs w:val="20"/>
                <w:color w:val="auto"/>
              </w:rPr>
            </w:pPr>
            <w:r>
              <w:rPr>
                <w:rFonts w:ascii="Arial" w:cs="Arial" w:eastAsia="Arial" w:hAnsi="Arial"/>
                <w:sz w:val="14"/>
                <w:szCs w:val="14"/>
                <w:color w:val="auto"/>
              </w:rPr>
              <w:t>Holdings</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w w:val="96"/>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860" w:type="dxa"/>
            <w:vAlign w:val="bottom"/>
            <w:gridSpan w:val="3"/>
          </w:tcPr>
          <w:p>
            <w:pPr>
              <w:ind w:left="160"/>
              <w:spacing w:after="0"/>
              <w:rPr>
                <w:sz w:val="20"/>
                <w:szCs w:val="20"/>
                <w:color w:val="auto"/>
              </w:rPr>
            </w:pPr>
            <w:r>
              <w:rPr>
                <w:rFonts w:ascii="Arial" w:cs="Arial" w:eastAsia="Arial" w:hAnsi="Arial"/>
                <w:sz w:val="14"/>
                <w:szCs w:val="14"/>
                <w:color w:val="auto"/>
                <w:w w:val="92"/>
              </w:rPr>
              <w:t>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671</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1,711</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5,947</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6"/>
              </w:rPr>
              <w:t>Investments in and amounts due from subsidiaries eliminated upon</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46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73,943</w:t>
            </w:r>
          </w:p>
        </w:tc>
        <w:tc>
          <w:tcPr>
            <w:tcW w:w="200" w:type="dxa"/>
            <w:vAlign w:val="bottom"/>
          </w:tcPr>
          <w:p>
            <w:pPr>
              <w:spacing w:after="0"/>
              <w:rPr>
                <w:sz w:val="19"/>
                <w:szCs w:val="19"/>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w w:val="83"/>
              </w:rPr>
              <w:t>80,766</w:t>
            </w:r>
          </w:p>
        </w:tc>
        <w:tc>
          <w:tcPr>
            <w:tcW w:w="18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47,141</w:t>
            </w:r>
          </w:p>
        </w:tc>
        <w:tc>
          <w:tcPr>
            <w:tcW w:w="2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7"/>
              </w:rPr>
              <w:t>69,959</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5,721</w:t>
            </w:r>
          </w:p>
        </w:tc>
        <w:tc>
          <w:tcPr>
            <w:tcW w:w="22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90"/>
              </w:rPr>
              <w:t>(277,530)</w:t>
            </w:r>
          </w:p>
        </w:tc>
        <w:tc>
          <w:tcPr>
            <w:tcW w:w="2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23,556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Franchise rights</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59,452</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14,933</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4,094</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419</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780</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74,841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80,781</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47,141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69,965</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117,535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(277,530)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112,733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w w:val="93"/>
              </w:rPr>
              <w:t>Accounts payable and accrued expenses related to trade creditors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3,080</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1,608</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2,123</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4,744</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w w:val="83"/>
              </w:rPr>
              <w:t>20,089</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4,925</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2,352</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8,068</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19,035</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1,840</w:t>
            </w:r>
          </w:p>
        </w:tc>
        <w:tc>
          <w:tcPr>
            <w:tcW w:w="2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4,756</w:t>
            </w:r>
          </w:p>
        </w:tc>
        <w:tc>
          <w:tcPr>
            <w:tcW w:w="22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32</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3"/>
              </w:rPr>
              <w:t>42,689</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3"/>
              </w:rPr>
              <w:t>75,680</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44,714</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7"/>
              </w:rPr>
              <w:t>68,640</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88,496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(277,530)</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3"/>
              </w:rPr>
              <w:t>42,721</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4"/>
              <w:spacing w:after="0"/>
              <w:rPr>
                <w:sz w:val="20"/>
                <w:szCs w:val="20"/>
                <w:color w:val="auto"/>
              </w:rPr>
            </w:pPr>
            <w:r>
              <w:rPr>
                <w:rFonts w:ascii="Arial" w:cs="Arial" w:eastAsia="Arial" w:hAnsi="Arial"/>
                <w:sz w:val="18"/>
                <w:szCs w:val="18"/>
                <w:color w:val="auto"/>
                <w:w w:val="83"/>
              </w:rPr>
              <w:t>75,680</w:t>
            </w:r>
          </w:p>
        </w:tc>
        <w:tc>
          <w:tcPr>
            <w:tcW w:w="1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44,714</w:t>
            </w:r>
          </w:p>
        </w:tc>
        <w:tc>
          <w:tcPr>
            <w:tcW w:w="20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68,640</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88,496</w:t>
            </w: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0"/>
              </w:rPr>
              <w:t>(277,530)</w:t>
            </w:r>
          </w:p>
        </w:tc>
        <w:tc>
          <w:tcPr>
            <w:tcW w:w="22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4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83"/>
              </w:rPr>
              <w:t>42,721</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34"/>
              <w:spacing w:after="0"/>
              <w:rPr>
                <w:sz w:val="20"/>
                <w:szCs w:val="20"/>
                <w:color w:val="auto"/>
              </w:rPr>
            </w:pPr>
            <w:r>
              <w:rPr>
                <w:rFonts w:ascii="Arial" w:cs="Arial" w:eastAsia="Arial" w:hAnsi="Arial"/>
                <w:sz w:val="18"/>
                <w:szCs w:val="18"/>
                <w:color w:val="auto"/>
                <w:w w:val="83"/>
              </w:rPr>
              <w:t>75,680</w:t>
            </w: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44,714</w:t>
            </w:r>
          </w:p>
        </w:tc>
        <w:tc>
          <w:tcPr>
            <w:tcW w:w="20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87"/>
              </w:rPr>
              <w:t>68,640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88,586</w:t>
            </w: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0"/>
              </w:rPr>
              <w:t>(277,530)</w:t>
            </w:r>
          </w:p>
        </w:tc>
        <w:tc>
          <w:tcPr>
            <w:tcW w:w="2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83"/>
              </w:rPr>
              <w:t>74,841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83"/>
              </w:rPr>
              <w:t>80,781</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7"/>
              </w:rPr>
              <w:t>47,141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69,965</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6"/>
              </w:rPr>
              <w:t>117,535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(277,530)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112,733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40" w:type="dxa"/>
            <w:vAlign w:val="bottom"/>
            <w:gridSpan w:val="2"/>
          </w:tcPr>
          <w:p>
            <w:pPr>
              <w:jc w:val="right"/>
              <w:ind w:right="192"/>
              <w:spacing w:after="0"/>
              <w:rPr>
                <w:sz w:val="20"/>
                <w:szCs w:val="20"/>
                <w:color w:val="auto"/>
              </w:rPr>
            </w:pPr>
            <w:r>
              <w:rPr>
                <w:rFonts w:ascii="Arial" w:cs="Arial" w:eastAsia="Arial" w:hAnsi="Arial"/>
                <w:sz w:val="14"/>
                <w:szCs w:val="14"/>
                <w:color w:val="auto"/>
              </w:rPr>
              <w:t>Parent</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12"/>
              <w:spacing w:after="0"/>
              <w:rPr>
                <w:sz w:val="20"/>
                <w:szCs w:val="20"/>
                <w:color w:val="auto"/>
              </w:rPr>
            </w:pPr>
            <w:r>
              <w:rPr>
                <w:rFonts w:ascii="Arial" w:cs="Arial" w:eastAsia="Arial" w:hAnsi="Arial"/>
                <w:sz w:val="14"/>
                <w:szCs w:val="14"/>
                <w:color w:val="auto"/>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9,489</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9,489</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182</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(497)</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182</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9,489</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(497)</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9,489</w:t>
            </w:r>
          </w:p>
        </w:tc>
      </w:tr>
      <w:tr>
        <w:trPr>
          <w:trHeight w:val="210"/>
        </w:trPr>
        <w:tc>
          <w:tcPr>
            <w:tcW w:w="20" w:type="dxa"/>
            <w:vAlign w:val="bottom"/>
          </w:tcPr>
          <w:p>
            <w:pPr>
              <w:spacing w:after="0"/>
              <w:rPr>
                <w:sz w:val="18"/>
                <w:szCs w:val="18"/>
                <w:color w:val="auto"/>
              </w:rPr>
            </w:pPr>
          </w:p>
        </w:tc>
        <w:tc>
          <w:tcPr>
            <w:tcW w:w="440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Operating (excluding depreciation and amortization)</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3,792</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3,792</w:t>
            </w:r>
          </w:p>
        </w:tc>
      </w:tr>
      <w:tr>
        <w:trPr>
          <w:trHeight w:val="216"/>
        </w:trPr>
        <w:tc>
          <w:tcPr>
            <w:tcW w:w="20" w:type="dxa"/>
            <w:vAlign w:val="bottom"/>
          </w:tcPr>
          <w:p>
            <w:pPr>
              <w:spacing w:after="0"/>
              <w:rPr>
                <w:sz w:val="18"/>
                <w:szCs w:val="18"/>
                <w:color w:val="auto"/>
              </w:rPr>
            </w:pPr>
          </w:p>
        </w:tc>
        <w:tc>
          <w:tcPr>
            <w:tcW w:w="4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2,200</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2,119</w:t>
            </w: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1,369</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1,377</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245</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247</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182</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7,606</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(497)</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7,535</w:t>
            </w:r>
          </w:p>
        </w:tc>
      </w:tr>
      <w:tr>
        <w:trPr>
          <w:trHeight w:val="210"/>
        </w:trPr>
        <w:tc>
          <w:tcPr>
            <w:tcW w:w="20" w:type="dxa"/>
            <w:vAlign w:val="bottom"/>
          </w:tcPr>
          <w:p>
            <w:pPr>
              <w:spacing w:after="0"/>
              <w:rPr>
                <w:sz w:val="18"/>
                <w:szCs w:val="18"/>
                <w:color w:val="auto"/>
              </w:rPr>
            </w:pPr>
          </w:p>
        </w:tc>
        <w:tc>
          <w:tcPr>
            <w:tcW w:w="44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86</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1,883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1,954</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(44)</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(35)</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(545)</w:t>
            </w: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4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1,057</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1,119</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4"/>
              </w:rPr>
              <w:t>1,137</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(40)</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(4,014)</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678</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1,018</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657</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4"/>
              </w:rPr>
              <w:t>1,128</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(4,014)</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(500)</w:t>
            </w: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764</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1,018</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1,113</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1,916</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(4,014)</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1,454</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(748)</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(584)</w:t>
            </w: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867</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1,054</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673</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1,122</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1,168</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(4,014)</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870</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8"/>
              </w:rPr>
              <w:t>Net (income) loss attributable to noncontrolling interests</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Net income (loss) attributable to Comcast Corporation</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867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1,054</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673</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1,122</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1,165</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(4,014)</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867</w:t>
            </w:r>
          </w:p>
        </w:tc>
      </w:tr>
      <w:tr>
        <w:trPr>
          <w:trHeight w:val="363"/>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31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800" w:type="dxa"/>
            <w:vAlign w:val="bottom"/>
          </w:tcPr>
          <w:p>
            <w:pPr>
              <w:jc w:val="center"/>
              <w:ind w:right="31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10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40" w:type="dxa"/>
            <w:vAlign w:val="bottom"/>
            <w:gridSpan w:val="2"/>
          </w:tcPr>
          <w:p>
            <w:pPr>
              <w:jc w:val="right"/>
              <w:ind w:right="192"/>
              <w:spacing w:after="0"/>
              <w:rPr>
                <w:sz w:val="20"/>
                <w:szCs w:val="20"/>
                <w:color w:val="auto"/>
              </w:rPr>
            </w:pPr>
            <w:r>
              <w:rPr>
                <w:rFonts w:ascii="Arial" w:cs="Arial" w:eastAsia="Arial" w:hAnsi="Arial"/>
                <w:sz w:val="14"/>
                <w:szCs w:val="14"/>
                <w:color w:val="auto"/>
              </w:rPr>
              <w:t>Parent</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12"/>
              <w:spacing w:after="0"/>
              <w:rPr>
                <w:sz w:val="20"/>
                <w:szCs w:val="20"/>
                <w:color w:val="auto"/>
              </w:rPr>
            </w:pPr>
            <w:r>
              <w:rPr>
                <w:rFonts w:ascii="Arial" w:cs="Arial" w:eastAsia="Arial" w:hAnsi="Arial"/>
                <w:sz w:val="14"/>
                <w:szCs w:val="14"/>
                <w:color w:val="auto"/>
              </w:rPr>
              <w:t>Parents</w:t>
            </w:r>
          </w:p>
        </w:tc>
        <w:tc>
          <w:tcPr>
            <w:tcW w:w="900" w:type="dxa"/>
            <w:vAlign w:val="bottom"/>
            <w:gridSpan w:val="2"/>
          </w:tcPr>
          <w:p>
            <w:pPr>
              <w:ind w:left="180"/>
              <w:spacing w:after="0"/>
              <w:rPr>
                <w:sz w:val="20"/>
                <w:szCs w:val="20"/>
                <w:color w:val="auto"/>
              </w:rPr>
            </w:pPr>
            <w:r>
              <w:rPr>
                <w:rFonts w:ascii="Arial" w:cs="Arial" w:eastAsia="Arial" w:hAnsi="Arial"/>
                <w:sz w:val="14"/>
                <w:szCs w:val="14"/>
                <w:color w:val="auto"/>
              </w:rPr>
              <w:t>Holdings</w:t>
            </w:r>
          </w:p>
        </w:tc>
        <w:tc>
          <w:tcPr>
            <w:tcW w:w="104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8,845</w:t>
            </w:r>
          </w:p>
        </w:tc>
        <w:tc>
          <w:tcPr>
            <w:tcW w:w="3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8,845</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168</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(468)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168</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8,845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(468)</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8,845</w:t>
            </w:r>
          </w:p>
        </w:tc>
      </w:tr>
      <w:tr>
        <w:trPr>
          <w:trHeight w:val="210"/>
        </w:trPr>
        <w:tc>
          <w:tcPr>
            <w:tcW w:w="20" w:type="dxa"/>
            <w:vAlign w:val="bottom"/>
          </w:tcPr>
          <w:p>
            <w:pPr>
              <w:spacing w:after="0"/>
              <w:rPr>
                <w:sz w:val="18"/>
                <w:szCs w:val="18"/>
                <w:color w:val="auto"/>
              </w:rPr>
            </w:pPr>
          </w:p>
        </w:tc>
        <w:tc>
          <w:tcPr>
            <w:tcW w:w="440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Operating (excluding depreciation and amortization)</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3,530</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3,530</w:t>
            </w:r>
          </w:p>
        </w:tc>
      </w:tr>
      <w:tr>
        <w:trPr>
          <w:trHeight w:val="216"/>
        </w:trPr>
        <w:tc>
          <w:tcPr>
            <w:tcW w:w="20" w:type="dxa"/>
            <w:vAlign w:val="bottom"/>
          </w:tcPr>
          <w:p>
            <w:pPr>
              <w:spacing w:after="0"/>
              <w:rPr>
                <w:sz w:val="18"/>
                <w:szCs w:val="18"/>
                <w:color w:val="auto"/>
              </w:rPr>
            </w:pPr>
          </w:p>
        </w:tc>
        <w:tc>
          <w:tcPr>
            <w:tcW w:w="4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92</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2,074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(468)</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1,989</w:t>
            </w: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1,355</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1,362</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253</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253</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99</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168</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7,212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(468)</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7,134</w:t>
            </w:r>
          </w:p>
        </w:tc>
      </w:tr>
      <w:tr>
        <w:trPr>
          <w:trHeight w:val="210"/>
        </w:trPr>
        <w:tc>
          <w:tcPr>
            <w:tcW w:w="20" w:type="dxa"/>
            <w:vAlign w:val="bottom"/>
          </w:tcPr>
          <w:p>
            <w:pPr>
              <w:spacing w:after="0"/>
              <w:rPr>
                <w:sz w:val="18"/>
                <w:szCs w:val="18"/>
                <w:color w:val="auto"/>
              </w:rPr>
            </w:pPr>
          </w:p>
        </w:tc>
        <w:tc>
          <w:tcPr>
            <w:tcW w:w="440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93</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(15)</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1,633</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1,711</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(79)</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(8)</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(31)</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(707)</w:t>
            </w: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4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4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1,101</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1,267</w:t>
            </w: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853</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4"/>
              </w:rPr>
              <w:t>1,319</w:t>
            </w:r>
          </w:p>
        </w:tc>
        <w:tc>
          <w:tcPr>
            <w:tcW w:w="30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(234)</w:t>
            </w:r>
          </w:p>
        </w:tc>
        <w:tc>
          <w:tcPr>
            <w:tcW w:w="36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(4,323)</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767</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w w:val="84"/>
              </w:rPr>
              <w:t>1,013</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774</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w w:val="84"/>
              </w:rPr>
              <w:t>1,313</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(118)</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(4,323)</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(574)</w:t>
            </w: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860</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1,013</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774</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1,298</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1,515</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(4,323)</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1,137</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89</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(411)</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(203)</w:t>
            </w: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42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1,102</w:t>
            </w:r>
          </w:p>
        </w:tc>
        <w:tc>
          <w:tcPr>
            <w:tcW w:w="3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802</w:t>
            </w:r>
          </w:p>
        </w:tc>
        <w:tc>
          <w:tcPr>
            <w:tcW w:w="26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1,305</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1,104</w:t>
            </w:r>
          </w:p>
        </w:tc>
        <w:tc>
          <w:tcPr>
            <w:tcW w:w="36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(4,323)</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934</w:t>
            </w:r>
          </w:p>
        </w:tc>
      </w:tr>
      <w:tr>
        <w:trPr>
          <w:trHeight w:val="216"/>
        </w:trPr>
        <w:tc>
          <w:tcPr>
            <w:tcW w:w="20" w:type="dxa"/>
            <w:vAlign w:val="bottom"/>
          </w:tcPr>
          <w:p>
            <w:pPr>
              <w:spacing w:after="0"/>
              <w:rPr>
                <w:sz w:val="18"/>
                <w:szCs w:val="18"/>
                <w:color w:val="auto"/>
              </w:rPr>
            </w:pPr>
          </w:p>
        </w:tc>
        <w:tc>
          <w:tcPr>
            <w:tcW w:w="4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8"/>
              </w:rPr>
              <w:t>Net (income) loss attributable to noncontrolling interests</w:t>
            </w:r>
          </w:p>
        </w:tc>
        <w:tc>
          <w:tcPr>
            <w:tcW w:w="4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w:t>
            </w:r>
          </w:p>
        </w:tc>
      </w:tr>
      <w:tr>
        <w:trPr>
          <w:trHeight w:val="217"/>
        </w:trPr>
        <w:tc>
          <w:tcPr>
            <w:tcW w:w="20" w:type="dxa"/>
            <w:vAlign w:val="bottom"/>
          </w:tcPr>
          <w:p>
            <w:pPr>
              <w:spacing w:after="0"/>
              <w:rPr>
                <w:sz w:val="18"/>
                <w:szCs w:val="18"/>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Net income (loss) attributable to Comcast Corporation</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944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1,102</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802</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1,305</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1,114</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(4,323)</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944</w:t>
            </w:r>
          </w:p>
        </w:tc>
      </w:tr>
      <w:tr>
        <w:trPr>
          <w:trHeight w:val="363"/>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gridSpan w:val="2"/>
          </w:tcPr>
          <w:p>
            <w:pPr>
              <w:jc w:val="right"/>
              <w:ind w:right="452"/>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00" w:type="dxa"/>
            <w:vAlign w:val="bottom"/>
          </w:tcPr>
          <w:p>
            <w:pPr>
              <w:spacing w:after="0"/>
              <w:rPr>
                <w:sz w:val="12"/>
                <w:szCs w:val="12"/>
                <w:color w:val="auto"/>
              </w:rPr>
            </w:pPr>
          </w:p>
        </w:tc>
        <w:tc>
          <w:tcPr>
            <w:tcW w:w="8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5"/>
                <w:szCs w:val="15"/>
                <w:color w:val="auto"/>
              </w:rPr>
            </w:pPr>
          </w:p>
        </w:tc>
        <w:tc>
          <w:tcPr>
            <w:tcW w:w="640" w:type="dxa"/>
            <w:vAlign w:val="bottom"/>
          </w:tcPr>
          <w:p>
            <w:pPr>
              <w:jc w:val="right"/>
              <w:ind w:right="213"/>
              <w:spacing w:after="0"/>
              <w:rPr>
                <w:sz w:val="20"/>
                <w:szCs w:val="20"/>
                <w:color w:val="auto"/>
              </w:rPr>
            </w:pPr>
            <w:r>
              <w:rPr>
                <w:rFonts w:ascii="Arial" w:cs="Arial" w:eastAsia="Arial" w:hAnsi="Arial"/>
                <w:sz w:val="14"/>
                <w:szCs w:val="14"/>
                <w:color w:val="auto"/>
                <w:w w:val="77"/>
              </w:rPr>
              <w:t>Parent</w:t>
            </w:r>
          </w:p>
        </w:tc>
        <w:tc>
          <w:tcPr>
            <w:tcW w:w="8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820" w:type="dxa"/>
            <w:vAlign w:val="bottom"/>
            <w:gridSpan w:val="2"/>
          </w:tcPr>
          <w:p>
            <w:pPr>
              <w:ind w:left="140"/>
              <w:spacing w:after="0"/>
              <w:rPr>
                <w:sz w:val="20"/>
                <w:szCs w:val="20"/>
                <w:color w:val="auto"/>
              </w:rPr>
            </w:pPr>
            <w:r>
              <w:rPr>
                <w:rFonts w:ascii="Arial" w:cs="Arial" w:eastAsia="Arial" w:hAnsi="Arial"/>
                <w:sz w:val="14"/>
                <w:szCs w:val="14"/>
                <w:color w:val="auto"/>
              </w:rPr>
              <w:t>Holdings</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6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28,216</w:t>
            </w:r>
          </w:p>
        </w:tc>
        <w:tc>
          <w:tcPr>
            <w:tcW w:w="3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28,216</w:t>
            </w:r>
          </w:p>
        </w:tc>
      </w:tr>
      <w:tr>
        <w:trPr>
          <w:trHeight w:val="216"/>
        </w:trPr>
        <w:tc>
          <w:tcPr>
            <w:tcW w:w="20" w:type="dxa"/>
            <w:vAlign w:val="bottom"/>
          </w:tcPr>
          <w:p>
            <w:pPr>
              <w:spacing w:after="0"/>
              <w:rPr>
                <w:sz w:val="18"/>
                <w:szCs w:val="18"/>
                <w:color w:val="auto"/>
              </w:rPr>
            </w:pPr>
          </w:p>
        </w:tc>
        <w:tc>
          <w:tcPr>
            <w:tcW w:w="46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6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600</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539</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(1,474)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600</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539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28,216</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28,216</w:t>
            </w:r>
          </w:p>
        </w:tc>
      </w:tr>
      <w:tr>
        <w:trPr>
          <w:trHeight w:val="210"/>
        </w:trPr>
        <w:tc>
          <w:tcPr>
            <w:tcW w:w="20" w:type="dxa"/>
            <w:vAlign w:val="bottom"/>
          </w:tcPr>
          <w:p>
            <w:pPr>
              <w:spacing w:after="0"/>
              <w:rPr>
                <w:sz w:val="18"/>
                <w:szCs w:val="18"/>
                <w:color w:val="auto"/>
              </w:rPr>
            </w:pPr>
          </w:p>
        </w:tc>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Operating (excluding depreciation and amortization)</w:t>
            </w:r>
          </w:p>
        </w:tc>
        <w:tc>
          <w:tcPr>
            <w:tcW w:w="6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11,351</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11,351</w:t>
            </w:r>
          </w:p>
        </w:tc>
      </w:tr>
      <w:tr>
        <w:trPr>
          <w:trHeight w:val="216"/>
        </w:trPr>
        <w:tc>
          <w:tcPr>
            <w:tcW w:w="20" w:type="dxa"/>
            <w:vAlign w:val="bottom"/>
          </w:tcPr>
          <w:p>
            <w:pPr>
              <w:spacing w:after="0"/>
              <w:rPr>
                <w:sz w:val="18"/>
                <w:szCs w:val="18"/>
                <w:color w:val="auto"/>
              </w:rPr>
            </w:pPr>
          </w:p>
        </w:tc>
        <w:tc>
          <w:tcPr>
            <w:tcW w:w="46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44</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6,204</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(1,474)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5,985</w:t>
            </w: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4,145</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4,167</w:t>
            </w:r>
          </w:p>
        </w:tc>
      </w:tr>
      <w:tr>
        <w:trPr>
          <w:trHeight w:val="216"/>
        </w:trPr>
        <w:tc>
          <w:tcPr>
            <w:tcW w:w="20" w:type="dxa"/>
            <w:vAlign w:val="bottom"/>
          </w:tcPr>
          <w:p>
            <w:pPr>
              <w:spacing w:after="0"/>
              <w:rPr>
                <w:sz w:val="18"/>
                <w:szCs w:val="18"/>
                <w:color w:val="auto"/>
              </w:rPr>
            </w:pPr>
          </w:p>
        </w:tc>
        <w:tc>
          <w:tcPr>
            <w:tcW w:w="46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744</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746</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539</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22,444</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22,249</w:t>
            </w:r>
          </w:p>
        </w:tc>
      </w:tr>
      <w:tr>
        <w:trPr>
          <w:trHeight w:val="210"/>
        </w:trPr>
        <w:tc>
          <w:tcPr>
            <w:tcW w:w="20" w:type="dxa"/>
            <w:vAlign w:val="bottom"/>
          </w:tcPr>
          <w:p>
            <w:pPr>
              <w:spacing w:after="0"/>
              <w:rPr>
                <w:sz w:val="18"/>
                <w:szCs w:val="18"/>
                <w:color w:val="auto"/>
              </w:rPr>
            </w:pPr>
          </w:p>
        </w:tc>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(44)</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5,772</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5,967</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87"/>
              </w:rPr>
              <w:t>(1,049)</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(25)</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(1,612)</w:t>
            </w: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6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46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6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3,187</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3,403</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2,131</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3,439</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(98)</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5"/>
              </w:rPr>
              <w:t>(12,160)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46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20" w:type="dxa"/>
            <w:vAlign w:val="bottom"/>
          </w:tcPr>
          <w:p>
            <w:pPr>
              <w:spacing w:after="0"/>
              <w:rPr>
                <w:sz w:val="18"/>
                <w:szCs w:val="18"/>
                <w:color w:val="auto"/>
              </w:rPr>
            </w:pPr>
          </w:p>
        </w:tc>
        <w:tc>
          <w:tcPr>
            <w:tcW w:w="4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7"/>
              </w:rPr>
              <w:t>2,071</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3,100</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3"/>
              </w:rPr>
              <w:t>2,001</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8"/>
              </w:rPr>
              <w:t>3,415</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5"/>
              </w:rPr>
              <w:t>(12,160)</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(1,569)</w:t>
            </w: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2,310</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3,100</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2,001</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3,371</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5,776</w:t>
            </w:r>
          </w:p>
        </w:tc>
        <w:tc>
          <w:tcPr>
            <w:tcW w:w="3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5"/>
              </w:rPr>
              <w:t>(12,160)</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4,398</w:t>
            </w:r>
          </w:p>
        </w:tc>
      </w:tr>
      <w:tr>
        <w:trPr>
          <w:trHeight w:val="216"/>
        </w:trPr>
        <w:tc>
          <w:tcPr>
            <w:tcW w:w="20" w:type="dxa"/>
            <w:vAlign w:val="bottom"/>
          </w:tcPr>
          <w:p>
            <w:pPr>
              <w:spacing w:after="0"/>
              <w:rPr>
                <w:sz w:val="18"/>
                <w:szCs w:val="18"/>
                <w:color w:val="auto"/>
              </w:rPr>
            </w:pPr>
          </w:p>
        </w:tc>
        <w:tc>
          <w:tcPr>
            <w:tcW w:w="4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106</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8"/>
              </w:rPr>
              <w:t>(2,246)</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(1,763)</w:t>
            </w: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640" w:type="dxa"/>
            <w:vAlign w:val="bottom"/>
          </w:tcPr>
          <w:p>
            <w:pPr>
              <w:spacing w:after="0"/>
              <w:rPr>
                <w:sz w:val="18"/>
                <w:szCs w:val="18"/>
                <w:color w:val="auto"/>
              </w:rPr>
            </w:pPr>
          </w:p>
        </w:tc>
        <w:tc>
          <w:tcPr>
            <w:tcW w:w="640" w:type="dxa"/>
            <w:vAlign w:val="bottom"/>
          </w:tcPr>
          <w:p>
            <w:pPr>
              <w:jc w:val="right"/>
              <w:ind w:right="93"/>
              <w:spacing w:after="0"/>
              <w:rPr>
                <w:sz w:val="20"/>
                <w:szCs w:val="20"/>
                <w:color w:val="auto"/>
              </w:rPr>
            </w:pPr>
            <w:r>
              <w:rPr>
                <w:rFonts w:ascii="Arial" w:cs="Arial" w:eastAsia="Arial" w:hAnsi="Arial"/>
                <w:sz w:val="18"/>
                <w:szCs w:val="18"/>
                <w:color w:val="auto"/>
                <w:w w:val="97"/>
              </w:rPr>
              <w:t>2,617</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3,206</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2,047</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3,395</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3,530</w:t>
            </w:r>
          </w:p>
        </w:tc>
        <w:tc>
          <w:tcPr>
            <w:tcW w:w="3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5"/>
              </w:rPr>
              <w:t>(12,160)</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2,635</w:t>
            </w:r>
          </w:p>
        </w:tc>
      </w:tr>
      <w:tr>
        <w:trPr>
          <w:trHeight w:val="216"/>
        </w:trPr>
        <w:tc>
          <w:tcPr>
            <w:tcW w:w="20" w:type="dxa"/>
            <w:vAlign w:val="bottom"/>
          </w:tcPr>
          <w:p>
            <w:pPr>
              <w:spacing w:after="0"/>
              <w:rPr>
                <w:sz w:val="18"/>
                <w:szCs w:val="18"/>
                <w:color w:val="auto"/>
              </w:rPr>
            </w:pPr>
          </w:p>
        </w:tc>
        <w:tc>
          <w:tcPr>
            <w:tcW w:w="4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20" w:type="dxa"/>
            <w:vAlign w:val="bottom"/>
          </w:tcPr>
          <w:p>
            <w:pPr>
              <w:spacing w:after="0"/>
              <w:rPr>
                <w:sz w:val="18"/>
                <w:szCs w:val="18"/>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7"/>
              </w:rPr>
              <w:t>2,617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3,206</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2,047</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3,395</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3,512</w:t>
            </w:r>
          </w:p>
        </w:tc>
        <w:tc>
          <w:tcPr>
            <w:tcW w:w="3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5"/>
              </w:rPr>
              <w:t>(12,160)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2,617</w:t>
            </w:r>
          </w:p>
        </w:tc>
      </w:tr>
      <w:tr>
        <w:trPr>
          <w:trHeight w:val="36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Combined</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00" w:type="dxa"/>
            <w:vAlign w:val="bottom"/>
          </w:tcPr>
          <w:p>
            <w:pPr>
              <w:spacing w:after="0"/>
              <w:rPr>
                <w:sz w:val="12"/>
                <w:szCs w:val="12"/>
                <w:color w:val="auto"/>
              </w:rPr>
            </w:pPr>
          </w:p>
        </w:tc>
        <w:tc>
          <w:tcPr>
            <w:tcW w:w="8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88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CCHMO</w:t>
            </w: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Comcast</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6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0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color w:val="auto"/>
              </w:rPr>
              <w:t>Parents</w:t>
            </w:r>
          </w:p>
        </w:tc>
        <w:tc>
          <w:tcPr>
            <w:tcW w:w="820" w:type="dxa"/>
            <w:vAlign w:val="bottom"/>
            <w:gridSpan w:val="2"/>
          </w:tcPr>
          <w:p>
            <w:pPr>
              <w:ind w:left="140"/>
              <w:spacing w:after="0"/>
              <w:rPr>
                <w:sz w:val="20"/>
                <w:szCs w:val="20"/>
                <w:color w:val="auto"/>
              </w:rPr>
            </w:pPr>
            <w:r>
              <w:rPr>
                <w:rFonts w:ascii="Arial" w:cs="Arial" w:eastAsia="Arial" w:hAnsi="Arial"/>
                <w:sz w:val="14"/>
                <w:szCs w:val="14"/>
                <w:color w:val="auto"/>
              </w:rPr>
              <w:t>Holdings</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68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26,689</w:t>
            </w:r>
          </w:p>
        </w:tc>
        <w:tc>
          <w:tcPr>
            <w:tcW w:w="3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26,689</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576</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504</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(1,403)</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576</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504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26,689</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(1,403)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26,689</w:t>
            </w:r>
          </w:p>
        </w:tc>
      </w:tr>
      <w:tr>
        <w:trPr>
          <w:trHeight w:val="210"/>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Operating (excluding depreciation and amortization)</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10,703</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10,703</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43</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5,962</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(1,403)</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5,681</w:t>
            </w: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4,127</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4,148</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760</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760</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273</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504</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21,552</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(1,403)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21,292</w:t>
            </w:r>
          </w:p>
        </w:tc>
      </w:tr>
      <w:tr>
        <w:trPr>
          <w:trHeight w:val="210"/>
        </w:trPr>
        <w:tc>
          <w:tcPr>
            <w:tcW w:w="20" w:type="dxa"/>
            <w:vAlign w:val="bottom"/>
          </w:tcPr>
          <w:p>
            <w:pPr>
              <w:spacing w:after="0"/>
              <w:rPr>
                <w:sz w:val="18"/>
                <w:szCs w:val="18"/>
                <w:color w:val="auto"/>
              </w:rPr>
            </w:pPr>
          </w:p>
        </w:tc>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(43)</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5,137</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5,397</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(969)</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(562)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(18)</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(1,828)</w:t>
            </w: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Investment income (loss), net</w:t>
            </w:r>
          </w:p>
        </w:tc>
        <w:tc>
          <w:tcPr>
            <w:tcW w:w="6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4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Equity in net income (losses) of affiliates, net</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3,120</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3,592</w:t>
            </w:r>
          </w:p>
        </w:tc>
        <w:tc>
          <w:tcPr>
            <w:tcW w:w="2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3"/>
              </w:rPr>
              <w:t>2,436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3,512</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5"/>
              </w:rPr>
              <w:t>(12,375)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2,145</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3,030</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3"/>
              </w:rPr>
              <w:t>2,257</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8"/>
              </w:rPr>
              <w:t>3,501</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(199)</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5"/>
              </w:rPr>
              <w:t>(12,375)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(1,641)</w:t>
            </w: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2,448</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3,030</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2,257</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3,458</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4,938</w:t>
            </w:r>
          </w:p>
        </w:tc>
        <w:tc>
          <w:tcPr>
            <w:tcW w:w="3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5"/>
              </w:rPr>
              <w:t>(12,375)</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3,756</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235</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197</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8"/>
              </w:rPr>
              <w:t>(1,602)</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(1,088)</w:t>
            </w: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 (loss) from consolidated operations</w:t>
            </w:r>
          </w:p>
        </w:tc>
        <w:tc>
          <w:tcPr>
            <w:tcW w:w="68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2,683</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3,227</w:t>
            </w:r>
          </w:p>
        </w:tc>
        <w:tc>
          <w:tcPr>
            <w:tcW w:w="260" w:type="dxa"/>
            <w:vAlign w:val="bottom"/>
          </w:tcPr>
          <w:p>
            <w:pPr>
              <w:spacing w:after="0"/>
              <w:rPr>
                <w:sz w:val="18"/>
                <w:szCs w:val="18"/>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2,320</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3,477</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3,336</w:t>
            </w:r>
          </w:p>
        </w:tc>
        <w:tc>
          <w:tcPr>
            <w:tcW w:w="3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5"/>
              </w:rPr>
              <w:t>(12,375)</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2,668</w:t>
            </w: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8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15</w:t>
            </w:r>
          </w:p>
        </w:tc>
      </w:tr>
      <w:tr>
        <w:trPr>
          <w:trHeight w:val="217"/>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6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2,683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3,227</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3"/>
              </w:rPr>
              <w:t>2,320</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3,477</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3,351</w:t>
            </w:r>
          </w:p>
        </w:tc>
        <w:tc>
          <w:tcPr>
            <w:tcW w:w="3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5"/>
              </w:rPr>
              <w:t>(12,375)</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2,683</w:t>
            </w:r>
          </w:p>
        </w:tc>
      </w:tr>
      <w:tr>
        <w:trPr>
          <w:trHeight w:val="36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60" w:type="dxa"/>
            <w:vAlign w:val="bottom"/>
          </w:tcPr>
          <w:p>
            <w:pPr>
              <w:spacing w:after="0"/>
              <w:rPr>
                <w:sz w:val="12"/>
                <w:szCs w:val="12"/>
                <w:color w:val="auto"/>
              </w:rPr>
            </w:pPr>
          </w:p>
        </w:tc>
        <w:tc>
          <w:tcPr>
            <w:tcW w:w="720" w:type="dxa"/>
            <w:vAlign w:val="bottom"/>
          </w:tcPr>
          <w:p>
            <w:pPr>
              <w:jc w:val="center"/>
              <w:ind w:right="253"/>
              <w:spacing w:after="0" w:line="149" w:lineRule="exact"/>
              <w:rPr>
                <w:sz w:val="20"/>
                <w:szCs w:val="20"/>
                <w:color w:val="auto"/>
              </w:rPr>
            </w:pPr>
            <w:r>
              <w:rPr>
                <w:rFonts w:ascii="Arial" w:cs="Arial" w:eastAsia="Arial" w:hAnsi="Arial"/>
                <w:sz w:val="14"/>
                <w:szCs w:val="14"/>
                <w:color w:val="auto"/>
                <w:w w:val="76"/>
              </w:rPr>
              <w:t>and</w:t>
            </w: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4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9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9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8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Comcast</w:t>
            </w:r>
          </w:p>
        </w:tc>
        <w:tc>
          <w:tcPr>
            <w:tcW w:w="106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w w:val="82"/>
              </w:rPr>
              <w:t>Parent</w:t>
            </w:r>
          </w:p>
        </w:tc>
        <w:tc>
          <w:tcPr>
            <w:tcW w:w="92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96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Holdings</w:t>
            </w:r>
          </w:p>
        </w:tc>
        <w:tc>
          <w:tcPr>
            <w:tcW w:w="106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6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6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(1,320)</w:t>
            </w:r>
          </w:p>
        </w:tc>
        <w:tc>
          <w:tcPr>
            <w:tcW w:w="3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5"/>
              </w:rPr>
              <w:t>(137)</w:t>
            </w:r>
          </w:p>
        </w:tc>
        <w:tc>
          <w:tcPr>
            <w:tcW w:w="32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(141)</w:t>
            </w:r>
          </w:p>
        </w:tc>
        <w:tc>
          <w:tcPr>
            <w:tcW w:w="30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w w:val="95"/>
              </w:rPr>
              <w:t>(223)</w:t>
            </w:r>
          </w:p>
        </w:tc>
        <w:tc>
          <w:tcPr>
            <w:tcW w:w="300" w:type="dxa"/>
            <w:vAlign w:val="bottom"/>
            <w:tcBorders>
              <w:top w:val="single" w:sz="8" w:color="auto"/>
              <w:bottom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9,553</w:t>
            </w:r>
          </w:p>
        </w:tc>
        <w:tc>
          <w:tcPr>
            <w:tcW w:w="36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7,732</w:t>
            </w: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Investing Activities: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6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7"/>
              </w:rPr>
              <w:t>1,268</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9"/>
              </w:rPr>
              <w:t>137</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8"/>
              </w:rPr>
              <w:t>(1,782)</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w w:val="98"/>
              </w:rPr>
              <w:t>(3,426)</w:t>
            </w:r>
          </w:p>
        </w:tc>
        <w:tc>
          <w:tcPr>
            <w:tcW w:w="3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(3,429)</w:t>
            </w: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6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(372)</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66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(183)</w:t>
            </w:r>
          </w:p>
        </w:tc>
        <w:tc>
          <w:tcPr>
            <w:tcW w:w="3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66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21</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66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149</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149</w:t>
            </w: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cash provided by (used in) investing activities</w:t>
            </w: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7"/>
              </w:rPr>
              <w:t>1,265</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137</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8"/>
              </w:rPr>
              <w:t>(5,647)</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r>
      <w:tr>
        <w:trPr>
          <w:trHeight w:val="210"/>
        </w:trPr>
        <w:tc>
          <w:tcPr>
            <w:tcW w:w="20" w:type="dxa"/>
            <w:vAlign w:val="bottom"/>
          </w:tcPr>
          <w:p>
            <w:pPr>
              <w:spacing w:after="0"/>
              <w:rPr>
                <w:sz w:val="18"/>
                <w:szCs w:val="18"/>
                <w:color w:val="auto"/>
              </w:rPr>
            </w:pPr>
          </w:p>
        </w:tc>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6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66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7"/>
              </w:rPr>
              <w:t>2,394</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2,420</w:t>
            </w: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6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(600)</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(13)</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(36)</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(649)</w:t>
            </w: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16"/>
        </w:trPr>
        <w:tc>
          <w:tcPr>
            <w:tcW w:w="20" w:type="dxa"/>
            <w:vAlign w:val="bottom"/>
          </w:tcPr>
          <w:p>
            <w:pPr>
              <w:spacing w:after="0"/>
              <w:rPr>
                <w:sz w:val="18"/>
                <w:szCs w:val="18"/>
                <w:color w:val="auto"/>
              </w:rPr>
            </w:pPr>
          </w:p>
        </w:tc>
        <w:tc>
          <w:tcPr>
            <w:tcW w:w="43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6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(800)</w:t>
            </w:r>
          </w:p>
        </w:tc>
        <w:tc>
          <w:tcPr>
            <w:tcW w:w="36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55</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w:t>
            </w: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66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8"/>
                <w:szCs w:val="18"/>
                <w:color w:val="auto"/>
              </w:rPr>
              <w:t>3,871</w:t>
            </w:r>
          </w:p>
        </w:tc>
        <w:tc>
          <w:tcPr>
            <w:tcW w:w="3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3,871</w:t>
            </w:r>
          </w:p>
        </w:tc>
      </w:tr>
      <w:tr>
        <w:trPr>
          <w:trHeight w:val="216"/>
        </w:trPr>
        <w:tc>
          <w:tcPr>
            <w:tcW w:w="20" w:type="dxa"/>
            <w:vAlign w:val="bottom"/>
          </w:tcPr>
          <w:p>
            <w:pPr>
              <w:spacing w:after="0"/>
              <w:rPr>
                <w:sz w:val="18"/>
                <w:szCs w:val="18"/>
                <w:color w:val="auto"/>
              </w:rPr>
            </w:pPr>
          </w:p>
        </w:tc>
        <w:tc>
          <w:tcPr>
            <w:tcW w:w="4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671</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671</w:t>
            </w:r>
          </w:p>
        </w:tc>
      </w:tr>
      <w:tr>
        <w:trPr>
          <w:trHeight w:val="217"/>
        </w:trPr>
        <w:tc>
          <w:tcPr>
            <w:tcW w:w="20" w:type="dxa"/>
            <w:vAlign w:val="bottom"/>
          </w:tcPr>
          <w:p>
            <w:pPr>
              <w:spacing w:after="0"/>
              <w:rPr>
                <w:sz w:val="18"/>
                <w:szCs w:val="18"/>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4,542</w:t>
            </w: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4,542</w:t>
            </w: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jc w:val="right"/>
              <w:ind w:right="2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Combined</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380" w:type="dxa"/>
            <w:vAlign w:val="bottom"/>
          </w:tcPr>
          <w:p>
            <w:pPr>
              <w:spacing w:after="0"/>
              <w:rPr>
                <w:sz w:val="12"/>
                <w:szCs w:val="12"/>
                <w:color w:val="auto"/>
              </w:rPr>
            </w:pPr>
          </w:p>
        </w:tc>
        <w:tc>
          <w:tcPr>
            <w:tcW w:w="740" w:type="dxa"/>
            <w:vAlign w:val="bottom"/>
          </w:tcPr>
          <w:p>
            <w:pPr>
              <w:jc w:val="center"/>
              <w:ind w:right="25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40" w:type="dxa"/>
            <w:vAlign w:val="bottom"/>
            <w:gridSpan w:val="2"/>
          </w:tcPr>
          <w:p>
            <w:pPr>
              <w:jc w:val="right"/>
              <w:ind w:right="213"/>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700" w:type="dxa"/>
            <w:vAlign w:val="bottom"/>
          </w:tcPr>
          <w:p>
            <w:pPr>
              <w:jc w:val="center"/>
              <w:ind w:right="254"/>
              <w:spacing w:after="0" w:line="149" w:lineRule="exact"/>
              <w:rPr>
                <w:sz w:val="20"/>
                <w:szCs w:val="20"/>
                <w:color w:val="auto"/>
              </w:rPr>
            </w:pPr>
            <w:r>
              <w:rPr>
                <w:rFonts w:ascii="Arial" w:cs="Arial" w:eastAsia="Arial" w:hAnsi="Arial"/>
                <w:sz w:val="14"/>
                <w:szCs w:val="14"/>
                <w:color w:val="auto"/>
                <w:w w:val="94"/>
              </w:rPr>
              <w:t>CCCL</w:t>
            </w:r>
          </w:p>
        </w:tc>
        <w:tc>
          <w:tcPr>
            <w:tcW w:w="102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CCHMO</w:t>
            </w:r>
          </w:p>
        </w:tc>
        <w:tc>
          <w:tcPr>
            <w:tcW w:w="9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12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5"/>
                <w:szCs w:val="15"/>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color w:val="auto"/>
                <w:w w:val="82"/>
              </w:rPr>
              <w:t>Parent</w:t>
            </w:r>
          </w:p>
        </w:tc>
        <w:tc>
          <w:tcPr>
            <w:tcW w:w="280" w:type="dxa"/>
            <w:vAlign w:val="bottom"/>
          </w:tcPr>
          <w:p>
            <w:pPr>
              <w:spacing w:after="0"/>
              <w:rPr>
                <w:sz w:val="15"/>
                <w:szCs w:val="15"/>
                <w:color w:val="auto"/>
              </w:rPr>
            </w:pPr>
          </w:p>
        </w:tc>
        <w:tc>
          <w:tcPr>
            <w:tcW w:w="700" w:type="dxa"/>
            <w:vAlign w:val="bottom"/>
          </w:tcPr>
          <w:p>
            <w:pPr>
              <w:jc w:val="center"/>
              <w:ind w:right="254"/>
              <w:spacing w:after="0"/>
              <w:rPr>
                <w:sz w:val="20"/>
                <w:szCs w:val="20"/>
                <w:color w:val="auto"/>
              </w:rPr>
            </w:pPr>
            <w:r>
              <w:rPr>
                <w:rFonts w:ascii="Arial" w:cs="Arial" w:eastAsia="Arial" w:hAnsi="Arial"/>
                <w:sz w:val="14"/>
                <w:szCs w:val="14"/>
                <w:color w:val="auto"/>
                <w:w w:val="87"/>
              </w:rPr>
              <w:t>Parent</w:t>
            </w:r>
          </w:p>
        </w:tc>
        <w:tc>
          <w:tcPr>
            <w:tcW w:w="1020" w:type="dxa"/>
            <w:vAlign w:val="bottom"/>
            <w:gridSpan w:val="2"/>
          </w:tcPr>
          <w:p>
            <w:pPr>
              <w:jc w:val="right"/>
              <w:ind w:right="252"/>
              <w:spacing w:after="0"/>
              <w:rPr>
                <w:sz w:val="20"/>
                <w:szCs w:val="20"/>
                <w:color w:val="auto"/>
              </w:rPr>
            </w:pPr>
            <w:r>
              <w:rPr>
                <w:rFonts w:ascii="Arial" w:cs="Arial" w:eastAsia="Arial" w:hAnsi="Arial"/>
                <w:sz w:val="14"/>
                <w:szCs w:val="14"/>
                <w:color w:val="auto"/>
              </w:rPr>
              <w:t>Parents</w:t>
            </w:r>
          </w:p>
        </w:tc>
        <w:tc>
          <w:tcPr>
            <w:tcW w:w="940" w:type="dxa"/>
            <w:vAlign w:val="bottom"/>
            <w:gridSpan w:val="2"/>
          </w:tcPr>
          <w:p>
            <w:pPr>
              <w:ind w:left="200"/>
              <w:spacing w:after="0"/>
              <w:rPr>
                <w:sz w:val="20"/>
                <w:szCs w:val="20"/>
                <w:color w:val="auto"/>
              </w:rPr>
            </w:pPr>
            <w:r>
              <w:rPr>
                <w:rFonts w:ascii="Arial" w:cs="Arial" w:eastAsia="Arial" w:hAnsi="Arial"/>
                <w:sz w:val="14"/>
                <w:szCs w:val="14"/>
                <w:color w:val="auto"/>
              </w:rPr>
              <w:t>Holdings</w:t>
            </w:r>
          </w:p>
        </w:tc>
        <w:tc>
          <w:tcPr>
            <w:tcW w:w="1120" w:type="dxa"/>
            <w:vAlign w:val="bottom"/>
            <w:gridSpan w:val="2"/>
          </w:tcPr>
          <w:p>
            <w:pPr>
              <w:ind w:left="200"/>
              <w:spacing w:after="0"/>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6"/>
              </w:rPr>
              <w:t>Net cash provided by (used in) operating activities</w:t>
            </w:r>
          </w:p>
        </w:tc>
        <w:tc>
          <w:tcPr>
            <w:tcW w:w="4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(330)</w:t>
            </w:r>
          </w:p>
        </w:tc>
        <w:tc>
          <w:tcPr>
            <w:tcW w:w="36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(197)</w:t>
            </w:r>
          </w:p>
        </w:tc>
        <w:tc>
          <w:tcPr>
            <w:tcW w:w="32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w:t>
            </w:r>
          </w:p>
        </w:tc>
        <w:tc>
          <w:tcPr>
            <w:tcW w:w="340" w:type="dxa"/>
            <w:vAlign w:val="bottom"/>
            <w:tcBorders>
              <w:top w:val="single" w:sz="8" w:color="auto"/>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8,224</w:t>
            </w:r>
          </w:p>
        </w:tc>
        <w:tc>
          <w:tcPr>
            <w:tcW w:w="38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7,725</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97"/>
              </w:rPr>
              <w:t>3,296</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551</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w w:val="98"/>
              </w:rPr>
              <w:t>(4,575)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w w:val="98"/>
              </w:rPr>
              <w:t>(3,484)</w:t>
            </w:r>
          </w:p>
        </w:tc>
        <w:tc>
          <w:tcPr>
            <w:tcW w:w="3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(3,508)</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(377)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42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investments</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42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7"/>
              </w:rPr>
              <w:t>Net cash provided by (used in) investing activities</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442</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97"/>
              </w:rPr>
              <w:t>3,296</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551</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256</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8"/>
              </w:rPr>
              <w:t>(8,546)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w:t>
            </w:r>
          </w:p>
        </w:tc>
      </w:tr>
      <w:tr>
        <w:trPr>
          <w:trHeight w:val="210"/>
        </w:trPr>
        <w:tc>
          <w:tcPr>
            <w:tcW w:w="20" w:type="dxa"/>
            <w:vAlign w:val="bottom"/>
          </w:tcPr>
          <w:p>
            <w:pPr>
              <w:spacing w:after="0"/>
              <w:rPr>
                <w:sz w:val="18"/>
                <w:szCs w:val="18"/>
                <w:color w:val="auto"/>
              </w:rPr>
            </w:pPr>
          </w:p>
        </w:tc>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2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w w:val="97"/>
              </w:rPr>
              <w:t>1,792</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1,843</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w w:val="87"/>
              </w:rPr>
              <w:t>(1,241)</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87"/>
              </w:rPr>
              <w:t>(2,836)</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(312)</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99"/>
              </w:rPr>
              <w:t>(262)</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(4,709)</w:t>
            </w: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420" w:type="dxa"/>
            <w:vAlign w:val="bottom"/>
          </w:tcPr>
          <w:p>
            <w:pPr>
              <w:spacing w:after="0"/>
              <w:rPr>
                <w:sz w:val="18"/>
                <w:szCs w:val="18"/>
                <w:color w:val="auto"/>
              </w:rPr>
            </w:pPr>
          </w:p>
        </w:tc>
        <w:tc>
          <w:tcPr>
            <w:tcW w:w="720" w:type="dxa"/>
            <w:vAlign w:val="bottom"/>
          </w:tcPr>
          <w:p>
            <w:pPr>
              <w:jc w:val="right"/>
              <w:ind w:right="113"/>
              <w:spacing w:after="0"/>
              <w:rPr>
                <w:sz w:val="20"/>
                <w:szCs w:val="20"/>
                <w:color w:val="auto"/>
              </w:rPr>
            </w:pPr>
            <w:r>
              <w:rPr>
                <w:rFonts w:ascii="Arial" w:cs="Arial" w:eastAsia="Arial" w:hAnsi="Arial"/>
                <w:sz w:val="18"/>
                <w:szCs w:val="18"/>
                <w:color w:val="auto"/>
              </w:rPr>
              <w:t>(438)</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16"/>
        </w:trPr>
        <w:tc>
          <w:tcPr>
            <w:tcW w:w="20" w:type="dxa"/>
            <w:vAlign w:val="bottom"/>
          </w:tcPr>
          <w:p>
            <w:pPr>
              <w:spacing w:after="0"/>
              <w:rPr>
                <w:sz w:val="18"/>
                <w:szCs w:val="18"/>
                <w:color w:val="auto"/>
              </w:rPr>
            </w:pPr>
          </w:p>
        </w:tc>
        <w:tc>
          <w:tcPr>
            <w:tcW w:w="40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(568)</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(130)</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10"/>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97"/>
              </w:rPr>
              <w:t>Net cash provided by (used in) financing activities</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(464)</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87"/>
              </w:rPr>
              <w:t>(2,966)</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(354)</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99"/>
              </w:rPr>
              <w:t>(262)</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(4,057)</w:t>
            </w: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tcPr>
          <w:p>
            <w:pPr>
              <w:spacing w:after="0"/>
              <w:rPr>
                <w:sz w:val="18"/>
                <w:szCs w:val="18"/>
                <w:color w:val="auto"/>
              </w:rPr>
            </w:pPr>
          </w:p>
        </w:tc>
        <w:tc>
          <w:tcPr>
            <w:tcW w:w="7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(333)</w:t>
            </w:r>
          </w:p>
        </w:tc>
        <w:tc>
          <w:tcPr>
            <w:tcW w:w="38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1,195</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1,195</w:t>
            </w:r>
          </w:p>
        </w:tc>
      </w:tr>
      <w:tr>
        <w:trPr>
          <w:trHeight w:val="217"/>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862</w:t>
            </w:r>
          </w:p>
        </w:tc>
        <w:tc>
          <w:tcPr>
            <w:tcW w:w="3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862</w:t>
            </w:r>
          </w:p>
        </w:tc>
      </w:tr>
      <w:tr>
        <w:trPr>
          <w:trHeight w:val="36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center"/>
              <w:ind w:right="214"/>
              <w:spacing w:after="0"/>
              <w:rPr>
                <w:sz w:val="20"/>
                <w:szCs w:val="20"/>
                <w:color w:val="auto"/>
              </w:rPr>
            </w:pPr>
            <w:r>
              <w:rPr>
                <w:rFonts w:ascii="Arial" w:cs="Arial" w:eastAsia="Arial" w:hAnsi="Arial"/>
                <w:sz w:val="18"/>
                <w:szCs w:val="18"/>
                <w:color w:val="auto"/>
                <w:w w:val="99"/>
              </w:rPr>
              <w:t>26</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leading provider of video, high-speed Internet and phone services (“cable services”), offering a variety of entertainment, information and communications services to residential and commercial customers. As of September 30, 2010, our cable systems served approximately 22.9 million video customers, 16.7 million high-speed Internet customers and 8.4 million phone customers and passed over 51 million homes and businesses in 39 states and the District of Columbia. We report the results of these operations as our Cable segment, which generates approximately 94% of our consolidated revenue. Our Cable segment also includes the operations of our regional sports networks. Our Programming segment consists primarily of our consolidated national programming networks, E!, Golf Channel, VERSUS, G4 and Style. Revenue from our Programming segment is generated primarily from monthly per subscriber license fees paid by multichannel video providers, the sale of advertising and the licensing of our programming internationally.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the nine months ended September 30, 2010:</w:t>
      </w:r>
    </w:p>
    <w:p>
      <w:pPr>
        <w:spacing w:after="0" w:line="77" w:lineRule="exact"/>
        <w:rPr>
          <w:sz w:val="20"/>
          <w:szCs w:val="20"/>
          <w:color w:val="auto"/>
        </w:rPr>
      </w:pPr>
    </w:p>
    <w:p>
      <w:pPr>
        <w:ind w:left="1020" w:right="1260" w:hanging="215"/>
        <w:spacing w:after="0" w:line="26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consolidated revenue of 5.7% to $28.2 billion and an increase in consolidated operating income of 10.6% to $6.0 billion</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Cable segment revenue of 5.2% to $26.6 billion and an increase in operating income before depreciation and amortization of 5.6% to $10.8 billion</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Programming segment revenue of 11.3% to $1.3 billion and an increase in operating income before depreciation and amortization of 23.2% to $423 million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addition of 766,000 high-speed Internet customers and 731,000 phone customers; a decrease of 622,000 video customers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reduction in Cable segment capital expenditures of 2.9% to $3.4 billion</w:t>
      </w:r>
    </w:p>
    <w:p>
      <w:pPr>
        <w:spacing w:after="0" w:line="76"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repurchase of 54 million shares of our Class A Special common stock, including 438,000 shares which did not settle until October 2010, under our share repurchase authorization for $900 million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of $800 million in dividends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issuance of $2.4 billion aggregate principal amount of notes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 Universal Transaction</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sold $4.0 billion aggregate principal amount of senior notes in April 2010 and $5.1 billion aggregate principal amount of senior notes in October 2010 in connection with the transaction. We will contribute our national programming networks, our regional sports networks and certain of our Internet businesses, as well as other assets used primarily in those businesses. We will also make a cash payment to GE of $7.1 billion, less certain adjustments primarily based on the free cash flow generated by NBC Universal between December 4, 2009 and the closing. The transaction is subject to various regulatory approvals and is expected to close by the end of 2010.</w:t>
      </w:r>
    </w:p>
    <w:p>
      <w:pPr>
        <w:spacing w:after="0" w:line="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GE will be entitled to cause the new company to redeem half of GE’s interest 3.5 years after the closing and its remaining interest 7 years after the closing. If GE exercises its first redemption right, we have the right to purchase the remainder of GE’s interest at that time. If GE does not exercise its first redemption right, we have the right to purchase half of GE’s interest 5 years after the closing. We also will have the right to purchase GE’s remaining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if any, 8 years after the closing. The redemption and purchase price will equal the ownership percentage being acquired multiplied by 120% of the fully distributed public market trading value of the new company, less half of the excess of 120% of that value over $28.15 billion. Subject to various limitations, we are committed to fund up to $2.875 billion in cash or common stock for each of the two redemptions (for an aggregate of up to $5.75 billion), with amounts not used in the first redemption to be available for the second redemption.</w:t>
      </w:r>
    </w:p>
    <w:p>
      <w:pPr>
        <w:spacing w:after="0" w:line="4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incurred expenses related to legal, accounting and valuation services of $21 million and $57 million for the three and nine months ended September 30, 2010, respectively, which are reflected in operating, selling, general and administrative expenses. We also incurred certain financing and other shared costs with GE associated with NBC Universal’s debt facilities entered into at the December 2009 agreement date and with the sale of NBC Universal’s senior notes in 2010. Other income (expense) includes $43 million and $91 million of these costs for the three and nine months ended September 30, 2010, respectively. Interest expense includes $2 million and $6 million of these costs for the three and nine months ended September 30, 2010,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3"/>
          </w:tcPr>
          <w:p>
            <w:pPr>
              <w:jc w:val="right"/>
              <w:ind w:right="394"/>
              <w:spacing w:after="0"/>
              <w:rPr>
                <w:sz w:val="20"/>
                <w:szCs w:val="20"/>
                <w:color w:val="auto"/>
              </w:rPr>
            </w:pPr>
            <w:r>
              <w:rPr>
                <w:rFonts w:ascii="Arial" w:cs="Arial" w:eastAsia="Arial" w:hAnsi="Arial"/>
                <w:sz w:val="14"/>
                <w:szCs w:val="14"/>
                <w:color w:val="auto"/>
                <w:w w:val="93"/>
              </w:rPr>
              <w:t>Three Months Ended</w:t>
            </w:r>
          </w:p>
        </w:tc>
        <w:tc>
          <w:tcPr>
            <w:tcW w:w="1260" w:type="dxa"/>
            <w:vAlign w:val="bottom"/>
          </w:tcPr>
          <w:p>
            <w:pPr>
              <w:jc w:val="right"/>
              <w:ind w:right="415"/>
              <w:spacing w:after="0"/>
              <w:rPr>
                <w:sz w:val="20"/>
                <w:szCs w:val="20"/>
                <w:color w:val="auto"/>
              </w:rPr>
            </w:pPr>
            <w:r>
              <w:rPr>
                <w:rFonts w:ascii="Arial" w:cs="Arial" w:eastAsia="Arial" w:hAnsi="Arial"/>
                <w:sz w:val="14"/>
                <w:szCs w:val="14"/>
                <w:color w:val="auto"/>
              </w:rPr>
              <w:t>Increase/</w:t>
            </w:r>
          </w:p>
        </w:tc>
        <w:tc>
          <w:tcPr>
            <w:tcW w:w="300" w:type="dxa"/>
            <w:vAlign w:val="bottom"/>
          </w:tcPr>
          <w:p>
            <w:pPr>
              <w:spacing w:after="0"/>
              <w:rPr>
                <w:sz w:val="14"/>
                <w:szCs w:val="14"/>
                <w:color w:val="auto"/>
              </w:rPr>
            </w:pPr>
          </w:p>
        </w:tc>
        <w:tc>
          <w:tcPr>
            <w:tcW w:w="1840" w:type="dxa"/>
            <w:vAlign w:val="bottom"/>
            <w:gridSpan w:val="3"/>
          </w:tcPr>
          <w:p>
            <w:pPr>
              <w:jc w:val="right"/>
              <w:ind w:right="474"/>
              <w:spacing w:after="0"/>
              <w:rPr>
                <w:sz w:val="20"/>
                <w:szCs w:val="20"/>
                <w:color w:val="auto"/>
              </w:rPr>
            </w:pPr>
            <w:r>
              <w:rPr>
                <w:rFonts w:ascii="Arial" w:cs="Arial" w:eastAsia="Arial" w:hAnsi="Arial"/>
                <w:sz w:val="14"/>
                <w:szCs w:val="14"/>
                <w:color w:val="auto"/>
              </w:rPr>
              <w:t>Nine Months Ended</w:t>
            </w:r>
          </w:p>
        </w:tc>
        <w:tc>
          <w:tcPr>
            <w:tcW w:w="1080" w:type="dxa"/>
            <w:vAlign w:val="bottom"/>
          </w:tcPr>
          <w:p>
            <w:pPr>
              <w:jc w:val="right"/>
              <w:ind w:right="25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75"/>
              <w:spacing w:after="0" w:line="159" w:lineRule="exact"/>
              <w:rPr>
                <w:sz w:val="20"/>
                <w:szCs w:val="20"/>
                <w:color w:val="auto"/>
              </w:rPr>
            </w:pPr>
            <w:r>
              <w:rPr>
                <w:rFonts w:ascii="Arial" w:cs="Arial" w:eastAsia="Arial" w:hAnsi="Arial"/>
                <w:sz w:val="14"/>
                <w:szCs w:val="14"/>
                <w:color w:val="auto"/>
              </w:rPr>
              <w:t>(Decrease)</w:t>
            </w:r>
          </w:p>
        </w:tc>
        <w:tc>
          <w:tcPr>
            <w:tcW w:w="3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654"/>
              <w:spacing w:after="0" w:line="159" w:lineRule="exact"/>
              <w:rPr>
                <w:sz w:val="20"/>
                <w:szCs w:val="20"/>
                <w:color w:val="auto"/>
              </w:rPr>
            </w:pPr>
            <w:r>
              <w:rPr>
                <w:rFonts w:ascii="Arial" w:cs="Arial" w:eastAsia="Arial" w:hAnsi="Arial"/>
                <w:sz w:val="14"/>
                <w:szCs w:val="14"/>
                <w:color w:val="auto"/>
              </w:rPr>
              <w:t>September 30</w:t>
            </w:r>
          </w:p>
        </w:tc>
        <w:tc>
          <w:tcPr>
            <w:tcW w:w="1080" w:type="dxa"/>
            <w:vAlign w:val="bottom"/>
            <w:tcBorders>
              <w:bottom w:val="single" w:sz="8" w:color="auto"/>
            </w:tcBorders>
          </w:tcPr>
          <w:p>
            <w:pPr>
              <w:jc w:val="right"/>
              <w:ind w:right="19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4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c>
          <w:tcPr>
            <w:tcW w:w="700" w:type="dxa"/>
            <w:vAlign w:val="bottom"/>
          </w:tcPr>
          <w:p>
            <w:pPr>
              <w:jc w:val="right"/>
              <w:ind w:right="337"/>
              <w:spacing w:after="0"/>
              <w:rPr>
                <w:sz w:val="20"/>
                <w:szCs w:val="20"/>
                <w:color w:val="auto"/>
              </w:rPr>
            </w:pPr>
            <w:r>
              <w:rPr>
                <w:rFonts w:ascii="Arial" w:cs="Arial" w:eastAsia="Arial" w:hAnsi="Arial"/>
                <w:sz w:val="14"/>
                <w:szCs w:val="14"/>
                <w:color w:val="auto"/>
                <w:w w:val="83"/>
              </w:rPr>
              <w:t>2010</w:t>
            </w:r>
          </w:p>
        </w:tc>
        <w:tc>
          <w:tcPr>
            <w:tcW w:w="340" w:type="dxa"/>
            <w:vAlign w:val="bottom"/>
          </w:tcPr>
          <w:p>
            <w:pPr>
              <w:spacing w:after="0"/>
              <w:rPr>
                <w:sz w:val="20"/>
                <w:szCs w:val="20"/>
                <w:color w:val="auto"/>
              </w:rPr>
            </w:pPr>
          </w:p>
        </w:tc>
        <w:tc>
          <w:tcPr>
            <w:tcW w:w="680" w:type="dxa"/>
            <w:vAlign w:val="bottom"/>
          </w:tcPr>
          <w:p>
            <w:pPr>
              <w:jc w:val="right"/>
              <w:ind w:right="314"/>
              <w:spacing w:after="0"/>
              <w:rPr>
                <w:sz w:val="20"/>
                <w:szCs w:val="20"/>
                <w:color w:val="auto"/>
              </w:rPr>
            </w:pPr>
            <w:r>
              <w:rPr>
                <w:rFonts w:ascii="Arial" w:cs="Arial" w:eastAsia="Arial" w:hAnsi="Arial"/>
                <w:sz w:val="14"/>
                <w:szCs w:val="14"/>
                <w:color w:val="auto"/>
                <w:w w:val="83"/>
              </w:rPr>
              <w:t>2009</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337"/>
              <w:spacing w:after="0"/>
              <w:rPr>
                <w:sz w:val="20"/>
                <w:szCs w:val="20"/>
                <w:color w:val="auto"/>
              </w:rPr>
            </w:pPr>
            <w:r>
              <w:rPr>
                <w:rFonts w:ascii="Arial" w:cs="Arial" w:eastAsia="Arial" w:hAnsi="Arial"/>
                <w:sz w:val="14"/>
                <w:szCs w:val="14"/>
                <w:color w:val="auto"/>
              </w:rPr>
              <w:t>2010</w:t>
            </w:r>
          </w:p>
        </w:tc>
        <w:tc>
          <w:tcPr>
            <w:tcW w:w="300" w:type="dxa"/>
            <w:vAlign w:val="bottom"/>
          </w:tcPr>
          <w:p>
            <w:pPr>
              <w:spacing w:after="0"/>
              <w:rPr>
                <w:sz w:val="20"/>
                <w:szCs w:val="20"/>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color w:val="auto"/>
              </w:rPr>
              <w:t>2009</w:t>
            </w:r>
          </w:p>
        </w:tc>
        <w:tc>
          <w:tcPr>
            <w:tcW w:w="10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(a)</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w w:val="88"/>
              </w:rPr>
              <w:t>9,489</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4"/>
              </w:rPr>
              <w:t>8,845</w:t>
            </w:r>
          </w:p>
        </w:tc>
        <w:tc>
          <w:tcPr>
            <w:tcW w:w="1260" w:type="dxa"/>
            <w:vAlign w:val="bottom"/>
            <w:tcBorders>
              <w:top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7.3%</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w w:val="83"/>
              </w:rPr>
              <w:t>28,216</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7"/>
              </w:rPr>
              <w:t>26,689</w:t>
            </w:r>
          </w:p>
        </w:tc>
        <w:tc>
          <w:tcPr>
            <w:tcW w:w="1080" w:type="dxa"/>
            <w:vAlign w:val="bottom"/>
            <w:tcBorders>
              <w:top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700" w:type="dxa"/>
            <w:vAlign w:val="bottom"/>
            <w:shd w:val="clear" w:color="auto" w:fill="E5E5E5"/>
          </w:tcPr>
          <w:p>
            <w:pPr>
              <w:spacing w:after="0"/>
              <w:rPr>
                <w:sz w:val="20"/>
                <w:szCs w:val="20"/>
                <w:color w:val="auto"/>
              </w:rPr>
            </w:pPr>
            <w:r>
              <w:rPr>
                <w:rFonts w:ascii="Arial" w:cs="Arial" w:eastAsia="Arial" w:hAnsi="Arial"/>
                <w:sz w:val="18"/>
                <w:szCs w:val="18"/>
                <w:color w:val="auto"/>
              </w:rPr>
              <w:t>Operating, selling, general and administrative (excluding</w:t>
            </w:r>
          </w:p>
        </w:tc>
        <w:tc>
          <w:tcPr>
            <w:tcW w:w="5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 and amortization)(a)</w:t>
            </w:r>
          </w:p>
        </w:tc>
        <w:tc>
          <w:tcPr>
            <w:tcW w:w="50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w w:val="88"/>
              </w:rPr>
              <w:t>5,911</w:t>
            </w: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4"/>
              </w:rPr>
              <w:t>5,519</w:t>
            </w:r>
          </w:p>
        </w:tc>
        <w:tc>
          <w:tcPr>
            <w:tcW w:w="126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7.1</w:t>
            </w:r>
          </w:p>
        </w:tc>
        <w:tc>
          <w:tcPr>
            <w:tcW w:w="30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w w:val="83"/>
              </w:rPr>
              <w:t>17,336</w:t>
            </w:r>
          </w:p>
        </w:tc>
        <w:tc>
          <w:tcPr>
            <w:tcW w:w="30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7"/>
              </w:rPr>
              <w:t>16,384</w:t>
            </w:r>
          </w:p>
        </w:tc>
        <w:tc>
          <w:tcPr>
            <w:tcW w:w="108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700" w:type="dxa"/>
            <w:vAlign w:val="bottom"/>
          </w:tcPr>
          <w:p>
            <w:pPr>
              <w:jc w:val="right"/>
              <w:ind w:right="197"/>
              <w:spacing w:after="0"/>
              <w:rPr>
                <w:sz w:val="20"/>
                <w:szCs w:val="20"/>
                <w:color w:val="auto"/>
              </w:rPr>
            </w:pPr>
            <w:r>
              <w:rPr>
                <w:rFonts w:ascii="Arial" w:cs="Arial" w:eastAsia="Arial" w:hAnsi="Arial"/>
                <w:sz w:val="18"/>
                <w:szCs w:val="18"/>
                <w:color w:val="auto"/>
                <w:w w:val="88"/>
              </w:rPr>
              <w:t>1,377</w:t>
            </w:r>
          </w:p>
        </w:tc>
        <w:tc>
          <w:tcPr>
            <w:tcW w:w="34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1,362</w:t>
            </w:r>
          </w:p>
        </w:tc>
        <w:tc>
          <w:tcPr>
            <w:tcW w:w="1260" w:type="dxa"/>
            <w:vAlign w:val="bottom"/>
          </w:tcPr>
          <w:p>
            <w:pPr>
              <w:jc w:val="right"/>
              <w:ind w:right="375"/>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4,167</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4,148</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247</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253</w:t>
            </w:r>
          </w:p>
        </w:tc>
        <w:tc>
          <w:tcPr>
            <w:tcW w:w="12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746</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760</w:t>
            </w:r>
          </w:p>
        </w:tc>
        <w:tc>
          <w:tcPr>
            <w:tcW w:w="108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18"/>
                <w:szCs w:val="18"/>
                <w:color w:val="auto"/>
              </w:rPr>
            </w:pPr>
          </w:p>
        </w:tc>
        <w:tc>
          <w:tcPr>
            <w:tcW w:w="700" w:type="dxa"/>
            <w:vAlign w:val="bottom"/>
          </w:tcPr>
          <w:p>
            <w:pPr>
              <w:jc w:val="right"/>
              <w:ind w:right="197"/>
              <w:spacing w:after="0"/>
              <w:rPr>
                <w:sz w:val="20"/>
                <w:szCs w:val="20"/>
                <w:color w:val="auto"/>
              </w:rPr>
            </w:pPr>
            <w:r>
              <w:rPr>
                <w:rFonts w:ascii="Arial" w:cs="Arial" w:eastAsia="Arial" w:hAnsi="Arial"/>
                <w:sz w:val="18"/>
                <w:szCs w:val="18"/>
                <w:color w:val="auto"/>
                <w:w w:val="88"/>
              </w:rPr>
              <w:t>1,954</w:t>
            </w:r>
          </w:p>
        </w:tc>
        <w:tc>
          <w:tcPr>
            <w:tcW w:w="34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1,711</w:t>
            </w:r>
          </w:p>
        </w:tc>
        <w:tc>
          <w:tcPr>
            <w:tcW w:w="1260" w:type="dxa"/>
            <w:vAlign w:val="bottom"/>
          </w:tcPr>
          <w:p>
            <w:pPr>
              <w:jc w:val="right"/>
              <w:ind w:right="375"/>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5,967</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5,397</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(500)</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(574)</w:t>
            </w:r>
          </w:p>
        </w:tc>
        <w:tc>
          <w:tcPr>
            <w:tcW w:w="126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color w:val="auto"/>
              </w:rPr>
              <w:t>(12.7)</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91"/>
              </w:rPr>
              <w:t>(1,569)</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94"/>
              </w:rPr>
              <w:t>(1,641)</w:t>
            </w:r>
          </w:p>
        </w:tc>
        <w:tc>
          <w:tcPr>
            <w:tcW w:w="108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18"/>
                <w:szCs w:val="18"/>
                <w:color w:val="auto"/>
              </w:rPr>
            </w:pPr>
          </w:p>
        </w:tc>
        <w:tc>
          <w:tcPr>
            <w:tcW w:w="700" w:type="dxa"/>
            <w:vAlign w:val="bottom"/>
          </w:tcPr>
          <w:p>
            <w:pPr>
              <w:jc w:val="right"/>
              <w:ind w:right="197"/>
              <w:spacing w:after="0"/>
              <w:rPr>
                <w:sz w:val="20"/>
                <w:szCs w:val="20"/>
                <w:color w:val="auto"/>
              </w:rPr>
            </w:pPr>
            <w:r>
              <w:rPr>
                <w:rFonts w:ascii="Arial" w:cs="Arial" w:eastAsia="Arial" w:hAnsi="Arial"/>
                <w:sz w:val="18"/>
                <w:szCs w:val="18"/>
                <w:color w:val="auto"/>
                <w:w w:val="88"/>
              </w:rPr>
              <w:t>1,454</w:t>
            </w:r>
          </w:p>
        </w:tc>
        <w:tc>
          <w:tcPr>
            <w:tcW w:w="34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1,137</w:t>
            </w:r>
          </w:p>
        </w:tc>
        <w:tc>
          <w:tcPr>
            <w:tcW w:w="1260" w:type="dxa"/>
            <w:vAlign w:val="bottom"/>
          </w:tcPr>
          <w:p>
            <w:pPr>
              <w:jc w:val="right"/>
              <w:ind w:right="375"/>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4,398</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3,756</w:t>
            </w:r>
          </w:p>
        </w:tc>
        <w:tc>
          <w:tcPr>
            <w:tcW w:w="1080" w:type="dxa"/>
            <w:vAlign w:val="bottom"/>
          </w:tcPr>
          <w:p>
            <w:pPr>
              <w:jc w:val="right"/>
              <w:ind w:right="195"/>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(584)</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(203)</w:t>
            </w:r>
          </w:p>
        </w:tc>
        <w:tc>
          <w:tcPr>
            <w:tcW w:w="126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187.8</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w w:val="91"/>
              </w:rPr>
              <w:t>(1,763)</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94"/>
              </w:rPr>
              <w:t>(1,088)</w:t>
            </w:r>
          </w:p>
        </w:tc>
        <w:tc>
          <w:tcPr>
            <w:tcW w:w="10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62.0</w:t>
            </w: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from consolidated operations</w:t>
            </w:r>
          </w:p>
        </w:tc>
        <w:tc>
          <w:tcPr>
            <w:tcW w:w="500" w:type="dxa"/>
            <w:vAlign w:val="bottom"/>
          </w:tcPr>
          <w:p>
            <w:pPr>
              <w:spacing w:after="0"/>
              <w:rPr>
                <w:sz w:val="18"/>
                <w:szCs w:val="18"/>
                <w:color w:val="auto"/>
              </w:rPr>
            </w:pPr>
          </w:p>
        </w:tc>
        <w:tc>
          <w:tcPr>
            <w:tcW w:w="700" w:type="dxa"/>
            <w:vAlign w:val="bottom"/>
          </w:tcPr>
          <w:p>
            <w:pPr>
              <w:jc w:val="right"/>
              <w:ind w:right="197"/>
              <w:spacing w:after="0"/>
              <w:rPr>
                <w:sz w:val="20"/>
                <w:szCs w:val="20"/>
                <w:color w:val="auto"/>
              </w:rPr>
            </w:pPr>
            <w:r>
              <w:rPr>
                <w:rFonts w:ascii="Arial" w:cs="Arial" w:eastAsia="Arial" w:hAnsi="Arial"/>
                <w:sz w:val="18"/>
                <w:szCs w:val="18"/>
                <w:color w:val="auto"/>
              </w:rPr>
              <w:t>870</w:t>
            </w:r>
          </w:p>
        </w:tc>
        <w:tc>
          <w:tcPr>
            <w:tcW w:w="34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934</w:t>
            </w:r>
          </w:p>
        </w:tc>
        <w:tc>
          <w:tcPr>
            <w:tcW w:w="1260" w:type="dxa"/>
            <w:vAlign w:val="bottom"/>
          </w:tcPr>
          <w:p>
            <w:pPr>
              <w:jc w:val="right"/>
              <w:ind w:right="315"/>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760" w:type="dxa"/>
            <w:vAlign w:val="bottom"/>
          </w:tcPr>
          <w:p>
            <w:pPr>
              <w:jc w:val="right"/>
              <w:ind w:right="197"/>
              <w:spacing w:after="0"/>
              <w:rPr>
                <w:sz w:val="20"/>
                <w:szCs w:val="20"/>
                <w:color w:val="auto"/>
              </w:rPr>
            </w:pPr>
            <w:r>
              <w:rPr>
                <w:rFonts w:ascii="Arial" w:cs="Arial" w:eastAsia="Arial" w:hAnsi="Arial"/>
                <w:sz w:val="18"/>
                <w:szCs w:val="18"/>
                <w:color w:val="auto"/>
              </w:rPr>
              <w:t>2,635</w:t>
            </w:r>
          </w:p>
        </w:tc>
        <w:tc>
          <w:tcPr>
            <w:tcW w:w="300" w:type="dxa"/>
            <w:vAlign w:val="bottom"/>
          </w:tcPr>
          <w:p>
            <w:pPr>
              <w:spacing w:after="0"/>
              <w:rPr>
                <w:sz w:val="18"/>
                <w:szCs w:val="18"/>
                <w:color w:val="auto"/>
              </w:rPr>
            </w:pPr>
          </w:p>
        </w:tc>
        <w:tc>
          <w:tcPr>
            <w:tcW w:w="780" w:type="dxa"/>
            <w:vAlign w:val="bottom"/>
          </w:tcPr>
          <w:p>
            <w:pPr>
              <w:jc w:val="right"/>
              <w:ind w:right="194"/>
              <w:spacing w:after="0"/>
              <w:rPr>
                <w:sz w:val="20"/>
                <w:szCs w:val="20"/>
                <w:color w:val="auto"/>
              </w:rPr>
            </w:pPr>
            <w:r>
              <w:rPr>
                <w:rFonts w:ascii="Arial" w:cs="Arial" w:eastAsia="Arial" w:hAnsi="Arial"/>
                <w:sz w:val="18"/>
                <w:szCs w:val="18"/>
                <w:color w:val="auto"/>
              </w:rPr>
              <w:t>2,668</w:t>
            </w:r>
          </w:p>
        </w:tc>
        <w:tc>
          <w:tcPr>
            <w:tcW w:w="1080" w:type="dxa"/>
            <w:vAlign w:val="bottom"/>
          </w:tcPr>
          <w:p>
            <w:pPr>
              <w:jc w:val="right"/>
              <w:ind w:right="135"/>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15</w:t>
            </w:r>
          </w:p>
        </w:tc>
        <w:tc>
          <w:tcPr>
            <w:tcW w:w="108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NM</w:t>
            </w:r>
          </w:p>
        </w:tc>
      </w:tr>
      <w:tr>
        <w:trPr>
          <w:trHeight w:val="217"/>
        </w:trPr>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867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944</w:t>
            </w: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2,617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2,683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Reclassifications have been made to the prior year’s amounts to conform to classifications used in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and Programming segments accounted for substantially all of the increases in consolidated revenue for the three and nine months ended September 30, 2010 compared to the same periods in 2009. The remaining changes related to our other business activities, primarily Comcast Interactive Media and Comcast Spectacor. Cable segment revenue and Programming segment revenue are discussed separately in “Segment Operating Results.”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Selling, General and Administrative Expenses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segment accounted for substantially all of the increases in consolidated operating, selling, general and administrative expenses for the three and nine months ended September 30, 2010 compared to the same periods in 2009. The remaining changes related to our other business activities, primarily Comcast Interactive Media and Comcast Spectacor, costs associated with the NBC Universal transaction of $21 million and $57 million for the three and nine months ended September 30, 2010, respectively, and our Programming segment. Cable segment and Programming segment operating, selling, general and administrative expenses are discussed separately in “Segment Operating Results.”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Depreciation expense and amortization expense remained relatively stable for three and nine months ended September 30, 2010 compared to the same periods in 2009.</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To measure the performance of our operating segments, we use operating income (loss) before depreciation and amortization, excluding impairments related to fixed and intangible assets, and gains or losses from the sale of assets, if any. This measure eliminates the significant level of noncash depreciation and amortization expense that results from the capital- intensive nature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this metric to measure our segment profit or loss, we reconcile it to operating income (loss), the most directly comparable financial measure calculated and presented in accordance with generally accepted accounting principles in the United States (“GAAP”) in the business segment footnote to our condensed consolidated financial statements (see Note 13 to our condensed consolidated financial statements).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right"/>
              <w:ind w:right="294"/>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Borders>
              <w:bottom w:val="single" w:sz="8" w:color="auto"/>
            </w:tcBorders>
            <w:gridSpan w:val="2"/>
          </w:tcPr>
          <w:p>
            <w:pPr>
              <w:jc w:val="right"/>
              <w:ind w:right="494"/>
              <w:spacing w:after="0" w:line="159" w:lineRule="exact"/>
              <w:rPr>
                <w:sz w:val="20"/>
                <w:szCs w:val="20"/>
                <w:color w:val="auto"/>
              </w:rPr>
            </w:pPr>
            <w:r>
              <w:rPr>
                <w:rFonts w:ascii="Arial" w:cs="Arial" w:eastAsia="Arial" w:hAnsi="Arial"/>
                <w:sz w:val="14"/>
                <w:szCs w:val="14"/>
                <w:color w:val="auto"/>
              </w:rPr>
              <w:t>September 30</w:t>
            </w: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314"/>
              <w:spacing w:after="0" w:line="159" w:lineRule="exact"/>
              <w:rPr>
                <w:sz w:val="20"/>
                <w:szCs w:val="20"/>
                <w:color w:val="auto"/>
              </w:rPr>
            </w:pPr>
            <w:r>
              <w:rPr>
                <w:rFonts w:ascii="Arial" w:cs="Arial" w:eastAsia="Arial" w:hAnsi="Arial"/>
                <w:sz w:val="14"/>
                <w:szCs w:val="14"/>
                <w:color w:val="auto"/>
                <w:w w:val="88"/>
              </w:rPr>
              <w:t>Increase/(Decrease)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2010</w:t>
            </w:r>
          </w:p>
        </w:tc>
        <w:tc>
          <w:tcPr>
            <w:tcW w:w="98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2009</w:t>
            </w:r>
          </w:p>
        </w:tc>
        <w:tc>
          <w:tcPr>
            <w:tcW w:w="320" w:type="dxa"/>
            <w:vAlign w:val="bottom"/>
          </w:tcPr>
          <w:p>
            <w:pPr>
              <w:spacing w:after="0"/>
              <w:rPr>
                <w:sz w:val="12"/>
                <w:szCs w:val="12"/>
                <w:color w:val="auto"/>
              </w:rPr>
            </w:pPr>
          </w:p>
        </w:tc>
        <w:tc>
          <w:tcPr>
            <w:tcW w:w="720" w:type="dxa"/>
            <w:vAlign w:val="bottom"/>
          </w:tcPr>
          <w:p>
            <w:pPr>
              <w:jc w:val="right"/>
              <w:ind w:right="476"/>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3680" w:type="dxa"/>
            <w:vAlign w:val="bottom"/>
            <w:tcBorders>
              <w:top w:val="single" w:sz="8" w:color="auto"/>
            </w:tcBorders>
            <w:gridSpan w:val="3"/>
            <w:shd w:val="clear" w:color="auto" w:fill="E5E5E5"/>
          </w:tcPr>
          <w:p>
            <w:pPr>
              <w:jc w:val="right"/>
              <w:ind w:right="112"/>
              <w:spacing w:after="0"/>
              <w:rPr>
                <w:sz w:val="20"/>
                <w:szCs w:val="20"/>
                <w:color w:val="auto"/>
              </w:rPr>
            </w:pPr>
            <w:r>
              <w:rPr>
                <w:rFonts w:ascii="Arial" w:cs="Arial" w:eastAsia="Arial" w:hAnsi="Arial"/>
                <w:sz w:val="18"/>
                <w:szCs w:val="18"/>
                <w:color w:val="auto"/>
              </w:rPr>
              <w:t>$ 4,881</w:t>
            </w:r>
          </w:p>
        </w:tc>
        <w:tc>
          <w:tcPr>
            <w:tcW w:w="980" w:type="dxa"/>
            <w:vAlign w:val="bottom"/>
            <w:tcBorders>
              <w:top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$ 4,777</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104</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High-speed Internet</w:t>
            </w:r>
          </w:p>
        </w:tc>
        <w:tc>
          <w:tcPr>
            <w:tcW w:w="3680" w:type="dxa"/>
            <w:vAlign w:val="bottom"/>
            <w:gridSpan w:val="3"/>
          </w:tcPr>
          <w:p>
            <w:pPr>
              <w:jc w:val="right"/>
              <w:ind w:right="112"/>
              <w:spacing w:after="0"/>
              <w:rPr>
                <w:sz w:val="20"/>
                <w:szCs w:val="20"/>
                <w:color w:val="auto"/>
              </w:rPr>
            </w:pPr>
            <w:r>
              <w:rPr>
                <w:rFonts w:ascii="Arial" w:cs="Arial" w:eastAsia="Arial" w:hAnsi="Arial"/>
                <w:sz w:val="18"/>
                <w:szCs w:val="18"/>
                <w:color w:val="auto"/>
              </w:rPr>
              <w:t>2,164</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1,930</w:t>
            </w:r>
          </w:p>
        </w:tc>
        <w:tc>
          <w:tcPr>
            <w:tcW w:w="320" w:type="dxa"/>
            <w:vAlign w:val="bottom"/>
          </w:tcPr>
          <w:p>
            <w:pPr>
              <w:spacing w:after="0"/>
              <w:rPr>
                <w:sz w:val="18"/>
                <w:szCs w:val="18"/>
                <w:color w:val="auto"/>
              </w:rPr>
            </w:pPr>
          </w:p>
        </w:tc>
        <w:tc>
          <w:tcPr>
            <w:tcW w:w="720" w:type="dxa"/>
            <w:vAlign w:val="bottom"/>
          </w:tcPr>
          <w:p>
            <w:pPr>
              <w:jc w:val="right"/>
              <w:ind w:right="276"/>
              <w:spacing w:after="0"/>
              <w:rPr>
                <w:sz w:val="20"/>
                <w:szCs w:val="20"/>
                <w:color w:val="auto"/>
              </w:rPr>
            </w:pPr>
            <w:r>
              <w:rPr>
                <w:rFonts w:ascii="Arial" w:cs="Arial" w:eastAsia="Arial" w:hAnsi="Arial"/>
                <w:sz w:val="18"/>
                <w:szCs w:val="18"/>
                <w:color w:val="auto"/>
              </w:rPr>
              <w:t>234</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3680" w:type="dxa"/>
            <w:vAlign w:val="bottom"/>
            <w:gridSpan w:val="3"/>
            <w:shd w:val="clear" w:color="auto" w:fill="E5E5E5"/>
          </w:tcPr>
          <w:p>
            <w:pPr>
              <w:jc w:val="right"/>
              <w:ind w:right="112"/>
              <w:spacing w:after="0"/>
              <w:rPr>
                <w:sz w:val="20"/>
                <w:szCs w:val="20"/>
                <w:color w:val="auto"/>
              </w:rPr>
            </w:pPr>
            <w:r>
              <w:rPr>
                <w:rFonts w:ascii="Arial" w:cs="Arial" w:eastAsia="Arial" w:hAnsi="Arial"/>
                <w:sz w:val="18"/>
                <w:szCs w:val="18"/>
                <w:color w:val="auto"/>
              </w:rPr>
              <w:t>934</w:t>
            </w: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829</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105</w:t>
            </w:r>
          </w:p>
        </w:tc>
        <w:tc>
          <w:tcPr>
            <w:tcW w:w="8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Advertising(a)</w:t>
            </w:r>
          </w:p>
        </w:tc>
        <w:tc>
          <w:tcPr>
            <w:tcW w:w="3680" w:type="dxa"/>
            <w:vAlign w:val="bottom"/>
            <w:gridSpan w:val="3"/>
          </w:tcPr>
          <w:p>
            <w:pPr>
              <w:jc w:val="right"/>
              <w:ind w:right="112"/>
              <w:spacing w:after="0"/>
              <w:rPr>
                <w:sz w:val="20"/>
                <w:szCs w:val="20"/>
                <w:color w:val="auto"/>
              </w:rPr>
            </w:pPr>
            <w:r>
              <w:rPr>
                <w:rFonts w:ascii="Arial" w:cs="Arial" w:eastAsia="Arial" w:hAnsi="Arial"/>
                <w:sz w:val="18"/>
                <w:szCs w:val="18"/>
                <w:color w:val="auto"/>
              </w:rPr>
              <w:t>461</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18"/>
                <w:szCs w:val="18"/>
                <w:color w:val="auto"/>
              </w:rPr>
            </w:pPr>
          </w:p>
        </w:tc>
        <w:tc>
          <w:tcPr>
            <w:tcW w:w="720" w:type="dxa"/>
            <w:vAlign w:val="bottom"/>
          </w:tcPr>
          <w:p>
            <w:pPr>
              <w:jc w:val="right"/>
              <w:ind w:right="276"/>
              <w:spacing w:after="0"/>
              <w:rPr>
                <w:sz w:val="20"/>
                <w:szCs w:val="20"/>
                <w:color w:val="auto"/>
              </w:rPr>
            </w:pPr>
            <w:r>
              <w:rPr>
                <w:rFonts w:ascii="Arial" w:cs="Arial" w:eastAsia="Arial" w:hAnsi="Arial"/>
                <w:sz w:val="18"/>
                <w:szCs w:val="18"/>
                <w:color w:val="auto"/>
              </w:rPr>
              <w:t>98</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Other(a)</w:t>
            </w:r>
          </w:p>
        </w:tc>
        <w:tc>
          <w:tcPr>
            <w:tcW w:w="3680" w:type="dxa"/>
            <w:vAlign w:val="bottom"/>
            <w:gridSpan w:val="3"/>
            <w:shd w:val="clear" w:color="auto" w:fill="E5E5E5"/>
          </w:tcPr>
          <w:p>
            <w:pPr>
              <w:jc w:val="right"/>
              <w:ind w:right="112"/>
              <w:spacing w:after="0"/>
              <w:rPr>
                <w:sz w:val="20"/>
                <w:szCs w:val="20"/>
                <w:color w:val="auto"/>
              </w:rPr>
            </w:pPr>
            <w:r>
              <w:rPr>
                <w:rFonts w:ascii="Arial" w:cs="Arial" w:eastAsia="Arial" w:hAnsi="Arial"/>
                <w:sz w:val="18"/>
                <w:szCs w:val="18"/>
                <w:color w:val="auto"/>
              </w:rPr>
              <w:t>293</w:t>
            </w: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28</w:t>
            </w:r>
          </w:p>
        </w:tc>
        <w:tc>
          <w:tcPr>
            <w:tcW w:w="8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36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color w:val="auto"/>
              </w:rPr>
              <w:t>248</w:t>
            </w: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238</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10</w:t>
            </w: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Revenue(a)</w:t>
            </w:r>
          </w:p>
        </w:tc>
        <w:tc>
          <w:tcPr>
            <w:tcW w:w="3680" w:type="dxa"/>
            <w:vAlign w:val="bottom"/>
            <w:gridSpan w:val="3"/>
            <w:shd w:val="clear" w:color="auto" w:fill="E5E5E5"/>
          </w:tcPr>
          <w:p>
            <w:pPr>
              <w:jc w:val="right"/>
              <w:ind w:right="112"/>
              <w:spacing w:after="0"/>
              <w:rPr>
                <w:sz w:val="20"/>
                <w:szCs w:val="20"/>
                <w:color w:val="auto"/>
              </w:rPr>
            </w:pPr>
            <w:r>
              <w:rPr>
                <w:rFonts w:ascii="Arial" w:cs="Arial" w:eastAsia="Arial" w:hAnsi="Arial"/>
                <w:sz w:val="18"/>
                <w:szCs w:val="18"/>
                <w:color w:val="auto"/>
              </w:rPr>
              <w:t>8,981</w:t>
            </w:r>
          </w:p>
        </w:tc>
        <w:tc>
          <w:tcPr>
            <w:tcW w:w="98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8,402</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579</w:t>
            </w:r>
          </w:p>
        </w:tc>
        <w:tc>
          <w:tcPr>
            <w:tcW w:w="8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expenses(a)</w:t>
            </w:r>
          </w:p>
        </w:tc>
        <w:tc>
          <w:tcPr>
            <w:tcW w:w="3680" w:type="dxa"/>
            <w:vAlign w:val="bottom"/>
            <w:gridSpan w:val="3"/>
          </w:tcPr>
          <w:p>
            <w:pPr>
              <w:jc w:val="right"/>
              <w:ind w:right="112"/>
              <w:spacing w:after="0"/>
              <w:rPr>
                <w:sz w:val="20"/>
                <w:szCs w:val="20"/>
                <w:color w:val="auto"/>
              </w:rPr>
            </w:pPr>
            <w:r>
              <w:rPr>
                <w:rFonts w:ascii="Arial" w:cs="Arial" w:eastAsia="Arial" w:hAnsi="Arial"/>
                <w:sz w:val="18"/>
                <w:szCs w:val="18"/>
                <w:color w:val="auto"/>
              </w:rPr>
              <w:t>3,605</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3,381</w:t>
            </w:r>
          </w:p>
        </w:tc>
        <w:tc>
          <w:tcPr>
            <w:tcW w:w="320" w:type="dxa"/>
            <w:vAlign w:val="bottom"/>
          </w:tcPr>
          <w:p>
            <w:pPr>
              <w:spacing w:after="0"/>
              <w:rPr>
                <w:sz w:val="18"/>
                <w:szCs w:val="18"/>
                <w:color w:val="auto"/>
              </w:rPr>
            </w:pPr>
          </w:p>
        </w:tc>
        <w:tc>
          <w:tcPr>
            <w:tcW w:w="720" w:type="dxa"/>
            <w:vAlign w:val="bottom"/>
          </w:tcPr>
          <w:p>
            <w:pPr>
              <w:jc w:val="right"/>
              <w:ind w:right="276"/>
              <w:spacing w:after="0"/>
              <w:rPr>
                <w:sz w:val="20"/>
                <w:szCs w:val="20"/>
                <w:color w:val="auto"/>
              </w:rPr>
            </w:pPr>
            <w:r>
              <w:rPr>
                <w:rFonts w:ascii="Arial" w:cs="Arial" w:eastAsia="Arial" w:hAnsi="Arial"/>
                <w:sz w:val="18"/>
                <w:szCs w:val="18"/>
                <w:color w:val="auto"/>
              </w:rPr>
              <w:t>224</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expenses(a)</w:t>
            </w:r>
          </w:p>
        </w:tc>
        <w:tc>
          <w:tcPr>
            <w:tcW w:w="3680" w:type="dxa"/>
            <w:vAlign w:val="bottom"/>
            <w:tcBorders>
              <w:bottom w:val="single" w:sz="8" w:color="auto"/>
            </w:tcBorders>
            <w:gridSpan w:val="3"/>
            <w:shd w:val="clear" w:color="auto" w:fill="E5E5E5"/>
          </w:tcPr>
          <w:p>
            <w:pPr>
              <w:jc w:val="right"/>
              <w:ind w:right="112"/>
              <w:spacing w:after="0"/>
              <w:rPr>
                <w:sz w:val="20"/>
                <w:szCs w:val="20"/>
                <w:color w:val="auto"/>
              </w:rPr>
            </w:pPr>
            <w:r>
              <w:rPr>
                <w:rFonts w:ascii="Arial" w:cs="Arial" w:eastAsia="Arial" w:hAnsi="Arial"/>
                <w:sz w:val="18"/>
                <w:szCs w:val="18"/>
                <w:color w:val="auto"/>
              </w:rPr>
              <w:t>1,830</w:t>
            </w:r>
          </w:p>
        </w:tc>
        <w:tc>
          <w:tcPr>
            <w:tcW w:w="98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1,709</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121</w:t>
            </w:r>
          </w:p>
        </w:tc>
        <w:tc>
          <w:tcPr>
            <w:tcW w:w="8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6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$ 3,546</w:t>
            </w: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$ 3,312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234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gridSpan w:val="2"/>
          </w:tcPr>
          <w:p>
            <w:pPr>
              <w:jc w:val="right"/>
              <w:ind w:right="374"/>
              <w:spacing w:after="0"/>
              <w:rPr>
                <w:sz w:val="20"/>
                <w:szCs w:val="20"/>
                <w:color w:val="auto"/>
              </w:rPr>
            </w:pPr>
            <w:r>
              <w:rPr>
                <w:rFonts w:ascii="Arial" w:cs="Arial" w:eastAsia="Arial" w:hAnsi="Arial"/>
                <w:sz w:val="14"/>
                <w:szCs w:val="14"/>
                <w:color w:val="auto"/>
              </w:rPr>
              <w:t>Nine Months Ended</w:t>
            </w: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2"/>
          </w:tcPr>
          <w:p>
            <w:pPr>
              <w:jc w:val="right"/>
              <w:ind w:right="554"/>
              <w:spacing w:after="0" w:line="159" w:lineRule="exact"/>
              <w:rPr>
                <w:sz w:val="20"/>
                <w:szCs w:val="20"/>
                <w:color w:val="auto"/>
              </w:rPr>
            </w:pPr>
            <w:r>
              <w:rPr>
                <w:rFonts w:ascii="Arial" w:cs="Arial" w:eastAsia="Arial" w:hAnsi="Arial"/>
                <w:sz w:val="14"/>
                <w:szCs w:val="14"/>
                <w:color w:val="auto"/>
              </w:rPr>
              <w:t>September 30</w:t>
            </w:r>
          </w:p>
        </w:tc>
        <w:tc>
          <w:tcPr>
            <w:tcW w:w="3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314"/>
              <w:spacing w:after="0" w:line="159" w:lineRule="exact"/>
              <w:rPr>
                <w:sz w:val="20"/>
                <w:szCs w:val="20"/>
                <w:color w:val="auto"/>
              </w:rPr>
            </w:pPr>
            <w:r>
              <w:rPr>
                <w:rFonts w:ascii="Arial" w:cs="Arial" w:eastAsia="Arial" w:hAnsi="Arial"/>
                <w:sz w:val="14"/>
                <w:szCs w:val="14"/>
                <w:color w:val="auto"/>
                <w:w w:val="88"/>
              </w:rPr>
              <w:t>Increase/(Decrease)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1240" w:type="dxa"/>
            <w:vAlign w:val="bottom"/>
            <w:gridSpan w:val="2"/>
          </w:tcPr>
          <w:p>
            <w:pPr>
              <w:jc w:val="right"/>
              <w:ind w:right="332"/>
              <w:spacing w:after="0" w:line="142" w:lineRule="exact"/>
              <w:rPr>
                <w:sz w:val="20"/>
                <w:szCs w:val="20"/>
                <w:color w:val="auto"/>
              </w:rPr>
            </w:pPr>
            <w:r>
              <w:rPr>
                <w:rFonts w:ascii="Arial" w:cs="Arial" w:eastAsia="Arial" w:hAnsi="Arial"/>
                <w:sz w:val="14"/>
                <w:szCs w:val="14"/>
                <w:color w:val="auto"/>
              </w:rPr>
              <w:t>2010</w:t>
            </w:r>
          </w:p>
        </w:tc>
        <w:tc>
          <w:tcPr>
            <w:tcW w:w="980" w:type="dxa"/>
            <w:vAlign w:val="bottom"/>
          </w:tcPr>
          <w:p>
            <w:pPr>
              <w:jc w:val="right"/>
              <w:ind w:right="294"/>
              <w:spacing w:after="0" w:line="142" w:lineRule="exact"/>
              <w:rPr>
                <w:sz w:val="20"/>
                <w:szCs w:val="20"/>
                <w:color w:val="auto"/>
              </w:rPr>
            </w:pPr>
            <w:r>
              <w:rPr>
                <w:rFonts w:ascii="Arial" w:cs="Arial" w:eastAsia="Arial" w:hAnsi="Arial"/>
                <w:sz w:val="14"/>
                <w:szCs w:val="14"/>
                <w:color w:val="auto"/>
              </w:rPr>
              <w:t>2009</w:t>
            </w:r>
          </w:p>
        </w:tc>
        <w:tc>
          <w:tcPr>
            <w:tcW w:w="320" w:type="dxa"/>
            <w:vAlign w:val="bottom"/>
          </w:tcPr>
          <w:p>
            <w:pPr>
              <w:spacing w:after="0"/>
              <w:rPr>
                <w:sz w:val="12"/>
                <w:szCs w:val="12"/>
                <w:color w:val="auto"/>
              </w:rPr>
            </w:pPr>
          </w:p>
        </w:tc>
        <w:tc>
          <w:tcPr>
            <w:tcW w:w="720" w:type="dxa"/>
            <w:vAlign w:val="bottom"/>
          </w:tcPr>
          <w:p>
            <w:pPr>
              <w:jc w:val="right"/>
              <w:ind w:right="456"/>
              <w:spacing w:after="0" w:line="142"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w:t>
            </w:r>
          </w:p>
        </w:tc>
        <w:tc>
          <w:tcPr>
            <w:tcW w:w="3680" w:type="dxa"/>
            <w:vAlign w:val="bottom"/>
            <w:tcBorders>
              <w:top w:val="single" w:sz="8" w:color="auto"/>
            </w:tcBorders>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$14,640</w:t>
            </w:r>
          </w:p>
        </w:tc>
        <w:tc>
          <w:tcPr>
            <w:tcW w:w="98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$14,590</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50</w:t>
            </w:r>
          </w:p>
        </w:tc>
        <w:tc>
          <w:tcPr>
            <w:tcW w:w="8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High-speed Internet</w:t>
            </w:r>
          </w:p>
        </w:tc>
        <w:tc>
          <w:tcPr>
            <w:tcW w:w="3680" w:type="dxa"/>
            <w:vAlign w:val="bottom"/>
            <w:gridSpan w:val="3"/>
          </w:tcPr>
          <w:p>
            <w:pPr>
              <w:jc w:val="right"/>
              <w:ind w:right="172"/>
              <w:spacing w:after="0"/>
              <w:rPr>
                <w:sz w:val="20"/>
                <w:szCs w:val="20"/>
                <w:color w:val="auto"/>
              </w:rPr>
            </w:pPr>
            <w:r>
              <w:rPr>
                <w:rFonts w:ascii="Arial" w:cs="Arial" w:eastAsia="Arial" w:hAnsi="Arial"/>
                <w:sz w:val="18"/>
                <w:szCs w:val="18"/>
                <w:color w:val="auto"/>
              </w:rPr>
              <w:t>6,364</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5,768</w:t>
            </w:r>
          </w:p>
        </w:tc>
        <w:tc>
          <w:tcPr>
            <w:tcW w:w="32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596</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Phone</w:t>
            </w:r>
          </w:p>
        </w:tc>
        <w:tc>
          <w:tcPr>
            <w:tcW w:w="368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2,727</w:t>
            </w:r>
          </w:p>
        </w:tc>
        <w:tc>
          <w:tcPr>
            <w:tcW w:w="9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2,407</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320</w:t>
            </w:r>
          </w:p>
        </w:tc>
        <w:tc>
          <w:tcPr>
            <w:tcW w:w="8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Advertising(a)</w:t>
            </w:r>
          </w:p>
        </w:tc>
        <w:tc>
          <w:tcPr>
            <w:tcW w:w="3680" w:type="dxa"/>
            <w:vAlign w:val="bottom"/>
            <w:gridSpan w:val="3"/>
          </w:tcPr>
          <w:p>
            <w:pPr>
              <w:jc w:val="right"/>
              <w:ind w:right="172"/>
              <w:spacing w:after="0"/>
              <w:rPr>
                <w:sz w:val="20"/>
                <w:szCs w:val="20"/>
                <w:color w:val="auto"/>
              </w:rPr>
            </w:pPr>
            <w:r>
              <w:rPr>
                <w:rFonts w:ascii="Arial" w:cs="Arial" w:eastAsia="Arial" w:hAnsi="Arial"/>
                <w:sz w:val="18"/>
                <w:szCs w:val="18"/>
                <w:color w:val="auto"/>
              </w:rPr>
              <w:t>1,267</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249</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Other(a)</w:t>
            </w:r>
          </w:p>
        </w:tc>
        <w:tc>
          <w:tcPr>
            <w:tcW w:w="368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868</w:t>
            </w:r>
          </w:p>
        </w:tc>
        <w:tc>
          <w:tcPr>
            <w:tcW w:w="9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810</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58</w:t>
            </w:r>
          </w:p>
        </w:tc>
        <w:tc>
          <w:tcPr>
            <w:tcW w:w="8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Franchise fees</w:t>
            </w:r>
          </w:p>
        </w:tc>
        <w:tc>
          <w:tcPr>
            <w:tcW w:w="36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color w:val="auto"/>
              </w:rPr>
              <w:t>741</w:t>
            </w: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710</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31</w:t>
            </w: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Revenue(a)</w:t>
            </w:r>
          </w:p>
        </w:tc>
        <w:tc>
          <w:tcPr>
            <w:tcW w:w="368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26,607</w:t>
            </w:r>
          </w:p>
        </w:tc>
        <w:tc>
          <w:tcPr>
            <w:tcW w:w="9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25,303</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w w:val="93"/>
              </w:rPr>
              <w:t>1,304</w:t>
            </w:r>
          </w:p>
        </w:tc>
        <w:tc>
          <w:tcPr>
            <w:tcW w:w="8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expenses(a)</w:t>
            </w:r>
          </w:p>
        </w:tc>
        <w:tc>
          <w:tcPr>
            <w:tcW w:w="3680" w:type="dxa"/>
            <w:vAlign w:val="bottom"/>
            <w:gridSpan w:val="3"/>
          </w:tcPr>
          <w:p>
            <w:pPr>
              <w:jc w:val="right"/>
              <w:ind w:right="172"/>
              <w:spacing w:after="0"/>
              <w:rPr>
                <w:sz w:val="20"/>
                <w:szCs w:val="20"/>
                <w:color w:val="auto"/>
              </w:rPr>
            </w:pPr>
            <w:r>
              <w:rPr>
                <w:rFonts w:ascii="Arial" w:cs="Arial" w:eastAsia="Arial" w:hAnsi="Arial"/>
                <w:sz w:val="18"/>
                <w:szCs w:val="18"/>
                <w:color w:val="auto"/>
              </w:rPr>
              <w:t>10,685</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10,141</w:t>
            </w:r>
          </w:p>
        </w:tc>
        <w:tc>
          <w:tcPr>
            <w:tcW w:w="320" w:type="dxa"/>
            <w:vAlign w:val="bottom"/>
          </w:tcPr>
          <w:p>
            <w:pPr>
              <w:spacing w:after="0"/>
              <w:rPr>
                <w:sz w:val="18"/>
                <w:szCs w:val="18"/>
                <w:color w:val="auto"/>
              </w:rPr>
            </w:pPr>
          </w:p>
        </w:tc>
        <w:tc>
          <w:tcPr>
            <w:tcW w:w="720" w:type="dxa"/>
            <w:vAlign w:val="bottom"/>
          </w:tcPr>
          <w:p>
            <w:pPr>
              <w:jc w:val="right"/>
              <w:ind w:right="196"/>
              <w:spacing w:after="0"/>
              <w:rPr>
                <w:sz w:val="20"/>
                <w:szCs w:val="20"/>
                <w:color w:val="auto"/>
              </w:rPr>
            </w:pPr>
            <w:r>
              <w:rPr>
                <w:rFonts w:ascii="Arial" w:cs="Arial" w:eastAsia="Arial" w:hAnsi="Arial"/>
                <w:sz w:val="18"/>
                <w:szCs w:val="18"/>
                <w:color w:val="auto"/>
              </w:rPr>
              <w:t>544</w:t>
            </w:r>
          </w:p>
        </w:tc>
        <w:tc>
          <w:tcPr>
            <w:tcW w:w="820" w:type="dxa"/>
            <w:vAlign w:val="bottom"/>
          </w:tcPr>
          <w:p>
            <w:pPr>
              <w:jc w:val="right"/>
              <w:ind w:right="13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Selling, general and administrative expenses(a)</w:t>
            </w:r>
          </w:p>
        </w:tc>
        <w:tc>
          <w:tcPr>
            <w:tcW w:w="3680" w:type="dxa"/>
            <w:vAlign w:val="bottom"/>
            <w:tcBorders>
              <w:bottom w:val="single" w:sz="8" w:color="auto"/>
            </w:tcBorders>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5,136</w:t>
            </w:r>
          </w:p>
        </w:tc>
        <w:tc>
          <w:tcPr>
            <w:tcW w:w="9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4,947</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189</w:t>
            </w:r>
          </w:p>
        </w:tc>
        <w:tc>
          <w:tcPr>
            <w:tcW w:w="8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6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b w:val="1"/>
                <w:bCs w:val="1"/>
                <w:color w:val="auto"/>
              </w:rPr>
              <w:t>$10,786</w:t>
            </w: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$10,215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571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40" w:type="dxa"/>
            <w:vAlign w:val="bottom"/>
          </w:tcPr>
          <w:p>
            <w:pPr>
              <w:jc w:val="right"/>
              <w:ind w:right="14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Reclassifications have been made to the prior year’s amounts to conform to classifications used in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average monthly total revenue per video customer for the three months ended September 30, 2010 increased to approximately $130 from approximately $118 for the three months ended September 30, 2009. Our average monthly total revenue per video customer for the nine months ended September 30, 2010 increased to approximately $127 from approximately $117 for the nine months ended September 30, 2009. The increase in average monthly total revenue per video customer was primarily due to an increased number of customers receiving multiple services, rate adjustments and a higher contribution from our commercial services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Video revenue increased for the three and nine months ended September 30, 2010 compared to the same periods in 2009 primarily due to revenue growth from rate adjustments and customer upgrades to our digital and advanced services which was offset by declines in video customers. During the three and nine months ended September 30, 2010, the number of video customers decreased by approximately 275,000 and 622,000, respectively. As previously disclosed, we expect further declines in the number of video customers during the remainder of 2010. During the three and nine months ended September 30, 2010, we added or upgraded approximately 219,000 and 1.0 million customers to our digital video service, respectively, including those customers added or upgraded in connection with the transition from analog to digital transmission of channels we distribute. As of September 30, 2010, approximately 85% of our 22.9 million video customers subscribed to at least one of our digital video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high-speed Internet revenue increased during the three and nine months ended September 30, 2010 compared to the same periods in 2009 primarily due to an increase in the number of residential and commercial customers and rate adjustments. During the three and nine months ended September 30, 2010, we added approximately 249,000 and 766,000 high-speed Internet customers,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phone revenue increased during the three and nine months ended September 30, 2010 compared to the same periods in 2009 primarily due to an increase in the number of residential and commercial phone customers. During the three and nine months ended September 30, 2010, we added approximately 228,000 and 731,000 phone customers,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revenue increased during the three and nine months ended September 30, 2010 compared to the same periods in 2009 primarily due to improvements in the overall television advertising market, including political advertising.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also generate revenue from our regional sports networks, our digital media center, commissions from electronic retailing networks and fees for other services.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Fees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increases in franchise fees collected from our cable customers during the three and nine months ended September 30, 2010 compared to the same periods in 2009 were primarily due to increases in the revenue on which the fees apply.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Expenses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2"/>
          </w:tcPr>
          <w:p>
            <w:pPr>
              <w:jc w:val="right"/>
              <w:ind w:right="555"/>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jc w:val="right"/>
              <w:ind w:right="755"/>
              <w:spacing w:after="0" w:line="159" w:lineRule="exact"/>
              <w:rPr>
                <w:sz w:val="20"/>
                <w:szCs w:val="20"/>
                <w:color w:val="auto"/>
              </w:rPr>
            </w:pPr>
            <w:r>
              <w:rPr>
                <w:rFonts w:ascii="Arial" w:cs="Arial" w:eastAsia="Arial" w:hAnsi="Arial"/>
                <w:sz w:val="14"/>
                <w:szCs w:val="14"/>
                <w:color w:val="auto"/>
              </w:rPr>
              <w:t>September 30</w:t>
            </w:r>
          </w:p>
        </w:tc>
        <w:tc>
          <w:tcPr>
            <w:tcW w:w="1960" w:type="dxa"/>
            <w:vAlign w:val="bottom"/>
            <w:tcBorders>
              <w:bottom w:val="single" w:sz="8" w:color="auto"/>
            </w:tcBorders>
            <w:gridSpan w:val="2"/>
          </w:tcPr>
          <w:p>
            <w:pPr>
              <w:jc w:val="right"/>
              <w:ind w:right="375"/>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1480" w:type="dxa"/>
            <w:vAlign w:val="bottom"/>
            <w:gridSpan w:val="2"/>
          </w:tcPr>
          <w:p>
            <w:pPr>
              <w:jc w:val="right"/>
              <w:ind w:right="492"/>
              <w:spacing w:after="0" w:line="142" w:lineRule="exact"/>
              <w:rPr>
                <w:sz w:val="20"/>
                <w:szCs w:val="20"/>
                <w:color w:val="auto"/>
              </w:rPr>
            </w:pPr>
            <w:r>
              <w:rPr>
                <w:rFonts w:ascii="Arial" w:cs="Arial" w:eastAsia="Arial" w:hAnsi="Arial"/>
                <w:sz w:val="14"/>
                <w:szCs w:val="14"/>
                <w:color w:val="auto"/>
              </w:rPr>
              <w:t>2010</w:t>
            </w:r>
          </w:p>
        </w:tc>
        <w:tc>
          <w:tcPr>
            <w:tcW w:w="1080" w:type="dxa"/>
            <w:vAlign w:val="bottom"/>
          </w:tcPr>
          <w:p>
            <w:pPr>
              <w:jc w:val="right"/>
              <w:ind w:right="435"/>
              <w:spacing w:after="0" w:line="142" w:lineRule="exact"/>
              <w:rPr>
                <w:sz w:val="20"/>
                <w:szCs w:val="20"/>
                <w:color w:val="auto"/>
              </w:rPr>
            </w:pPr>
            <w:r>
              <w:rPr>
                <w:rFonts w:ascii="Arial" w:cs="Arial" w:eastAsia="Arial" w:hAnsi="Arial"/>
                <w:sz w:val="14"/>
                <w:szCs w:val="14"/>
                <w:color w:val="auto"/>
              </w:rPr>
              <w:t>2009</w:t>
            </w:r>
          </w:p>
        </w:tc>
        <w:tc>
          <w:tcPr>
            <w:tcW w:w="1100" w:type="dxa"/>
            <w:vAlign w:val="bottom"/>
          </w:tcPr>
          <w:p>
            <w:pPr>
              <w:jc w:val="right"/>
              <w:ind w:right="597"/>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3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1480" w:type="dxa"/>
            <w:vAlign w:val="bottom"/>
            <w:tcBorders>
              <w:top w:val="single" w:sz="8" w:color="auto"/>
            </w:tcBorders>
            <w:gridSpan w:val="2"/>
            <w:shd w:val="clear" w:color="auto" w:fill="E5E5E5"/>
          </w:tcPr>
          <w:p>
            <w:pPr>
              <w:jc w:val="right"/>
              <w:ind w:right="352"/>
              <w:spacing w:after="0"/>
              <w:rPr>
                <w:sz w:val="20"/>
                <w:szCs w:val="20"/>
                <w:color w:val="auto"/>
              </w:rPr>
            </w:pPr>
            <w:r>
              <w:rPr>
                <w:rFonts w:ascii="Arial" w:cs="Arial" w:eastAsia="Arial" w:hAnsi="Arial"/>
                <w:sz w:val="18"/>
                <w:szCs w:val="18"/>
                <w:color w:val="auto"/>
              </w:rPr>
              <w:t>$ 1,846</w:t>
            </w:r>
          </w:p>
        </w:tc>
        <w:tc>
          <w:tcPr>
            <w:tcW w:w="1080" w:type="dxa"/>
            <w:vAlign w:val="bottom"/>
            <w:tcBorders>
              <w:top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$ 1,759</w:t>
            </w:r>
          </w:p>
        </w:tc>
        <w:tc>
          <w:tcPr>
            <w:tcW w:w="1100" w:type="dxa"/>
            <w:vAlign w:val="bottom"/>
            <w:tcBorders>
              <w:top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  87</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Technical labor</w:t>
            </w:r>
          </w:p>
        </w:tc>
        <w:tc>
          <w:tcPr>
            <w:tcW w:w="1480" w:type="dxa"/>
            <w:vAlign w:val="bottom"/>
            <w:gridSpan w:val="2"/>
          </w:tcPr>
          <w:p>
            <w:pPr>
              <w:jc w:val="right"/>
              <w:ind w:right="352"/>
              <w:spacing w:after="0"/>
              <w:rPr>
                <w:sz w:val="20"/>
                <w:szCs w:val="20"/>
                <w:color w:val="auto"/>
              </w:rPr>
            </w:pPr>
            <w:r>
              <w:rPr>
                <w:rFonts w:ascii="Arial" w:cs="Arial" w:eastAsia="Arial" w:hAnsi="Arial"/>
                <w:sz w:val="18"/>
                <w:szCs w:val="18"/>
                <w:color w:val="auto"/>
              </w:rPr>
              <w:t>594</w:t>
            </w:r>
          </w:p>
        </w:tc>
        <w:tc>
          <w:tcPr>
            <w:tcW w:w="1080" w:type="dxa"/>
            <w:vAlign w:val="bottom"/>
          </w:tcPr>
          <w:p>
            <w:pPr>
              <w:jc w:val="right"/>
              <w:ind w:right="295"/>
              <w:spacing w:after="0"/>
              <w:rPr>
                <w:sz w:val="20"/>
                <w:szCs w:val="20"/>
                <w:color w:val="auto"/>
              </w:rPr>
            </w:pPr>
            <w:r>
              <w:rPr>
                <w:rFonts w:ascii="Arial" w:cs="Arial" w:eastAsia="Arial" w:hAnsi="Arial"/>
                <w:sz w:val="18"/>
                <w:szCs w:val="18"/>
                <w:color w:val="auto"/>
              </w:rPr>
              <w:t>573</w:t>
            </w:r>
          </w:p>
        </w:tc>
        <w:tc>
          <w:tcPr>
            <w:tcW w:w="1100" w:type="dxa"/>
            <w:vAlign w:val="bottom"/>
          </w:tcPr>
          <w:p>
            <w:pPr>
              <w:jc w:val="right"/>
              <w:ind w:right="417"/>
              <w:spacing w:after="0"/>
              <w:rPr>
                <w:sz w:val="20"/>
                <w:szCs w:val="20"/>
                <w:color w:val="auto"/>
              </w:rPr>
            </w:pPr>
            <w:r>
              <w:rPr>
                <w:rFonts w:ascii="Arial" w:cs="Arial" w:eastAsia="Arial" w:hAnsi="Arial"/>
                <w:sz w:val="18"/>
                <w:szCs w:val="18"/>
                <w:color w:val="auto"/>
              </w:rPr>
              <w:t>21</w:t>
            </w: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1480" w:type="dxa"/>
            <w:vAlign w:val="bottom"/>
            <w:gridSpan w:val="2"/>
            <w:shd w:val="clear" w:color="auto" w:fill="E5E5E5"/>
          </w:tcPr>
          <w:p>
            <w:pPr>
              <w:jc w:val="right"/>
              <w:ind w:right="352"/>
              <w:spacing w:after="0"/>
              <w:rPr>
                <w:sz w:val="20"/>
                <w:szCs w:val="20"/>
                <w:color w:val="auto"/>
              </w:rPr>
            </w:pPr>
            <w:r>
              <w:rPr>
                <w:rFonts w:ascii="Arial" w:cs="Arial" w:eastAsia="Arial" w:hAnsi="Arial"/>
                <w:sz w:val="18"/>
                <w:szCs w:val="18"/>
                <w:color w:val="auto"/>
              </w:rPr>
              <w:t>124</w:t>
            </w:r>
          </w:p>
        </w:tc>
        <w:tc>
          <w:tcPr>
            <w:tcW w:w="108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134</w:t>
            </w:r>
          </w:p>
        </w:tc>
        <w:tc>
          <w:tcPr>
            <w:tcW w:w="110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(10)</w:t>
            </w:r>
          </w:p>
        </w:tc>
        <w:tc>
          <w:tcPr>
            <w:tcW w:w="8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Phone</w:t>
            </w:r>
          </w:p>
        </w:tc>
        <w:tc>
          <w:tcPr>
            <w:tcW w:w="1480" w:type="dxa"/>
            <w:vAlign w:val="bottom"/>
            <w:gridSpan w:val="2"/>
          </w:tcPr>
          <w:p>
            <w:pPr>
              <w:jc w:val="right"/>
              <w:ind w:right="352"/>
              <w:spacing w:after="0"/>
              <w:rPr>
                <w:sz w:val="20"/>
                <w:szCs w:val="20"/>
                <w:color w:val="auto"/>
              </w:rPr>
            </w:pPr>
            <w:r>
              <w:rPr>
                <w:rFonts w:ascii="Arial" w:cs="Arial" w:eastAsia="Arial" w:hAnsi="Arial"/>
                <w:sz w:val="18"/>
                <w:szCs w:val="18"/>
                <w:color w:val="auto"/>
              </w:rPr>
              <w:t>148</w:t>
            </w:r>
          </w:p>
        </w:tc>
        <w:tc>
          <w:tcPr>
            <w:tcW w:w="1080" w:type="dxa"/>
            <w:vAlign w:val="bottom"/>
          </w:tcPr>
          <w:p>
            <w:pPr>
              <w:jc w:val="right"/>
              <w:ind w:right="295"/>
              <w:spacing w:after="0"/>
              <w:rPr>
                <w:sz w:val="20"/>
                <w:szCs w:val="20"/>
                <w:color w:val="auto"/>
              </w:rPr>
            </w:pPr>
            <w:r>
              <w:rPr>
                <w:rFonts w:ascii="Arial" w:cs="Arial" w:eastAsia="Arial" w:hAnsi="Arial"/>
                <w:sz w:val="18"/>
                <w:szCs w:val="18"/>
                <w:color w:val="auto"/>
              </w:rPr>
              <w:t>135</w:t>
            </w:r>
          </w:p>
        </w:tc>
        <w:tc>
          <w:tcPr>
            <w:tcW w:w="1100" w:type="dxa"/>
            <w:vAlign w:val="bottom"/>
          </w:tcPr>
          <w:p>
            <w:pPr>
              <w:jc w:val="right"/>
              <w:ind w:right="417"/>
              <w:spacing w:after="0"/>
              <w:rPr>
                <w:sz w:val="20"/>
                <w:szCs w:val="20"/>
                <w:color w:val="auto"/>
              </w:rPr>
            </w:pPr>
            <w:r>
              <w:rPr>
                <w:rFonts w:ascii="Arial" w:cs="Arial" w:eastAsia="Arial" w:hAnsi="Arial"/>
                <w:sz w:val="18"/>
                <w:szCs w:val="18"/>
                <w:color w:val="auto"/>
              </w:rPr>
              <w:t>13</w:t>
            </w: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gridSpan w:val="2"/>
            <w:shd w:val="clear" w:color="auto" w:fill="E5E5E5"/>
          </w:tcPr>
          <w:p>
            <w:pPr>
              <w:jc w:val="right"/>
              <w:ind w:right="352"/>
              <w:spacing w:after="0"/>
              <w:rPr>
                <w:sz w:val="20"/>
                <w:szCs w:val="20"/>
                <w:color w:val="auto"/>
              </w:rPr>
            </w:pPr>
            <w:r>
              <w:rPr>
                <w:rFonts w:ascii="Arial" w:cs="Arial" w:eastAsia="Arial" w:hAnsi="Arial"/>
                <w:sz w:val="18"/>
                <w:szCs w:val="18"/>
                <w:color w:val="auto"/>
              </w:rPr>
              <w:t>893</w:t>
            </w:r>
          </w:p>
        </w:tc>
        <w:tc>
          <w:tcPr>
            <w:tcW w:w="1080" w:type="dxa"/>
            <w:vAlign w:val="bottom"/>
            <w:tcBorders>
              <w:bottom w:val="single" w:sz="8" w:color="auto"/>
            </w:tcBorders>
            <w:shd w:val="clear" w:color="auto" w:fill="E5E5E5"/>
          </w:tcPr>
          <w:p>
            <w:pPr>
              <w:jc w:val="right"/>
              <w:ind w:right="295"/>
              <w:spacing w:after="0"/>
              <w:rPr>
                <w:sz w:val="20"/>
                <w:szCs w:val="20"/>
                <w:color w:val="auto"/>
              </w:rPr>
            </w:pPr>
            <w:r>
              <w:rPr>
                <w:rFonts w:ascii="Arial" w:cs="Arial" w:eastAsia="Arial" w:hAnsi="Arial"/>
                <w:sz w:val="18"/>
                <w:szCs w:val="18"/>
                <w:color w:val="auto"/>
              </w:rPr>
              <w:t>780</w:t>
            </w:r>
          </w:p>
        </w:tc>
        <w:tc>
          <w:tcPr>
            <w:tcW w:w="1100" w:type="dxa"/>
            <w:vAlign w:val="bottom"/>
            <w:tcBorders>
              <w:bottom w:val="single" w:sz="8" w:color="auto"/>
            </w:tcBorders>
            <w:shd w:val="clear" w:color="auto" w:fill="E5E5E5"/>
          </w:tcPr>
          <w:p>
            <w:pPr>
              <w:jc w:val="right"/>
              <w:ind w:right="417"/>
              <w:spacing w:after="0"/>
              <w:rPr>
                <w:sz w:val="20"/>
                <w:szCs w:val="20"/>
                <w:color w:val="auto"/>
              </w:rPr>
            </w:pPr>
            <w:r>
              <w:rPr>
                <w:rFonts w:ascii="Arial" w:cs="Arial" w:eastAsia="Arial" w:hAnsi="Arial"/>
                <w:sz w:val="18"/>
                <w:szCs w:val="18"/>
                <w:color w:val="auto"/>
              </w:rPr>
              <w:t>113</w:t>
            </w:r>
          </w:p>
        </w:tc>
        <w:tc>
          <w:tcPr>
            <w:tcW w:w="8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expenses(a)</w:t>
            </w:r>
          </w:p>
        </w:tc>
        <w:tc>
          <w:tcPr>
            <w:tcW w:w="148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$ 3,605</w:t>
            </w: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rPr>
              <w:t>$ 3,381</w:t>
            </w: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$ 224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gridSpan w:val="2"/>
          </w:tcPr>
          <w:p>
            <w:pPr>
              <w:jc w:val="right"/>
              <w:ind w:right="375"/>
              <w:spacing w:after="0"/>
              <w:rPr>
                <w:sz w:val="20"/>
                <w:szCs w:val="20"/>
                <w:color w:val="auto"/>
              </w:rPr>
            </w:pPr>
            <w:r>
              <w:rPr>
                <w:rFonts w:ascii="Arial" w:cs="Arial" w:eastAsia="Arial" w:hAnsi="Arial"/>
                <w:sz w:val="14"/>
                <w:szCs w:val="14"/>
                <w:color w:val="auto"/>
              </w:rPr>
              <w:t>Nine Months Ended</w:t>
            </w: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3"/>
                <w:szCs w:val="13"/>
                <w:color w:val="auto"/>
              </w:rPr>
            </w:pPr>
          </w:p>
        </w:tc>
        <w:tc>
          <w:tcPr>
            <w:tcW w:w="2220" w:type="dxa"/>
            <w:vAlign w:val="bottom"/>
            <w:tcBorders>
              <w:bottom w:val="single" w:sz="8" w:color="auto"/>
            </w:tcBorders>
            <w:gridSpan w:val="2"/>
          </w:tcPr>
          <w:p>
            <w:pPr>
              <w:jc w:val="right"/>
              <w:ind w:right="535"/>
              <w:spacing w:after="0" w:line="159" w:lineRule="exact"/>
              <w:rPr>
                <w:sz w:val="20"/>
                <w:szCs w:val="20"/>
                <w:color w:val="auto"/>
              </w:rPr>
            </w:pPr>
            <w:r>
              <w:rPr>
                <w:rFonts w:ascii="Arial" w:cs="Arial" w:eastAsia="Arial" w:hAnsi="Arial"/>
                <w:sz w:val="14"/>
                <w:szCs w:val="14"/>
                <w:color w:val="auto"/>
              </w:rPr>
              <w:t>September 30</w:t>
            </w:r>
          </w:p>
        </w:tc>
        <w:tc>
          <w:tcPr>
            <w:tcW w:w="1960" w:type="dxa"/>
            <w:vAlign w:val="bottom"/>
            <w:tcBorders>
              <w:bottom w:val="single" w:sz="8" w:color="auto"/>
            </w:tcBorders>
            <w:gridSpan w:val="2"/>
          </w:tcPr>
          <w:p>
            <w:pPr>
              <w:jc w:val="right"/>
              <w:ind w:right="335"/>
              <w:spacing w:after="0" w:line="15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232"/>
              <w:spacing w:after="0" w:line="142" w:lineRule="exact"/>
              <w:rPr>
                <w:sz w:val="20"/>
                <w:szCs w:val="20"/>
                <w:color w:val="auto"/>
              </w:rPr>
            </w:pPr>
            <w:r>
              <w:rPr>
                <w:rFonts w:ascii="Arial" w:cs="Arial" w:eastAsia="Arial" w:hAnsi="Arial"/>
                <w:sz w:val="14"/>
                <w:szCs w:val="14"/>
                <w:color w:val="auto"/>
              </w:rPr>
              <w:t>2010</w:t>
            </w:r>
          </w:p>
        </w:tc>
        <w:tc>
          <w:tcPr>
            <w:tcW w:w="10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2009</w:t>
            </w:r>
          </w:p>
        </w:tc>
        <w:tc>
          <w:tcPr>
            <w:tcW w:w="1100" w:type="dxa"/>
            <w:vAlign w:val="bottom"/>
          </w:tcPr>
          <w:p>
            <w:pPr>
              <w:jc w:val="right"/>
              <w:ind w:right="477"/>
              <w:spacing w:after="0" w:line="142"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35"/>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Video programming</w:t>
            </w:r>
          </w:p>
        </w:tc>
        <w:tc>
          <w:tcPr>
            <w:tcW w:w="1480" w:type="dxa"/>
            <w:vAlign w:val="bottom"/>
            <w:tcBorders>
              <w:top w:val="single" w:sz="8" w:color="auto"/>
            </w:tcBorders>
            <w:gridSpan w:val="2"/>
            <w:shd w:val="clear" w:color="auto" w:fill="E5E5E5"/>
          </w:tcPr>
          <w:p>
            <w:pPr>
              <w:jc w:val="right"/>
              <w:ind w:right="72"/>
              <w:spacing w:after="0"/>
              <w:rPr>
                <w:sz w:val="20"/>
                <w:szCs w:val="20"/>
                <w:color w:val="auto"/>
              </w:rPr>
            </w:pPr>
            <w:r>
              <w:rPr>
                <w:rFonts w:ascii="Arial" w:cs="Arial" w:eastAsia="Arial" w:hAnsi="Arial"/>
                <w:sz w:val="18"/>
                <w:szCs w:val="18"/>
                <w:color w:val="auto"/>
              </w:rPr>
              <w:t>$ 5,580</w:t>
            </w:r>
          </w:p>
        </w:tc>
        <w:tc>
          <w:tcPr>
            <w:tcW w:w="1080" w:type="dxa"/>
            <w:vAlign w:val="bottom"/>
            <w:tcBorders>
              <w:top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$ 5,292</w:t>
            </w:r>
          </w:p>
        </w:tc>
        <w:tc>
          <w:tcPr>
            <w:tcW w:w="1100" w:type="dxa"/>
            <w:vAlign w:val="bottom"/>
            <w:tcBorders>
              <w:top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$ 288</w:t>
            </w:r>
          </w:p>
        </w:tc>
        <w:tc>
          <w:tcPr>
            <w:tcW w:w="8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Technical labor</w:t>
            </w:r>
          </w:p>
        </w:tc>
        <w:tc>
          <w:tcPr>
            <w:tcW w:w="1480" w:type="dxa"/>
            <w:vAlign w:val="bottom"/>
            <w:gridSpan w:val="2"/>
          </w:tcPr>
          <w:p>
            <w:pPr>
              <w:jc w:val="right"/>
              <w:ind w:right="72"/>
              <w:spacing w:after="0"/>
              <w:rPr>
                <w:sz w:val="20"/>
                <w:szCs w:val="20"/>
                <w:color w:val="auto"/>
              </w:rPr>
            </w:pPr>
            <w:r>
              <w:rPr>
                <w:rFonts w:ascii="Arial" w:cs="Arial" w:eastAsia="Arial" w:hAnsi="Arial"/>
                <w:sz w:val="18"/>
                <w:szCs w:val="18"/>
                <w:color w:val="auto"/>
              </w:rPr>
              <w:t>1,696</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1,745</w:t>
            </w:r>
          </w:p>
        </w:tc>
        <w:tc>
          <w:tcPr>
            <w:tcW w:w="1100" w:type="dxa"/>
            <w:vAlign w:val="bottom"/>
          </w:tcPr>
          <w:p>
            <w:pPr>
              <w:jc w:val="right"/>
              <w:ind w:right="237"/>
              <w:spacing w:after="0"/>
              <w:rPr>
                <w:sz w:val="20"/>
                <w:szCs w:val="20"/>
                <w:color w:val="auto"/>
              </w:rPr>
            </w:pPr>
            <w:r>
              <w:rPr>
                <w:rFonts w:ascii="Arial" w:cs="Arial" w:eastAsia="Arial" w:hAnsi="Arial"/>
                <w:sz w:val="18"/>
                <w:szCs w:val="18"/>
                <w:color w:val="auto"/>
              </w:rPr>
              <w:t>(49)</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High-speed Internet</w:t>
            </w:r>
          </w:p>
        </w:tc>
        <w:tc>
          <w:tcPr>
            <w:tcW w:w="1480" w:type="dxa"/>
            <w:vAlign w:val="bottom"/>
            <w:gridSpan w:val="2"/>
            <w:shd w:val="clear" w:color="auto" w:fill="E5E5E5"/>
          </w:tcPr>
          <w:p>
            <w:pPr>
              <w:jc w:val="right"/>
              <w:ind w:right="72"/>
              <w:spacing w:after="0"/>
              <w:rPr>
                <w:sz w:val="20"/>
                <w:szCs w:val="20"/>
                <w:color w:val="auto"/>
              </w:rPr>
            </w:pPr>
            <w:r>
              <w:rPr>
                <w:rFonts w:ascii="Arial" w:cs="Arial" w:eastAsia="Arial" w:hAnsi="Arial"/>
                <w:sz w:val="18"/>
                <w:szCs w:val="18"/>
                <w:color w:val="auto"/>
              </w:rPr>
              <w:t>377</w:t>
            </w:r>
          </w:p>
        </w:tc>
        <w:tc>
          <w:tcPr>
            <w:tcW w:w="108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387</w:t>
            </w:r>
          </w:p>
        </w:tc>
        <w:tc>
          <w:tcPr>
            <w:tcW w:w="11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(10)</w:t>
            </w:r>
          </w:p>
        </w:tc>
        <w:tc>
          <w:tcPr>
            <w:tcW w:w="8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Phone</w:t>
            </w:r>
          </w:p>
        </w:tc>
        <w:tc>
          <w:tcPr>
            <w:tcW w:w="1480" w:type="dxa"/>
            <w:vAlign w:val="bottom"/>
            <w:gridSpan w:val="2"/>
          </w:tcPr>
          <w:p>
            <w:pPr>
              <w:jc w:val="right"/>
              <w:ind w:right="72"/>
              <w:spacing w:after="0"/>
              <w:rPr>
                <w:sz w:val="20"/>
                <w:szCs w:val="20"/>
                <w:color w:val="auto"/>
              </w:rPr>
            </w:pPr>
            <w:r>
              <w:rPr>
                <w:rFonts w:ascii="Arial" w:cs="Arial" w:eastAsia="Arial" w:hAnsi="Arial"/>
                <w:sz w:val="18"/>
                <w:szCs w:val="18"/>
                <w:color w:val="auto"/>
              </w:rPr>
              <w:t>434</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421</w:t>
            </w:r>
          </w:p>
        </w:tc>
        <w:tc>
          <w:tcPr>
            <w:tcW w:w="1100" w:type="dxa"/>
            <w:vAlign w:val="bottom"/>
          </w:tcPr>
          <w:p>
            <w:pPr>
              <w:jc w:val="right"/>
              <w:ind w:right="297"/>
              <w:spacing w:after="0"/>
              <w:rPr>
                <w:sz w:val="20"/>
                <w:szCs w:val="20"/>
                <w:color w:val="auto"/>
              </w:rPr>
            </w:pPr>
            <w:r>
              <w:rPr>
                <w:rFonts w:ascii="Arial" w:cs="Arial" w:eastAsia="Arial" w:hAnsi="Arial"/>
                <w:sz w:val="18"/>
                <w:szCs w:val="18"/>
                <w:color w:val="auto"/>
              </w:rPr>
              <w:t>13</w:t>
            </w:r>
          </w:p>
        </w:tc>
        <w:tc>
          <w:tcPr>
            <w:tcW w:w="860" w:type="dxa"/>
            <w:vAlign w:val="bottom"/>
          </w:tcPr>
          <w:p>
            <w:pPr>
              <w:jc w:val="right"/>
              <w:ind w:right="13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gridSpan w:val="2"/>
            <w:shd w:val="clear" w:color="auto" w:fill="E5E5E5"/>
          </w:tcPr>
          <w:p>
            <w:pPr>
              <w:jc w:val="right"/>
              <w:ind w:right="72"/>
              <w:spacing w:after="0"/>
              <w:rPr>
                <w:sz w:val="20"/>
                <w:szCs w:val="20"/>
                <w:color w:val="auto"/>
              </w:rPr>
            </w:pPr>
            <w:r>
              <w:rPr>
                <w:rFonts w:ascii="Arial" w:cs="Arial" w:eastAsia="Arial" w:hAnsi="Arial"/>
                <w:sz w:val="18"/>
                <w:szCs w:val="18"/>
                <w:color w:val="auto"/>
              </w:rPr>
              <w:t>2,598</w:t>
            </w:r>
          </w:p>
        </w:tc>
        <w:tc>
          <w:tcPr>
            <w:tcW w:w="108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2,296</w:t>
            </w:r>
          </w:p>
        </w:tc>
        <w:tc>
          <w:tcPr>
            <w:tcW w:w="1100" w:type="dxa"/>
            <w:vAlign w:val="bottom"/>
            <w:tcBorders>
              <w:bottom w:val="single" w:sz="8" w:color="auto"/>
            </w:tcBorders>
            <w:shd w:val="clear" w:color="auto" w:fill="E5E5E5"/>
          </w:tcPr>
          <w:p>
            <w:pPr>
              <w:jc w:val="right"/>
              <w:ind w:right="297"/>
              <w:spacing w:after="0"/>
              <w:rPr>
                <w:sz w:val="20"/>
                <w:szCs w:val="20"/>
                <w:color w:val="auto"/>
              </w:rPr>
            </w:pPr>
            <w:r>
              <w:rPr>
                <w:rFonts w:ascii="Arial" w:cs="Arial" w:eastAsia="Arial" w:hAnsi="Arial"/>
                <w:sz w:val="18"/>
                <w:szCs w:val="18"/>
                <w:color w:val="auto"/>
              </w:rPr>
              <w:t>302</w:t>
            </w:r>
          </w:p>
        </w:tc>
        <w:tc>
          <w:tcPr>
            <w:tcW w:w="8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expenses(a)</w:t>
            </w:r>
          </w:p>
        </w:tc>
        <w:tc>
          <w:tcPr>
            <w:tcW w:w="14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$10,685</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$10,141</w:t>
            </w:r>
          </w:p>
        </w:tc>
        <w:tc>
          <w:tcPr>
            <w:tcW w:w="110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$ 544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 Reclassifications have been made to the prior year’s amounts to conform to classifications used in 2010.</w:t>
      </w:r>
    </w:p>
    <w:p>
      <w:pPr>
        <w:spacing w:after="0" w:line="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Video programming expenses increased during the three and nine months ended September 30, 2010 compared to the same periods in 2009 primarily due to increased rates and additional programming options offered. Technical labor expenses increased during the three months ended September 30, 2010 compared to the same period in 2009 primarily due to an increase in customer service activity levels. Technical labor expenses decreased during the nine months ended September 30, 2010 compared to the same period in 2009 primarily due to operational efficiencies. High-speed Internet expenses and phone expenses include certain direct costs for providing these services but do not fully reflect the amount of operating expenses that would be necessary to provide these services on a stand-alone basis. Other related costs associated with providing these services are generally shared among all our cable services and are not allocated to these items. Other operating expenses increased during the three and nine months ended September 30, 2010 compared to the same periods in 2009 primarily due to an increase in advertising activity, the continued expansion of commercial services and other service enhancement initiatives.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Selling, General and Administrative Expenses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400" w:type="dxa"/>
            <w:vAlign w:val="bottom"/>
            <w:gridSpan w:val="3"/>
          </w:tcPr>
          <w:p>
            <w:pPr>
              <w:jc w:val="center"/>
              <w:ind w:left="141"/>
              <w:spacing w:after="0"/>
              <w:rPr>
                <w:sz w:val="20"/>
                <w:szCs w:val="20"/>
                <w:color w:val="auto"/>
              </w:rPr>
            </w:pPr>
            <w:r>
              <w:rPr>
                <w:rFonts w:ascii="Arial" w:cs="Arial" w:eastAsia="Arial" w:hAnsi="Arial"/>
                <w:sz w:val="14"/>
                <w:szCs w:val="14"/>
                <w:color w:val="auto"/>
                <w:w w:val="87"/>
              </w:rPr>
              <w:t>Three Months Ended</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700" w:type="dxa"/>
            <w:vAlign w:val="bottom"/>
            <w:tcBorders>
              <w:bottom w:val="single" w:sz="8" w:color="auto"/>
            </w:tcBorders>
            <w:gridSpan w:val="2"/>
          </w:tcPr>
          <w:p>
            <w:pPr>
              <w:jc w:val="center"/>
              <w:ind w:left="841"/>
              <w:spacing w:after="0" w:line="159" w:lineRule="exact"/>
              <w:rPr>
                <w:sz w:val="20"/>
                <w:szCs w:val="20"/>
                <w:color w:val="auto"/>
              </w:rPr>
            </w:pPr>
            <w:r>
              <w:rPr>
                <w:rFonts w:ascii="Arial" w:cs="Arial" w:eastAsia="Arial" w:hAnsi="Arial"/>
                <w:sz w:val="14"/>
                <w:szCs w:val="14"/>
                <w:color w:val="auto"/>
                <w:w w:val="84"/>
              </w:rPr>
              <w:t>September 30</w:t>
            </w: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416"/>
              <w:spacing w:after="0" w:line="159" w:lineRule="exact"/>
              <w:rPr>
                <w:sz w:val="20"/>
                <w:szCs w:val="20"/>
                <w:color w:val="auto"/>
              </w:rPr>
            </w:pPr>
            <w:r>
              <w:rPr>
                <w:rFonts w:ascii="Arial" w:cs="Arial" w:eastAsia="Arial" w:hAnsi="Arial"/>
                <w:sz w:val="14"/>
                <w:szCs w:val="14"/>
                <w:color w:val="auto"/>
                <w:w w:val="89"/>
              </w:rPr>
              <w:t>Increase/(Decrease)</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1320" w:type="dxa"/>
            <w:vAlign w:val="bottom"/>
          </w:tcPr>
          <w:p>
            <w:pPr>
              <w:jc w:val="right"/>
              <w:ind w:right="341"/>
              <w:spacing w:after="0" w:line="142"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2"/>
                <w:szCs w:val="12"/>
                <w:color w:val="auto"/>
              </w:rPr>
            </w:pPr>
          </w:p>
        </w:tc>
        <w:tc>
          <w:tcPr>
            <w:tcW w:w="700" w:type="dxa"/>
            <w:vAlign w:val="bottom"/>
          </w:tcPr>
          <w:p>
            <w:pPr>
              <w:jc w:val="right"/>
              <w:ind w:right="316"/>
              <w:spacing w:after="0" w:line="142" w:lineRule="exact"/>
              <w:rPr>
                <w:sz w:val="20"/>
                <w:szCs w:val="20"/>
                <w:color w:val="auto"/>
              </w:rPr>
            </w:pPr>
            <w:r>
              <w:rPr>
                <w:rFonts w:ascii="Arial" w:cs="Arial" w:eastAsia="Arial" w:hAnsi="Arial"/>
                <w:sz w:val="14"/>
                <w:szCs w:val="14"/>
                <w:color w:val="auto"/>
                <w:w w:val="89"/>
              </w:rPr>
              <w:t>2009</w:t>
            </w:r>
          </w:p>
        </w:tc>
        <w:tc>
          <w:tcPr>
            <w:tcW w:w="420" w:type="dxa"/>
            <w:vAlign w:val="bottom"/>
          </w:tcPr>
          <w:p>
            <w:pPr>
              <w:spacing w:after="0"/>
              <w:rPr>
                <w:sz w:val="12"/>
                <w:szCs w:val="12"/>
                <w:color w:val="auto"/>
              </w:rPr>
            </w:pPr>
          </w:p>
        </w:tc>
        <w:tc>
          <w:tcPr>
            <w:tcW w:w="720" w:type="dxa"/>
            <w:vAlign w:val="bottom"/>
          </w:tcPr>
          <w:p>
            <w:pPr>
              <w:jc w:val="right"/>
              <w:ind w:right="520"/>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5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1320" w:type="dxa"/>
            <w:vAlign w:val="bottom"/>
            <w:tcBorders>
              <w:top w:val="single" w:sz="8" w:color="auto"/>
            </w:tcBorders>
            <w:shd w:val="clear" w:color="auto" w:fill="E5E5E5"/>
          </w:tcPr>
          <w:p>
            <w:pPr>
              <w:jc w:val="right"/>
              <w:ind w:right="201"/>
              <w:spacing w:after="0"/>
              <w:rPr>
                <w:sz w:val="20"/>
                <w:szCs w:val="20"/>
                <w:color w:val="auto"/>
              </w:rPr>
            </w:pPr>
            <w:r>
              <w:rPr>
                <w:rFonts w:ascii="Arial" w:cs="Arial" w:eastAsia="Arial" w:hAnsi="Arial"/>
                <w:sz w:val="18"/>
                <w:szCs w:val="18"/>
                <w:color w:val="auto"/>
              </w:rPr>
              <w:t>$  459</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471</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80"/>
              <w:spacing w:after="0"/>
              <w:rPr>
                <w:sz w:val="20"/>
                <w:szCs w:val="20"/>
                <w:color w:val="auto"/>
              </w:rPr>
            </w:pPr>
            <w:r>
              <w:rPr>
                <w:rFonts w:ascii="Arial" w:cs="Arial" w:eastAsia="Arial" w:hAnsi="Arial"/>
                <w:sz w:val="18"/>
                <w:szCs w:val="18"/>
                <w:color w:val="auto"/>
              </w:rPr>
              <w:t>(12)</w:t>
            </w:r>
          </w:p>
        </w:tc>
        <w:tc>
          <w:tcPr>
            <w:tcW w:w="9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Marketing</w:t>
            </w:r>
          </w:p>
        </w:tc>
        <w:tc>
          <w:tcPr>
            <w:tcW w:w="1320" w:type="dxa"/>
            <w:vAlign w:val="bottom"/>
          </w:tcPr>
          <w:p>
            <w:pPr>
              <w:jc w:val="right"/>
              <w:ind w:right="201"/>
              <w:spacing w:after="0"/>
              <w:rPr>
                <w:sz w:val="20"/>
                <w:szCs w:val="20"/>
                <w:color w:val="auto"/>
              </w:rPr>
            </w:pPr>
            <w:r>
              <w:rPr>
                <w:rFonts w:ascii="Arial" w:cs="Arial" w:eastAsia="Arial" w:hAnsi="Arial"/>
                <w:sz w:val="18"/>
                <w:szCs w:val="18"/>
                <w:color w:val="auto"/>
              </w:rPr>
              <w:t>520</w:t>
            </w:r>
          </w:p>
        </w:tc>
        <w:tc>
          <w:tcPr>
            <w:tcW w:w="380" w:type="dxa"/>
            <w:vAlign w:val="bottom"/>
          </w:tcPr>
          <w:p>
            <w:pPr>
              <w:spacing w:after="0"/>
              <w:rPr>
                <w:sz w:val="18"/>
                <w:szCs w:val="18"/>
                <w:color w:val="auto"/>
              </w:rPr>
            </w:pPr>
          </w:p>
        </w:tc>
        <w:tc>
          <w:tcPr>
            <w:tcW w:w="700" w:type="dxa"/>
            <w:vAlign w:val="bottom"/>
          </w:tcPr>
          <w:p>
            <w:pPr>
              <w:jc w:val="right"/>
              <w:ind w:right="176"/>
              <w:spacing w:after="0"/>
              <w:rPr>
                <w:sz w:val="20"/>
                <w:szCs w:val="20"/>
                <w:color w:val="auto"/>
              </w:rPr>
            </w:pPr>
            <w:r>
              <w:rPr>
                <w:rFonts w:ascii="Arial" w:cs="Arial" w:eastAsia="Arial" w:hAnsi="Arial"/>
                <w:sz w:val="18"/>
                <w:szCs w:val="18"/>
                <w:color w:val="auto"/>
              </w:rPr>
              <w:t>443</w:t>
            </w:r>
          </w:p>
        </w:tc>
        <w:tc>
          <w:tcPr>
            <w:tcW w:w="420" w:type="dxa"/>
            <w:vAlign w:val="bottom"/>
          </w:tcPr>
          <w:p>
            <w:pPr>
              <w:spacing w:after="0"/>
              <w:rPr>
                <w:sz w:val="18"/>
                <w:szCs w:val="18"/>
                <w:color w:val="auto"/>
              </w:rPr>
            </w:pPr>
          </w:p>
        </w:tc>
        <w:tc>
          <w:tcPr>
            <w:tcW w:w="720" w:type="dxa"/>
            <w:vAlign w:val="bottom"/>
          </w:tcPr>
          <w:p>
            <w:pPr>
              <w:jc w:val="right"/>
              <w:ind w:right="340"/>
              <w:spacing w:after="0"/>
              <w:rPr>
                <w:sz w:val="20"/>
                <w:szCs w:val="20"/>
                <w:color w:val="auto"/>
              </w:rPr>
            </w:pPr>
            <w:r>
              <w:rPr>
                <w:rFonts w:ascii="Arial" w:cs="Arial" w:eastAsia="Arial" w:hAnsi="Arial"/>
                <w:sz w:val="18"/>
                <w:szCs w:val="18"/>
                <w:color w:val="auto"/>
              </w:rPr>
              <w:t>77</w:t>
            </w:r>
          </w:p>
        </w:tc>
        <w:tc>
          <w:tcPr>
            <w:tcW w:w="940" w:type="dxa"/>
            <w:vAlign w:val="bottom"/>
          </w:tcPr>
          <w:p>
            <w:pPr>
              <w:jc w:val="right"/>
              <w:ind w:right="176"/>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1320" w:type="dxa"/>
            <w:vAlign w:val="bottom"/>
            <w:tcBorders>
              <w:bottom w:val="single" w:sz="8" w:color="auto"/>
            </w:tcBorders>
            <w:shd w:val="clear" w:color="auto" w:fill="E5E5E5"/>
          </w:tcPr>
          <w:p>
            <w:pPr>
              <w:jc w:val="right"/>
              <w:ind w:right="201"/>
              <w:spacing w:after="0"/>
              <w:rPr>
                <w:sz w:val="20"/>
                <w:szCs w:val="20"/>
                <w:color w:val="auto"/>
              </w:rPr>
            </w:pPr>
            <w:r>
              <w:rPr>
                <w:rFonts w:ascii="Arial" w:cs="Arial" w:eastAsia="Arial" w:hAnsi="Arial"/>
                <w:sz w:val="18"/>
                <w:szCs w:val="18"/>
                <w:color w:val="auto"/>
              </w:rPr>
              <w:t>851</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795</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40"/>
              <w:spacing w:after="0"/>
              <w:rPr>
                <w:sz w:val="20"/>
                <w:szCs w:val="20"/>
                <w:color w:val="auto"/>
              </w:rPr>
            </w:pPr>
            <w:r>
              <w:rPr>
                <w:rFonts w:ascii="Arial" w:cs="Arial" w:eastAsia="Arial" w:hAnsi="Arial"/>
                <w:sz w:val="18"/>
                <w:szCs w:val="18"/>
                <w:color w:val="auto"/>
              </w:rPr>
              <w:t>56</w:t>
            </w:r>
          </w:p>
        </w:tc>
        <w:tc>
          <w:tcPr>
            <w:tcW w:w="94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expenses(a)</w:t>
            </w: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rPr>
              <w:t>$ 1,830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93"/>
              </w:rPr>
              <w:t>1,709</w:t>
            </w:r>
          </w:p>
        </w:tc>
        <w:tc>
          <w:tcPr>
            <w:tcW w:w="11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$ 121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400" w:type="dxa"/>
            <w:vAlign w:val="bottom"/>
            <w:gridSpan w:val="3"/>
          </w:tcPr>
          <w:p>
            <w:pPr>
              <w:jc w:val="center"/>
              <w:ind w:left="141"/>
              <w:spacing w:after="0"/>
              <w:rPr>
                <w:sz w:val="20"/>
                <w:szCs w:val="20"/>
                <w:color w:val="auto"/>
              </w:rPr>
            </w:pPr>
            <w:r>
              <w:rPr>
                <w:rFonts w:ascii="Arial" w:cs="Arial" w:eastAsia="Arial" w:hAnsi="Arial"/>
                <w:sz w:val="14"/>
                <w:szCs w:val="14"/>
                <w:color w:val="auto"/>
                <w:w w:val="89"/>
              </w:rPr>
              <w:t>Nine Months Ended</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700" w:type="dxa"/>
            <w:vAlign w:val="bottom"/>
            <w:tcBorders>
              <w:bottom w:val="single" w:sz="8" w:color="auto"/>
            </w:tcBorders>
            <w:gridSpan w:val="2"/>
          </w:tcPr>
          <w:p>
            <w:pPr>
              <w:jc w:val="center"/>
              <w:ind w:left="841"/>
              <w:spacing w:after="0" w:line="159" w:lineRule="exact"/>
              <w:rPr>
                <w:sz w:val="20"/>
                <w:szCs w:val="20"/>
                <w:color w:val="auto"/>
              </w:rPr>
            </w:pPr>
            <w:r>
              <w:rPr>
                <w:rFonts w:ascii="Arial" w:cs="Arial" w:eastAsia="Arial" w:hAnsi="Arial"/>
                <w:sz w:val="14"/>
                <w:szCs w:val="14"/>
                <w:color w:val="auto"/>
                <w:w w:val="84"/>
              </w:rPr>
              <w:t>September 30</w:t>
            </w: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416"/>
              <w:spacing w:after="0" w:line="159" w:lineRule="exact"/>
              <w:rPr>
                <w:sz w:val="20"/>
                <w:szCs w:val="20"/>
                <w:color w:val="auto"/>
              </w:rPr>
            </w:pPr>
            <w:r>
              <w:rPr>
                <w:rFonts w:ascii="Arial" w:cs="Arial" w:eastAsia="Arial" w:hAnsi="Arial"/>
                <w:sz w:val="14"/>
                <w:szCs w:val="14"/>
                <w:color w:val="auto"/>
                <w:w w:val="89"/>
              </w:rPr>
              <w:t>Increase/(Decrease)</w:t>
            </w: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1320" w:type="dxa"/>
            <w:vAlign w:val="bottom"/>
          </w:tcPr>
          <w:p>
            <w:pPr>
              <w:jc w:val="right"/>
              <w:ind w:right="341"/>
              <w:spacing w:after="0" w:line="142"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2"/>
                <w:szCs w:val="12"/>
                <w:color w:val="auto"/>
              </w:rPr>
            </w:pPr>
          </w:p>
        </w:tc>
        <w:tc>
          <w:tcPr>
            <w:tcW w:w="700" w:type="dxa"/>
            <w:vAlign w:val="bottom"/>
          </w:tcPr>
          <w:p>
            <w:pPr>
              <w:jc w:val="right"/>
              <w:ind w:right="316"/>
              <w:spacing w:after="0" w:line="142" w:lineRule="exact"/>
              <w:rPr>
                <w:sz w:val="20"/>
                <w:szCs w:val="20"/>
                <w:color w:val="auto"/>
              </w:rPr>
            </w:pPr>
            <w:r>
              <w:rPr>
                <w:rFonts w:ascii="Arial" w:cs="Arial" w:eastAsia="Arial" w:hAnsi="Arial"/>
                <w:sz w:val="14"/>
                <w:szCs w:val="14"/>
                <w:color w:val="auto"/>
                <w:w w:val="89"/>
              </w:rPr>
              <w:t>2009</w:t>
            </w:r>
          </w:p>
        </w:tc>
        <w:tc>
          <w:tcPr>
            <w:tcW w:w="420" w:type="dxa"/>
            <w:vAlign w:val="bottom"/>
          </w:tcPr>
          <w:p>
            <w:pPr>
              <w:spacing w:after="0"/>
              <w:rPr>
                <w:sz w:val="12"/>
                <w:szCs w:val="12"/>
                <w:color w:val="auto"/>
              </w:rPr>
            </w:pPr>
          </w:p>
        </w:tc>
        <w:tc>
          <w:tcPr>
            <w:tcW w:w="720" w:type="dxa"/>
            <w:vAlign w:val="bottom"/>
          </w:tcPr>
          <w:p>
            <w:pPr>
              <w:jc w:val="right"/>
              <w:ind w:right="520"/>
              <w:spacing w:after="0" w:line="14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5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Customer service</w:t>
            </w:r>
          </w:p>
        </w:tc>
        <w:tc>
          <w:tcPr>
            <w:tcW w:w="1320" w:type="dxa"/>
            <w:vAlign w:val="bottom"/>
            <w:tcBorders>
              <w:top w:val="single" w:sz="8" w:color="auto"/>
            </w:tcBorders>
            <w:shd w:val="clear" w:color="auto" w:fill="E5E5E5"/>
          </w:tcPr>
          <w:p>
            <w:pPr>
              <w:jc w:val="right"/>
              <w:ind w:right="201"/>
              <w:spacing w:after="0"/>
              <w:rPr>
                <w:sz w:val="20"/>
                <w:szCs w:val="20"/>
                <w:color w:val="auto"/>
              </w:rPr>
            </w:pPr>
            <w:r>
              <w:rPr>
                <w:rFonts w:ascii="Arial" w:cs="Arial" w:eastAsia="Arial" w:hAnsi="Arial"/>
                <w:sz w:val="18"/>
                <w:szCs w:val="18"/>
                <w:color w:val="auto"/>
              </w:rPr>
              <w:t>$ 1,354</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w w:val="93"/>
              </w:rPr>
              <w:t>1,402</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280"/>
              <w:spacing w:after="0"/>
              <w:rPr>
                <w:sz w:val="20"/>
                <w:szCs w:val="20"/>
                <w:color w:val="auto"/>
              </w:rPr>
            </w:pPr>
            <w:r>
              <w:rPr>
                <w:rFonts w:ascii="Arial" w:cs="Arial" w:eastAsia="Arial" w:hAnsi="Arial"/>
                <w:sz w:val="18"/>
                <w:szCs w:val="18"/>
                <w:color w:val="auto"/>
              </w:rPr>
              <w:t>(48)</w:t>
            </w:r>
          </w:p>
        </w:tc>
        <w:tc>
          <w:tcPr>
            <w:tcW w:w="9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Marketing</w:t>
            </w:r>
          </w:p>
        </w:tc>
        <w:tc>
          <w:tcPr>
            <w:tcW w:w="1320" w:type="dxa"/>
            <w:vAlign w:val="bottom"/>
          </w:tcPr>
          <w:p>
            <w:pPr>
              <w:jc w:val="right"/>
              <w:ind w:right="201"/>
              <w:spacing w:after="0"/>
              <w:rPr>
                <w:sz w:val="20"/>
                <w:szCs w:val="20"/>
                <w:color w:val="auto"/>
              </w:rPr>
            </w:pPr>
            <w:r>
              <w:rPr>
                <w:rFonts w:ascii="Arial" w:cs="Arial" w:eastAsia="Arial" w:hAnsi="Arial"/>
                <w:sz w:val="18"/>
                <w:szCs w:val="18"/>
                <w:color w:val="auto"/>
              </w:rPr>
              <w:t>1,402</w:t>
            </w:r>
          </w:p>
        </w:tc>
        <w:tc>
          <w:tcPr>
            <w:tcW w:w="380" w:type="dxa"/>
            <w:vAlign w:val="bottom"/>
          </w:tcPr>
          <w:p>
            <w:pPr>
              <w:spacing w:after="0"/>
              <w:rPr>
                <w:sz w:val="18"/>
                <w:szCs w:val="18"/>
                <w:color w:val="auto"/>
              </w:rPr>
            </w:pPr>
          </w:p>
        </w:tc>
        <w:tc>
          <w:tcPr>
            <w:tcW w:w="700" w:type="dxa"/>
            <w:vAlign w:val="bottom"/>
          </w:tcPr>
          <w:p>
            <w:pPr>
              <w:jc w:val="right"/>
              <w:ind w:right="176"/>
              <w:spacing w:after="0"/>
              <w:rPr>
                <w:sz w:val="20"/>
                <w:szCs w:val="20"/>
                <w:color w:val="auto"/>
              </w:rPr>
            </w:pPr>
            <w:r>
              <w:rPr>
                <w:rFonts w:ascii="Arial" w:cs="Arial" w:eastAsia="Arial" w:hAnsi="Arial"/>
                <w:sz w:val="18"/>
                <w:szCs w:val="18"/>
                <w:color w:val="auto"/>
                <w:w w:val="93"/>
              </w:rPr>
              <w:t>1,216</w:t>
            </w:r>
          </w:p>
        </w:tc>
        <w:tc>
          <w:tcPr>
            <w:tcW w:w="420" w:type="dxa"/>
            <w:vAlign w:val="bottom"/>
          </w:tcPr>
          <w:p>
            <w:pPr>
              <w:spacing w:after="0"/>
              <w:rPr>
                <w:sz w:val="18"/>
                <w:szCs w:val="18"/>
                <w:color w:val="auto"/>
              </w:rPr>
            </w:pPr>
          </w:p>
        </w:tc>
        <w:tc>
          <w:tcPr>
            <w:tcW w:w="720" w:type="dxa"/>
            <w:vAlign w:val="bottom"/>
          </w:tcPr>
          <w:p>
            <w:pPr>
              <w:jc w:val="right"/>
              <w:ind w:right="340"/>
              <w:spacing w:after="0"/>
              <w:rPr>
                <w:sz w:val="20"/>
                <w:szCs w:val="20"/>
                <w:color w:val="auto"/>
              </w:rPr>
            </w:pPr>
            <w:r>
              <w:rPr>
                <w:rFonts w:ascii="Arial" w:cs="Arial" w:eastAsia="Arial" w:hAnsi="Arial"/>
                <w:sz w:val="18"/>
                <w:szCs w:val="18"/>
                <w:color w:val="auto"/>
                <w:w w:val="93"/>
              </w:rPr>
              <w:t>186</w:t>
            </w:r>
          </w:p>
        </w:tc>
        <w:tc>
          <w:tcPr>
            <w:tcW w:w="940" w:type="dxa"/>
            <w:vAlign w:val="bottom"/>
          </w:tcPr>
          <w:p>
            <w:pPr>
              <w:jc w:val="right"/>
              <w:ind w:right="176"/>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Administrative and other</w:t>
            </w:r>
          </w:p>
        </w:tc>
        <w:tc>
          <w:tcPr>
            <w:tcW w:w="1320" w:type="dxa"/>
            <w:vAlign w:val="bottom"/>
            <w:tcBorders>
              <w:bottom w:val="single" w:sz="8" w:color="auto"/>
            </w:tcBorders>
            <w:shd w:val="clear" w:color="auto" w:fill="E5E5E5"/>
          </w:tcPr>
          <w:p>
            <w:pPr>
              <w:jc w:val="right"/>
              <w:ind w:right="201"/>
              <w:spacing w:after="0"/>
              <w:rPr>
                <w:sz w:val="20"/>
                <w:szCs w:val="20"/>
                <w:color w:val="auto"/>
              </w:rPr>
            </w:pPr>
            <w:r>
              <w:rPr>
                <w:rFonts w:ascii="Arial" w:cs="Arial" w:eastAsia="Arial" w:hAnsi="Arial"/>
                <w:sz w:val="18"/>
                <w:szCs w:val="18"/>
                <w:color w:val="auto"/>
              </w:rPr>
              <w:t>2,380</w:t>
            </w:r>
          </w:p>
        </w:tc>
        <w:tc>
          <w:tcPr>
            <w:tcW w:w="3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w w:val="93"/>
              </w:rPr>
              <w:t>2,329</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40"/>
              <w:spacing w:after="0"/>
              <w:rPr>
                <w:sz w:val="20"/>
                <w:szCs w:val="20"/>
                <w:color w:val="auto"/>
              </w:rPr>
            </w:pPr>
            <w:r>
              <w:rPr>
                <w:rFonts w:ascii="Arial" w:cs="Arial" w:eastAsia="Arial" w:hAnsi="Arial"/>
                <w:sz w:val="18"/>
                <w:szCs w:val="18"/>
                <w:color w:val="auto"/>
              </w:rPr>
              <w:t>51</w:t>
            </w:r>
          </w:p>
        </w:tc>
        <w:tc>
          <w:tcPr>
            <w:tcW w:w="94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selling, general and administrative expenses(a)</w:t>
            </w:r>
          </w:p>
        </w:tc>
        <w:tc>
          <w:tcPr>
            <w:tcW w:w="132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rPr>
              <w:t>$ 5,136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93"/>
              </w:rPr>
              <w:t>4,947</w:t>
            </w:r>
          </w:p>
        </w:tc>
        <w:tc>
          <w:tcPr>
            <w:tcW w:w="11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$ 189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 Reclassifications have been made to the prior year’s amounts to conform to classifications used in 2010.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Marketing expenses increased during the three and nine months ended September 30, 2010 compared to the same periods in 2009 primarily due to an increase in direct sales efforts and additional marketing costs associated with attracting and retaining customers, as well as the launch of our XFINITY brand.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jc w:val="right"/>
              <w:ind w:right="515"/>
              <w:spacing w:after="0"/>
              <w:rPr>
                <w:sz w:val="20"/>
                <w:szCs w:val="20"/>
                <w:color w:val="auto"/>
              </w:rPr>
            </w:pPr>
            <w:r>
              <w:rPr>
                <w:rFonts w:ascii="Arial" w:cs="Arial" w:eastAsia="Arial" w:hAnsi="Arial"/>
                <w:sz w:val="14"/>
                <w:szCs w:val="14"/>
                <w:color w:val="auto"/>
                <w:w w:val="96"/>
              </w:rPr>
              <w:t>Three Months Ended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0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4"/>
                <w:szCs w:val="14"/>
                <w:color w:val="auto"/>
                <w:w w:val="86"/>
              </w:rPr>
              <w:t>Increase/(Decrease)</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462"/>
              <w:spacing w:after="0" w:line="142" w:lineRule="exact"/>
              <w:rPr>
                <w:sz w:val="20"/>
                <w:szCs w:val="20"/>
                <w:color w:val="auto"/>
              </w:rPr>
            </w:pPr>
            <w:r>
              <w:rPr>
                <w:rFonts w:ascii="Arial" w:cs="Arial" w:eastAsia="Arial" w:hAnsi="Arial"/>
                <w:sz w:val="14"/>
                <w:szCs w:val="14"/>
                <w:color w:val="auto"/>
                <w:w w:val="83"/>
              </w:rPr>
              <w:t>2010</w:t>
            </w:r>
          </w:p>
        </w:tc>
        <w:tc>
          <w:tcPr>
            <w:tcW w:w="280" w:type="dxa"/>
            <w:vAlign w:val="bottom"/>
          </w:tcPr>
          <w:p>
            <w:pPr>
              <w:spacing w:after="0"/>
              <w:rPr>
                <w:sz w:val="12"/>
                <w:szCs w:val="12"/>
                <w:color w:val="auto"/>
              </w:rPr>
            </w:pPr>
          </w:p>
        </w:tc>
        <w:tc>
          <w:tcPr>
            <w:tcW w:w="780" w:type="dxa"/>
            <w:vAlign w:val="bottom"/>
            <w:gridSpan w:val="2"/>
          </w:tcPr>
          <w:p>
            <w:pPr>
              <w:jc w:val="right"/>
              <w:ind w:right="415"/>
              <w:spacing w:after="0" w:line="142" w:lineRule="exact"/>
              <w:rPr>
                <w:sz w:val="20"/>
                <w:szCs w:val="20"/>
                <w:color w:val="auto"/>
              </w:rPr>
            </w:pPr>
            <w:r>
              <w:rPr>
                <w:rFonts w:ascii="Arial" w:cs="Arial" w:eastAsia="Arial" w:hAnsi="Arial"/>
                <w:sz w:val="14"/>
                <w:szCs w:val="14"/>
                <w:color w:val="auto"/>
                <w:w w:val="83"/>
              </w:rPr>
              <w:t>2009</w:t>
            </w:r>
          </w:p>
        </w:tc>
        <w:tc>
          <w:tcPr>
            <w:tcW w:w="360" w:type="dxa"/>
            <w:vAlign w:val="bottom"/>
          </w:tcPr>
          <w:p>
            <w:pPr>
              <w:spacing w:after="0"/>
              <w:rPr>
                <w:sz w:val="12"/>
                <w:szCs w:val="12"/>
                <w:color w:val="auto"/>
              </w:rPr>
            </w:pPr>
          </w:p>
        </w:tc>
        <w:tc>
          <w:tcPr>
            <w:tcW w:w="680" w:type="dxa"/>
            <w:vAlign w:val="bottom"/>
          </w:tcPr>
          <w:p>
            <w:pPr>
              <w:jc w:val="right"/>
              <w:ind w:right="521"/>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ind w:right="33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620" w:type="dxa"/>
            <w:vAlign w:val="bottom"/>
            <w:tcBorders>
              <w:top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322"/>
              <w:spacing w:after="0"/>
              <w:rPr>
                <w:sz w:val="20"/>
                <w:szCs w:val="20"/>
                <w:color w:val="auto"/>
              </w:rPr>
            </w:pPr>
            <w:r>
              <w:rPr>
                <w:rFonts w:ascii="Arial" w:cs="Arial" w:eastAsia="Arial" w:hAnsi="Arial"/>
                <w:sz w:val="18"/>
                <w:szCs w:val="18"/>
                <w:color w:val="auto"/>
              </w:rPr>
              <w:t>416</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w w:val="86"/>
              </w:rPr>
              <w:t>383</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341"/>
              <w:spacing w:after="0"/>
              <w:rPr>
                <w:sz w:val="20"/>
                <w:szCs w:val="20"/>
                <w:color w:val="auto"/>
              </w:rPr>
            </w:pPr>
            <w:r>
              <w:rPr>
                <w:rFonts w:ascii="Arial" w:cs="Arial" w:eastAsia="Arial" w:hAnsi="Arial"/>
                <w:sz w:val="18"/>
                <w:szCs w:val="18"/>
                <w:color w:val="auto"/>
              </w:rPr>
              <w:t>33</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color w:val="auto"/>
              </w:rPr>
              <w:t>266</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w w:val="86"/>
              </w:rPr>
              <w:t>265</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color w:val="auto"/>
              </w:rPr>
              <w:t>1</w:t>
            </w: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62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322"/>
              <w:spacing w:after="0"/>
              <w:rPr>
                <w:sz w:val="20"/>
                <w:szCs w:val="20"/>
                <w:color w:val="auto"/>
              </w:rPr>
            </w:pPr>
            <w:r>
              <w:rPr>
                <w:rFonts w:ascii="Arial" w:cs="Arial" w:eastAsia="Arial" w:hAnsi="Arial"/>
                <w:sz w:val="18"/>
                <w:szCs w:val="18"/>
                <w:b w:val="1"/>
                <w:bCs w:val="1"/>
                <w:color w:val="auto"/>
              </w:rPr>
              <w:t>150</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w w:val="86"/>
              </w:rPr>
              <w:t>118</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341"/>
              <w:spacing w:after="0"/>
              <w:rPr>
                <w:sz w:val="20"/>
                <w:szCs w:val="20"/>
                <w:color w:val="auto"/>
              </w:rPr>
            </w:pPr>
            <w:r>
              <w:rPr>
                <w:rFonts w:ascii="Arial" w:cs="Arial" w:eastAsia="Arial" w:hAnsi="Arial"/>
                <w:sz w:val="18"/>
                <w:szCs w:val="18"/>
                <w:b w:val="1"/>
                <w:bCs w:val="1"/>
                <w:color w:val="auto"/>
              </w:rPr>
              <w:t>32</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gridSpan w:val="4"/>
          </w:tcPr>
          <w:p>
            <w:pPr>
              <w:jc w:val="right"/>
              <w:ind w:right="335"/>
              <w:spacing w:after="0"/>
              <w:rPr>
                <w:sz w:val="20"/>
                <w:szCs w:val="20"/>
                <w:color w:val="auto"/>
              </w:rPr>
            </w:pPr>
            <w:r>
              <w:rPr>
                <w:rFonts w:ascii="Arial" w:cs="Arial" w:eastAsia="Arial" w:hAnsi="Arial"/>
                <w:sz w:val="14"/>
                <w:szCs w:val="14"/>
                <w:color w:val="auto"/>
              </w:rPr>
              <w:t>Nine Months Ended</w:t>
            </w: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0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4"/>
                <w:szCs w:val="14"/>
                <w:color w:val="auto"/>
                <w:w w:val="89"/>
              </w:rPr>
              <w:t>Increase/(Decrease)</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02"/>
              <w:spacing w:after="0" w:line="142" w:lineRule="exact"/>
              <w:rPr>
                <w:sz w:val="20"/>
                <w:szCs w:val="20"/>
                <w:color w:val="auto"/>
              </w:rPr>
            </w:pPr>
            <w:r>
              <w:rPr>
                <w:rFonts w:ascii="Arial" w:cs="Arial" w:eastAsia="Arial" w:hAnsi="Arial"/>
                <w:sz w:val="14"/>
                <w:szCs w:val="14"/>
                <w:color w:val="auto"/>
              </w:rPr>
              <w:t>2010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255"/>
              <w:spacing w:after="0" w:line="142" w:lineRule="exact"/>
              <w:rPr>
                <w:sz w:val="20"/>
                <w:szCs w:val="20"/>
                <w:color w:val="auto"/>
              </w:rPr>
            </w:pPr>
            <w:r>
              <w:rPr>
                <w:rFonts w:ascii="Arial" w:cs="Arial" w:eastAsia="Arial" w:hAnsi="Arial"/>
                <w:sz w:val="14"/>
                <w:szCs w:val="14"/>
                <w:color w:val="auto"/>
                <w:w w:val="89"/>
              </w:rPr>
              <w:t>2009</w:t>
            </w:r>
          </w:p>
        </w:tc>
        <w:tc>
          <w:tcPr>
            <w:tcW w:w="360" w:type="dxa"/>
            <w:vAlign w:val="bottom"/>
          </w:tcPr>
          <w:p>
            <w:pPr>
              <w:spacing w:after="0"/>
              <w:rPr>
                <w:sz w:val="12"/>
                <w:szCs w:val="12"/>
                <w:color w:val="auto"/>
              </w:rPr>
            </w:pPr>
          </w:p>
        </w:tc>
        <w:tc>
          <w:tcPr>
            <w:tcW w:w="680" w:type="dxa"/>
            <w:vAlign w:val="bottom"/>
          </w:tcPr>
          <w:p>
            <w:pPr>
              <w:jc w:val="right"/>
              <w:ind w:right="441"/>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color w:val="auto"/>
              </w:rPr>
              <w:t>$ 1,255</w:t>
            </w:r>
          </w:p>
        </w:tc>
        <w:tc>
          <w:tcPr>
            <w:tcW w:w="28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93"/>
              </w:rPr>
              <w:t>1,128</w:t>
            </w:r>
          </w:p>
        </w:tc>
        <w:tc>
          <w:tcPr>
            <w:tcW w:w="1040" w:type="dxa"/>
            <w:vAlign w:val="bottom"/>
            <w:tcBorders>
              <w:top w:val="single" w:sz="8" w:color="auto"/>
            </w:tcBorders>
            <w:gridSpan w:val="2"/>
            <w:shd w:val="clear" w:color="auto" w:fill="E5E5E5"/>
          </w:tcPr>
          <w:p>
            <w:pPr>
              <w:jc w:val="right"/>
              <w:ind w:right="261"/>
              <w:spacing w:after="0"/>
              <w:rPr>
                <w:sz w:val="20"/>
                <w:szCs w:val="20"/>
                <w:color w:val="auto"/>
              </w:rPr>
            </w:pPr>
            <w:r>
              <w:rPr>
                <w:rFonts w:ascii="Arial" w:cs="Arial" w:eastAsia="Arial" w:hAnsi="Arial"/>
                <w:sz w:val="18"/>
                <w:szCs w:val="18"/>
                <w:color w:val="auto"/>
              </w:rPr>
              <w:t>$ 127</w:t>
            </w:r>
          </w:p>
        </w:tc>
        <w:tc>
          <w:tcPr>
            <w:tcW w:w="8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selling, general and administrative</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color w:val="auto"/>
              </w:rPr>
              <w:t>832</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785</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8"/>
                <w:szCs w:val="18"/>
                <w:color w:val="auto"/>
              </w:rPr>
              <w:t>47</w:t>
            </w: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6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b w:val="1"/>
                <w:bCs w:val="1"/>
                <w:color w:val="auto"/>
              </w:rPr>
              <w:t>$  423</w:t>
            </w:r>
          </w:p>
        </w:tc>
        <w:tc>
          <w:tcPr>
            <w:tcW w:w="2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343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261"/>
              <w:spacing w:after="0"/>
              <w:rPr>
                <w:sz w:val="20"/>
                <w:szCs w:val="20"/>
                <w:color w:val="auto"/>
              </w:rPr>
            </w:pPr>
            <w:r>
              <w:rPr>
                <w:rFonts w:ascii="Arial" w:cs="Arial" w:eastAsia="Arial" w:hAnsi="Arial"/>
                <w:sz w:val="18"/>
                <w:szCs w:val="18"/>
                <w:b w:val="1"/>
                <w:bCs w:val="1"/>
                <w:color w:val="auto"/>
              </w:rPr>
              <w:t>80</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Segment Revenue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Programming revenue increased during the three and nine months ended September 30, 2010 compared to same periods in 2009 primarily due to growth in advertising revenue and programming license fee revenue. For both the three and nine months ended September 30, 2010, advertising accounted for approximately 40% of total Programming revenue. For the three and nine months ended September 30, 2009, advertising accounted for approximately 42% and 41%, respectively, of total Programming revenue. For each of the three and nine months ended September 30, 2010 and 2009, approximately 12% of our Programming revenue was generated from our Cable segment. These amounts are eliminated in our consolidated financial statements but are included in the amounts presented above.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color w:val="auto"/>
                <w:w w:val="94"/>
              </w:rPr>
              <w:t>Three Months Ended</w:t>
            </w:r>
          </w:p>
        </w:tc>
        <w:tc>
          <w:tcPr>
            <w:tcW w:w="1980" w:type="dxa"/>
            <w:vAlign w:val="bottom"/>
            <w:gridSpan w:val="2"/>
          </w:tcPr>
          <w:p>
            <w:pPr>
              <w:jc w:val="right"/>
              <w:ind w:right="296"/>
              <w:spacing w:after="0"/>
              <w:rPr>
                <w:sz w:val="20"/>
                <w:szCs w:val="20"/>
                <w:color w:val="auto"/>
              </w:rPr>
            </w:pPr>
            <w:r>
              <w:rPr>
                <w:rFonts w:ascii="Arial" w:cs="Arial" w:eastAsia="Arial" w:hAnsi="Arial"/>
                <w:sz w:val="14"/>
                <w:szCs w:val="14"/>
                <w:color w:val="auto"/>
              </w:rPr>
              <w:t>Nine Months Ended</w:t>
            </w:r>
          </w:p>
        </w:tc>
      </w:tr>
      <w:tr>
        <w:trPr>
          <w:trHeight w:val="172"/>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7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476"/>
              <w:spacing w:after="0"/>
              <w:rPr>
                <w:sz w:val="20"/>
                <w:szCs w:val="20"/>
                <w:color w:val="auto"/>
              </w:rPr>
            </w:pPr>
            <w:r>
              <w:rPr>
                <w:rFonts w:ascii="Arial" w:cs="Arial" w:eastAsia="Arial" w:hAnsi="Arial"/>
                <w:sz w:val="14"/>
                <w:szCs w:val="14"/>
                <w:color w:val="auto"/>
              </w:rPr>
              <w:t>September 30</w:t>
            </w:r>
          </w:p>
        </w:tc>
      </w:tr>
      <w:tr>
        <w:trPr>
          <w:trHeight w:val="143"/>
        </w:trPr>
        <w:tc>
          <w:tcPr>
            <w:tcW w:w="712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2"/>
                <w:szCs w:val="12"/>
                <w:color w:val="auto"/>
              </w:rPr>
            </w:pPr>
          </w:p>
        </w:tc>
        <w:tc>
          <w:tcPr>
            <w:tcW w:w="720" w:type="dxa"/>
            <w:vAlign w:val="bottom"/>
          </w:tcPr>
          <w:p>
            <w:pPr>
              <w:jc w:val="right"/>
              <w:ind w:right="360"/>
              <w:spacing w:after="0" w:line="143" w:lineRule="exact"/>
              <w:rPr>
                <w:sz w:val="20"/>
                <w:szCs w:val="20"/>
                <w:color w:val="auto"/>
              </w:rPr>
            </w:pPr>
            <w:r>
              <w:rPr>
                <w:rFonts w:ascii="Arial" w:cs="Arial" w:eastAsia="Arial" w:hAnsi="Arial"/>
                <w:sz w:val="14"/>
                <w:szCs w:val="14"/>
                <w:color w:val="auto"/>
                <w:w w:val="83"/>
              </w:rPr>
              <w:t>2010</w:t>
            </w:r>
          </w:p>
        </w:tc>
        <w:tc>
          <w:tcPr>
            <w:tcW w:w="360" w:type="dxa"/>
            <w:vAlign w:val="bottom"/>
          </w:tcPr>
          <w:p>
            <w:pPr>
              <w:spacing w:after="0"/>
              <w:rPr>
                <w:sz w:val="12"/>
                <w:szCs w:val="12"/>
                <w:color w:val="auto"/>
              </w:rPr>
            </w:pPr>
          </w:p>
        </w:tc>
        <w:tc>
          <w:tcPr>
            <w:tcW w:w="700" w:type="dxa"/>
            <w:vAlign w:val="bottom"/>
          </w:tcPr>
          <w:p>
            <w:pPr>
              <w:jc w:val="right"/>
              <w:ind w:right="336"/>
              <w:spacing w:after="0" w:line="143" w:lineRule="exact"/>
              <w:rPr>
                <w:sz w:val="20"/>
                <w:szCs w:val="20"/>
                <w:color w:val="auto"/>
              </w:rPr>
            </w:pPr>
            <w:r>
              <w:rPr>
                <w:rFonts w:ascii="Arial" w:cs="Arial" w:eastAsia="Arial" w:hAnsi="Arial"/>
                <w:sz w:val="14"/>
                <w:szCs w:val="14"/>
                <w:color w:val="auto"/>
                <w:w w:val="83"/>
              </w:rPr>
              <w:t>2009</w:t>
            </w:r>
          </w:p>
        </w:tc>
        <w:tc>
          <w:tcPr>
            <w:tcW w:w="1080" w:type="dxa"/>
            <w:vAlign w:val="bottom"/>
          </w:tcPr>
          <w:p>
            <w:pPr>
              <w:jc w:val="right"/>
              <w:ind w:right="360"/>
              <w:spacing w:after="0" w:line="143" w:lineRule="exact"/>
              <w:rPr>
                <w:sz w:val="20"/>
                <w:szCs w:val="20"/>
                <w:color w:val="auto"/>
              </w:rPr>
            </w:pPr>
            <w:r>
              <w:rPr>
                <w:rFonts w:ascii="Arial" w:cs="Arial" w:eastAsia="Arial" w:hAnsi="Arial"/>
                <w:sz w:val="14"/>
                <w:szCs w:val="14"/>
                <w:color w:val="auto"/>
              </w:rPr>
              <w:t>2010</w:t>
            </w:r>
          </w:p>
        </w:tc>
        <w:tc>
          <w:tcPr>
            <w:tcW w:w="900" w:type="dxa"/>
            <w:vAlign w:val="bottom"/>
          </w:tcPr>
          <w:p>
            <w:pPr>
              <w:jc w:val="right"/>
              <w:ind w:right="156"/>
              <w:spacing w:after="0" w:line="143" w:lineRule="exact"/>
              <w:rPr>
                <w:sz w:val="20"/>
                <w:szCs w:val="20"/>
                <w:color w:val="auto"/>
              </w:rPr>
            </w:pPr>
            <w:r>
              <w:rPr>
                <w:rFonts w:ascii="Arial" w:cs="Arial" w:eastAsia="Arial" w:hAnsi="Arial"/>
                <w:sz w:val="14"/>
                <w:szCs w:val="14"/>
                <w:color w:val="auto"/>
              </w:rPr>
              <w:t>2009</w:t>
            </w:r>
          </w:p>
        </w:tc>
      </w:tr>
      <w:tr>
        <w:trPr>
          <w:trHeight w:val="210"/>
        </w:trPr>
        <w:tc>
          <w:tcPr>
            <w:tcW w:w="20" w:type="dxa"/>
            <w:vAlign w:val="bottom"/>
          </w:tcPr>
          <w:p>
            <w:pPr>
              <w:spacing w:after="0"/>
              <w:rPr>
                <w:sz w:val="18"/>
                <w:szCs w:val="18"/>
                <w:color w:val="auto"/>
              </w:rPr>
            </w:pPr>
          </w:p>
        </w:tc>
        <w:tc>
          <w:tcPr>
            <w:tcW w:w="71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(545)</w:t>
            </w:r>
          </w:p>
        </w:tc>
        <w:tc>
          <w:tcPr>
            <w:tcW w:w="3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(707)</w:t>
            </w:r>
          </w:p>
        </w:tc>
        <w:tc>
          <w:tcPr>
            <w:tcW w:w="1080" w:type="dxa"/>
            <w:vAlign w:val="bottom"/>
            <w:tcBorders>
              <w:top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$(1,612)</w:t>
            </w:r>
          </w:p>
        </w:tc>
        <w:tc>
          <w:tcPr>
            <w:tcW w:w="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$(1,828)</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54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700" w:type="dxa"/>
            <w:vAlign w:val="bottom"/>
          </w:tcPr>
          <w:p>
            <w:pPr>
              <w:jc w:val="right"/>
              <w:ind w:right="196"/>
              <w:spacing w:after="0"/>
              <w:rPr>
                <w:sz w:val="20"/>
                <w:szCs w:val="20"/>
                <w:color w:val="auto"/>
              </w:rPr>
            </w:pPr>
            <w:r>
              <w:rPr>
                <w:rFonts w:ascii="Arial" w:cs="Arial" w:eastAsia="Arial" w:hAnsi="Arial"/>
                <w:sz w:val="18"/>
                <w:szCs w:val="18"/>
                <w:color w:val="auto"/>
              </w:rPr>
              <w:t>148</w:t>
            </w:r>
          </w:p>
        </w:tc>
        <w:tc>
          <w:tcPr>
            <w:tcW w:w="1080" w:type="dxa"/>
            <w:vAlign w:val="bottom"/>
          </w:tcPr>
          <w:p>
            <w:pPr>
              <w:jc w:val="right"/>
              <w:ind w:right="200"/>
              <w:spacing w:after="0"/>
              <w:rPr>
                <w:sz w:val="20"/>
                <w:szCs w:val="20"/>
                <w:color w:val="auto"/>
              </w:rPr>
            </w:pPr>
            <w:r>
              <w:rPr>
                <w:rFonts w:ascii="Arial" w:cs="Arial" w:eastAsia="Arial" w:hAnsi="Arial"/>
                <w:sz w:val="18"/>
                <w:szCs w:val="18"/>
                <w:color w:val="auto"/>
              </w:rPr>
              <w:t>210</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71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(losses) income of affiliates, net</w:t>
            </w:r>
          </w:p>
        </w:tc>
        <w:tc>
          <w:tcPr>
            <w:tcW w:w="5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(17)</w:t>
            </w:r>
          </w:p>
        </w:tc>
        <w:tc>
          <w:tcPr>
            <w:tcW w:w="1080" w:type="dxa"/>
            <w:vAlign w:val="bottom"/>
            <w:shd w:val="clear" w:color="auto" w:fill="E5E5E5"/>
          </w:tcPr>
          <w:p>
            <w:pPr>
              <w:jc w:val="right"/>
              <w:ind w:right="140"/>
              <w:spacing w:after="0"/>
              <w:rPr>
                <w:sz w:val="20"/>
                <w:szCs w:val="20"/>
                <w:color w:val="auto"/>
              </w:rPr>
            </w:pPr>
            <w:r>
              <w:rPr>
                <w:rFonts w:ascii="Arial" w:cs="Arial" w:eastAsia="Arial" w:hAnsi="Arial"/>
                <w:sz w:val="18"/>
                <w:szCs w:val="18"/>
                <w:color w:val="auto"/>
              </w:rPr>
              <w:t>(98)</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2</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(69)</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w:t>
            </w:r>
          </w:p>
        </w:tc>
      </w:tr>
      <w:tr>
        <w:trPr>
          <w:trHeight w:val="217"/>
        </w:trPr>
        <w:tc>
          <w:tcPr>
            <w:tcW w:w="20" w:type="dxa"/>
            <w:vAlign w:val="bottom"/>
          </w:tcPr>
          <w:p>
            <w:pPr>
              <w:spacing w:after="0"/>
              <w:rPr>
                <w:sz w:val="18"/>
                <w:szCs w:val="18"/>
                <w:color w:val="auto"/>
              </w:rPr>
            </w:pPr>
          </w:p>
        </w:tc>
        <w:tc>
          <w:tcPr>
            <w:tcW w:w="7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(500)</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(574)</w:t>
            </w:r>
          </w:p>
        </w:tc>
        <w:tc>
          <w:tcPr>
            <w:tcW w:w="1080" w:type="dxa"/>
            <w:vAlign w:val="bottom"/>
            <w:tcBorders>
              <w:bottom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$(1,569)</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$(1,641)</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decreases in interest expense for the three and nine months ended September 30, 2010 compared to the same periods in 2009 were primarily due to the effects of early extinguishment costs associated with the repayment and redemption of our debt obligations in connection with the cash tender offer in July 2009. We recognized approximately $180 million of interest expense primarily associated with the premium incurred in a cash tender offer during the three months ended September 30, 2009.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nine months ended September 30, 2010 and 2009 are presented in a table in Note 5 to our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NBC Universal transaction, we agreed to share with GE certain financing and other costs associated with NBC Universal’s debt facilities entered into at the December 2009 agreement date and with the sale of NBC Universal’s senior notes in 2010. Other income (expense) for the three and nine months ended September 30, 2010 includes expenses for our share of these costs of $43 million and $91 million,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for the three and nine months ended September 30, 2010 and 2009 reflects an effective income tax rate that differs from the federal statutory rate primarily due to state income taxes and interest on uncertain tax positions. Income tax expense for the three and nine months ended September 30, 2009 was reduced by approximately $251 million and $436 million, respectively, primarily due to the recognition of tax benefits associated with uncertain tax positions and related interest and certain corporate reorganizations, which primarily affected our deferred income tax liabilities and other noncurrent liabilities. We expect our 2010 annual effective tax rate to be approximately 40%.</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anticipate that we will continue to use a substantial portion of our cash flows to fund our capital expenditures, to invest in business opportunities, to meet our debt repayment obligations and to return capital to shareholders.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34"/>
              <w:spacing w:after="0"/>
              <w:rPr>
                <w:sz w:val="20"/>
                <w:szCs w:val="20"/>
                <w:color w:val="auto"/>
              </w:rPr>
            </w:pPr>
            <w:r>
              <w:rPr>
                <w:rFonts w:ascii="Arial" w:cs="Arial" w:eastAsia="Arial" w:hAnsi="Arial"/>
                <w:sz w:val="14"/>
                <w:szCs w:val="14"/>
                <w:color w:val="auto"/>
              </w:rPr>
              <w:t>Nine Months Ended</w:t>
            </w:r>
          </w:p>
        </w:tc>
      </w:tr>
      <w:tr>
        <w:trPr>
          <w:trHeight w:val="172"/>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color w:val="auto"/>
              </w:rPr>
              <w:t>September 30</w:t>
            </w:r>
          </w:p>
        </w:tc>
      </w:tr>
      <w:tr>
        <w:trPr>
          <w:trHeight w:val="143"/>
        </w:trPr>
        <w:tc>
          <w:tcPr>
            <w:tcW w:w="9180" w:type="dxa"/>
            <w:vAlign w:val="bottom"/>
            <w:gridSpan w:val="2"/>
          </w:tcPr>
          <w:p>
            <w:pPr>
              <w:spacing w:after="0" w:line="143" w:lineRule="exact"/>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2"/>
                <w:szCs w:val="12"/>
                <w:color w:val="auto"/>
              </w:rPr>
            </w:pPr>
          </w:p>
        </w:tc>
        <w:tc>
          <w:tcPr>
            <w:tcW w:w="800" w:type="dxa"/>
            <w:vAlign w:val="bottom"/>
          </w:tcPr>
          <w:p>
            <w:pPr>
              <w:jc w:val="right"/>
              <w:ind w:right="377"/>
              <w:spacing w:after="0" w:line="143" w:lineRule="exact"/>
              <w:rPr>
                <w:sz w:val="20"/>
                <w:szCs w:val="20"/>
                <w:color w:val="auto"/>
              </w:rPr>
            </w:pPr>
            <w:r>
              <w:rPr>
                <w:rFonts w:ascii="Arial" w:cs="Arial" w:eastAsia="Arial" w:hAnsi="Arial"/>
                <w:sz w:val="14"/>
                <w:szCs w:val="14"/>
                <w:color w:val="auto"/>
              </w:rPr>
              <w:t>2010</w:t>
            </w:r>
          </w:p>
        </w:tc>
        <w:tc>
          <w:tcPr>
            <w:tcW w:w="320" w:type="dxa"/>
            <w:vAlign w:val="bottom"/>
          </w:tcPr>
          <w:p>
            <w:pPr>
              <w:spacing w:after="0"/>
              <w:rPr>
                <w:sz w:val="12"/>
                <w:szCs w:val="12"/>
                <w:color w:val="auto"/>
              </w:rPr>
            </w:pPr>
          </w:p>
        </w:tc>
        <w:tc>
          <w:tcPr>
            <w:tcW w:w="600" w:type="dxa"/>
            <w:vAlign w:val="bottom"/>
          </w:tcPr>
          <w:p>
            <w:pPr>
              <w:jc w:val="right"/>
              <w:ind w:right="174"/>
              <w:spacing w:after="0" w:line="143" w:lineRule="exact"/>
              <w:rPr>
                <w:sz w:val="20"/>
                <w:szCs w:val="20"/>
                <w:color w:val="auto"/>
              </w:rPr>
            </w:pPr>
            <w:r>
              <w:rPr>
                <w:rFonts w:ascii="Arial" w:cs="Arial" w:eastAsia="Arial" w:hAnsi="Arial"/>
                <w:sz w:val="14"/>
                <w:szCs w:val="14"/>
                <w:color w:val="auto"/>
              </w:rPr>
              <w:t>2009</w:t>
            </w:r>
          </w:p>
        </w:tc>
      </w:tr>
      <w:tr>
        <w:trPr>
          <w:trHeight w:val="210"/>
        </w:trPr>
        <w:tc>
          <w:tcPr>
            <w:tcW w:w="20" w:type="dxa"/>
            <w:vAlign w:val="bottom"/>
          </w:tcPr>
          <w:p>
            <w:pPr>
              <w:spacing w:after="0"/>
              <w:rPr>
                <w:sz w:val="18"/>
                <w:szCs w:val="18"/>
                <w:color w:val="auto"/>
              </w:rPr>
            </w:pPr>
          </w:p>
        </w:tc>
        <w:tc>
          <w:tcPr>
            <w:tcW w:w="91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5,967</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5,397</w:t>
            </w:r>
          </w:p>
        </w:tc>
      </w:tr>
      <w:tr>
        <w:trPr>
          <w:trHeight w:val="216"/>
        </w:trPr>
        <w:tc>
          <w:tcPr>
            <w:tcW w:w="20" w:type="dxa"/>
            <w:vAlign w:val="bottom"/>
          </w:tcPr>
          <w:p>
            <w:pPr>
              <w:spacing w:after="0"/>
              <w:rPr>
                <w:sz w:val="18"/>
                <w:szCs w:val="18"/>
                <w:color w:val="auto"/>
              </w:rPr>
            </w:pPr>
          </w:p>
        </w:tc>
        <w:tc>
          <w:tcPr>
            <w:tcW w:w="9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4,913</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4,908</w:t>
            </w:r>
          </w:p>
        </w:tc>
      </w:tr>
      <w:tr>
        <w:trPr>
          <w:trHeight w:val="210"/>
        </w:trPr>
        <w:tc>
          <w:tcPr>
            <w:tcW w:w="20" w:type="dxa"/>
            <w:vAlign w:val="bottom"/>
          </w:tcPr>
          <w:p>
            <w:pPr>
              <w:spacing w:after="0"/>
              <w:rPr>
                <w:sz w:val="18"/>
                <w:szCs w:val="18"/>
                <w:color w:val="auto"/>
              </w:rPr>
            </w:pPr>
          </w:p>
        </w:tc>
        <w:tc>
          <w:tcPr>
            <w:tcW w:w="91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w w:val="87"/>
              </w:rPr>
              <w:t>10,880</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7"/>
              </w:rPr>
              <w:t>10,305</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Noncash share-based compensation expense</w:t>
            </w:r>
          </w:p>
        </w:tc>
        <w:tc>
          <w:tcPr>
            <w:tcW w:w="520" w:type="dxa"/>
            <w:vAlign w:val="bottom"/>
          </w:tcPr>
          <w:p>
            <w:pPr>
              <w:spacing w:after="0"/>
              <w:rPr>
                <w:sz w:val="18"/>
                <w:szCs w:val="18"/>
                <w:color w:val="auto"/>
              </w:rPr>
            </w:pPr>
          </w:p>
        </w:tc>
        <w:tc>
          <w:tcPr>
            <w:tcW w:w="800" w:type="dxa"/>
            <w:vAlign w:val="bottom"/>
          </w:tcPr>
          <w:p>
            <w:pPr>
              <w:jc w:val="right"/>
              <w:ind w:right="217"/>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9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(239)</w:t>
            </w:r>
          </w:p>
        </w:tc>
      </w:tr>
      <w:tr>
        <w:trPr>
          <w:trHeight w:val="210"/>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Cash basis operating income</w:t>
            </w:r>
          </w:p>
        </w:tc>
        <w:tc>
          <w:tcPr>
            <w:tcW w:w="520" w:type="dxa"/>
            <w:vAlign w:val="bottom"/>
          </w:tcPr>
          <w:p>
            <w:pPr>
              <w:spacing w:after="0"/>
              <w:rPr>
                <w:sz w:val="18"/>
                <w:szCs w:val="18"/>
                <w:color w:val="auto"/>
              </w:rPr>
            </w:pPr>
          </w:p>
        </w:tc>
        <w:tc>
          <w:tcPr>
            <w:tcW w:w="800" w:type="dxa"/>
            <w:vAlign w:val="bottom"/>
          </w:tcPr>
          <w:p>
            <w:pPr>
              <w:jc w:val="right"/>
              <w:ind w:right="217"/>
              <w:spacing w:after="0"/>
              <w:rPr>
                <w:sz w:val="20"/>
                <w:szCs w:val="20"/>
                <w:color w:val="auto"/>
              </w:rPr>
            </w:pPr>
            <w:r>
              <w:rPr>
                <w:rFonts w:ascii="Arial" w:cs="Arial" w:eastAsia="Arial" w:hAnsi="Arial"/>
                <w:sz w:val="18"/>
                <w:szCs w:val="18"/>
                <w:color w:val="auto"/>
                <w:w w:val="87"/>
              </w:rPr>
              <w:t>11,096</w:t>
            </w:r>
          </w:p>
        </w:tc>
        <w:tc>
          <w:tcPr>
            <w:tcW w:w="3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10,258</w:t>
            </w:r>
          </w:p>
        </w:tc>
      </w:tr>
      <w:tr>
        <w:trPr>
          <w:trHeight w:val="216"/>
        </w:trPr>
        <w:tc>
          <w:tcPr>
            <w:tcW w:w="20" w:type="dxa"/>
            <w:vAlign w:val="bottom"/>
          </w:tcPr>
          <w:p>
            <w:pPr>
              <w:spacing w:after="0"/>
              <w:rPr>
                <w:sz w:val="18"/>
                <w:szCs w:val="18"/>
                <w:color w:val="auto"/>
              </w:rPr>
            </w:pPr>
          </w:p>
        </w:tc>
        <w:tc>
          <w:tcPr>
            <w:tcW w:w="916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91"/>
              </w:rPr>
              <w:t>(1,630)</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(1,678)</w:t>
            </w: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520" w:type="dxa"/>
            <w:vAlign w:val="bottom"/>
          </w:tcPr>
          <w:p>
            <w:pPr>
              <w:spacing w:after="0"/>
              <w:rPr>
                <w:sz w:val="18"/>
                <w:szCs w:val="18"/>
                <w:color w:val="auto"/>
              </w:rPr>
            </w:pPr>
          </w:p>
        </w:tc>
        <w:tc>
          <w:tcPr>
            <w:tcW w:w="800" w:type="dxa"/>
            <w:vAlign w:val="bottom"/>
          </w:tcPr>
          <w:p>
            <w:pPr>
              <w:jc w:val="right"/>
              <w:ind w:right="177"/>
              <w:spacing w:after="0"/>
              <w:rPr>
                <w:sz w:val="20"/>
                <w:szCs w:val="20"/>
                <w:color w:val="auto"/>
              </w:rPr>
            </w:pPr>
            <w:r>
              <w:rPr>
                <w:rFonts w:ascii="Arial" w:cs="Arial" w:eastAsia="Arial" w:hAnsi="Arial"/>
                <w:sz w:val="18"/>
                <w:szCs w:val="18"/>
                <w:color w:val="auto"/>
                <w:w w:val="91"/>
              </w:rPr>
              <w:t>(1,794)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16"/>
        </w:trPr>
        <w:tc>
          <w:tcPr>
            <w:tcW w:w="20" w:type="dxa"/>
            <w:vAlign w:val="bottom"/>
          </w:tcPr>
          <w:p>
            <w:pPr>
              <w:spacing w:after="0"/>
              <w:rPr>
                <w:sz w:val="18"/>
                <w:szCs w:val="18"/>
                <w:color w:val="auto"/>
              </w:rPr>
            </w:pPr>
          </w:p>
        </w:tc>
        <w:tc>
          <w:tcPr>
            <w:tcW w:w="9160" w:type="dxa"/>
            <w:vAlign w:val="bottom"/>
            <w:shd w:val="clear" w:color="auto" w:fill="E5E5E5"/>
          </w:tcPr>
          <w:p>
            <w:pPr>
              <w:spacing w:after="0"/>
              <w:rPr>
                <w:sz w:val="20"/>
                <w:szCs w:val="20"/>
                <w:color w:val="auto"/>
              </w:rPr>
            </w:pPr>
            <w:r>
              <w:rPr>
                <w:rFonts w:ascii="Arial" w:cs="Arial" w:eastAsia="Arial" w:hAnsi="Arial"/>
                <w:sz w:val="18"/>
                <w:szCs w:val="18"/>
                <w:color w:val="auto"/>
              </w:rPr>
              <w:t>Proceeds from interest, dividends and other nonoperating items</w:t>
            </w:r>
          </w:p>
        </w:tc>
        <w:tc>
          <w:tcPr>
            <w:tcW w:w="5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63</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9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 under share-based compensation presented in financing activities</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91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b w:val="1"/>
                <w:bCs w:val="1"/>
                <w:color w:val="auto"/>
              </w:rPr>
              <w:t>7,732</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7,725</w:t>
            </w: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interest payments during the nine months ended September 30, 2010 compared to the same period in 2009 was primarily due to the effects of our debt repayments and decreases in interest rates on debt subject to variable interest rate swap agreements.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income tax payments during the nine months ended September 30, 2010 compared to the same period in 2009 was primarily due to an increase in taxable income and the reversal of the benefits from the 2008 and 2009 economic stimulus 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2010 consisted primarily of capital expenditures of $3.4 billion, cash paid for intangible assets of $372 million and acquisitions of $183 million. Capital expenditures have been our most significant recurring investing activity and we expect that this will continue in the future.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2010 consisted primarily of proceeds from borrowings of $2.4 billion, partially offset by debt repurchases and repayments of $649 million, repurchases of our Class A Special common stock of $892 million and dividend payments of $800 million.</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traditionally maintain significant availability under our lines of credit and our commercial paper program to meet our short-term liquidity requirements. As of September 30, 2010, amounts available under all of our credit facilities totaled approximately $6.4 billion.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nine months ended September 30, 2010, we repurchased 54 million shares of our Class A Special common stock under our share repurchase authorization for $900 million. Approximately $7.5 million of our share repurchases, or 438,000 shares, did not settle until October 2010. As of September 30, 2010, we had $2.4 billion of availability remaining under our share repurchase authorization. We intend to complete repurchases under the current share repurchase authorization by the end of 2012, subject to market conditions.</w:t>
      </w:r>
    </w:p>
    <w:p>
      <w:pPr>
        <w:spacing w:after="0" w:line="4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February, May, July and October 2010, our Board of Directors approved a quarterly dividend of $0.0945 per share as part of our planned annual dividend of $0.378 per share. We expect to continue to pay quarterly dividends, although each dividend is subject to approval by our Board of Directors.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940" w:type="dxa"/>
            <w:vAlign w:val="bottom"/>
            <w:gridSpan w:val="2"/>
          </w:tcPr>
          <w:p>
            <w:pPr>
              <w:ind w:left="3120"/>
              <w:spacing w:after="0"/>
              <w:rPr>
                <w:sz w:val="20"/>
                <w:szCs w:val="20"/>
                <w:color w:val="auto"/>
              </w:rPr>
            </w:pPr>
            <w:r>
              <w:rPr>
                <w:rFonts w:ascii="Arial" w:cs="Arial" w:eastAsia="Arial" w:hAnsi="Arial"/>
                <w:sz w:val="14"/>
                <w:szCs w:val="14"/>
                <w:color w:val="auto"/>
              </w:rPr>
              <w:t>Amount</w:t>
            </w:r>
          </w:p>
        </w:tc>
        <w:tc>
          <w:tcPr>
            <w:tcW w:w="1480" w:type="dxa"/>
            <w:vAlign w:val="bottom"/>
          </w:tcPr>
          <w:p>
            <w:pPr>
              <w:jc w:val="right"/>
              <w:ind w:right="17"/>
              <w:spacing w:after="0"/>
              <w:rPr>
                <w:sz w:val="20"/>
                <w:szCs w:val="20"/>
                <w:color w:val="auto"/>
              </w:rPr>
            </w:pPr>
            <w:r>
              <w:rPr>
                <w:rFonts w:ascii="Arial" w:cs="Arial" w:eastAsia="Arial" w:hAnsi="Arial"/>
                <w:sz w:val="14"/>
                <w:szCs w:val="14"/>
                <w:color w:val="auto"/>
              </w:rPr>
              <w:t>Month of Payment</w:t>
            </w: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March 31, 2010</w:t>
            </w:r>
          </w:p>
        </w:tc>
        <w:tc>
          <w:tcPr>
            <w:tcW w:w="3260" w:type="dxa"/>
            <w:vAlign w:val="bottom"/>
            <w:tcBorders>
              <w:top w:val="single" w:sz="8" w:color="auto"/>
            </w:tcBorders>
            <w:shd w:val="clear" w:color="auto" w:fill="E5E5E5"/>
          </w:tcPr>
          <w:p>
            <w:pPr>
              <w:ind w:left="31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292"/>
              <w:spacing w:after="0"/>
              <w:rPr>
                <w:sz w:val="20"/>
                <w:szCs w:val="20"/>
                <w:color w:val="auto"/>
              </w:rPr>
            </w:pPr>
            <w:r>
              <w:rPr>
                <w:rFonts w:ascii="Arial" w:cs="Arial" w:eastAsia="Arial" w:hAnsi="Arial"/>
                <w:sz w:val="18"/>
                <w:szCs w:val="18"/>
                <w:color w:val="auto"/>
                <w:w w:val="93"/>
              </w:rPr>
              <w:t>267</w:t>
            </w:r>
          </w:p>
        </w:tc>
        <w:tc>
          <w:tcPr>
            <w:tcW w:w="148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April</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Three months ended June 30, 2010</w:t>
            </w:r>
          </w:p>
        </w:tc>
        <w:tc>
          <w:tcPr>
            <w:tcW w:w="3260" w:type="dxa"/>
            <w:vAlign w:val="bottom"/>
          </w:tcPr>
          <w:p>
            <w:pPr>
              <w:ind w:left="3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92"/>
              <w:spacing w:after="0"/>
              <w:rPr>
                <w:sz w:val="20"/>
                <w:szCs w:val="20"/>
                <w:color w:val="auto"/>
              </w:rPr>
            </w:pPr>
            <w:r>
              <w:rPr>
                <w:rFonts w:ascii="Arial" w:cs="Arial" w:eastAsia="Arial" w:hAnsi="Arial"/>
                <w:sz w:val="18"/>
                <w:szCs w:val="18"/>
                <w:color w:val="auto"/>
                <w:w w:val="93"/>
              </w:rPr>
              <w:t>265</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July</w:t>
            </w:r>
          </w:p>
        </w:tc>
      </w:tr>
      <w:tr>
        <w:trPr>
          <w:trHeight w:val="216"/>
        </w:trPr>
        <w:tc>
          <w:tcPr>
            <w:tcW w:w="20" w:type="dxa"/>
            <w:vAlign w:val="bottom"/>
          </w:tcPr>
          <w:p>
            <w:pPr>
              <w:spacing w:after="0"/>
              <w:rPr>
                <w:sz w:val="18"/>
                <w:szCs w:val="18"/>
                <w:color w:val="auto"/>
              </w:rPr>
            </w:pPr>
          </w:p>
        </w:tc>
        <w:tc>
          <w:tcPr>
            <w:tcW w:w="5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September 30, 2010</w:t>
            </w:r>
          </w:p>
        </w:tc>
        <w:tc>
          <w:tcPr>
            <w:tcW w:w="3260" w:type="dxa"/>
            <w:vAlign w:val="bottom"/>
            <w:tcBorders>
              <w:bottom w:val="single" w:sz="8" w:color="auto"/>
            </w:tcBorders>
            <w:shd w:val="clear" w:color="auto" w:fill="E5E5E5"/>
          </w:tcPr>
          <w:p>
            <w:pPr>
              <w:ind w:left="3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292"/>
              <w:spacing w:after="0"/>
              <w:rPr>
                <w:sz w:val="20"/>
                <w:szCs w:val="20"/>
                <w:color w:val="auto"/>
              </w:rPr>
            </w:pPr>
            <w:r>
              <w:rPr>
                <w:rFonts w:ascii="Arial" w:cs="Arial" w:eastAsia="Arial" w:hAnsi="Arial"/>
                <w:sz w:val="18"/>
                <w:szCs w:val="18"/>
                <w:color w:val="auto"/>
                <w:w w:val="93"/>
              </w:rPr>
              <w:t>264</w:t>
            </w:r>
          </w:p>
        </w:tc>
        <w:tc>
          <w:tcPr>
            <w:tcW w:w="14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October</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October 2010 are expected to be paid in January 2011.</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the accounting for income taxes are critical in the preparation of our condensed consolidated financial statements. We performed our annual impairment testing as of July 1, 2010 and no impairment charge was recorded.</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of the accounting judgments and estimates that we have identified as critical in the preparation of our consolidated financial statements, please refer to our 2009 Annual Report on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2009 Annual Report on Form 10-K and believe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Refer to Note 12 to our condensed consolidated financial statements of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2009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repurchases under our existing share repurchase authorization during the three months ended September 30, 2010.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89"/>
              </w:rPr>
              <w:t>Total Number of</w:t>
            </w:r>
          </w:p>
        </w:tc>
        <w:tc>
          <w:tcPr>
            <w:tcW w:w="320" w:type="dxa"/>
            <w:vAlign w:val="bottom"/>
          </w:tcPr>
          <w:p>
            <w:pPr>
              <w:spacing w:after="0"/>
              <w:rPr>
                <w:sz w:val="14"/>
                <w:szCs w:val="14"/>
                <w:color w:val="auto"/>
              </w:rPr>
            </w:pPr>
          </w:p>
        </w:tc>
        <w:tc>
          <w:tcPr>
            <w:tcW w:w="1120" w:type="dxa"/>
            <w:vAlign w:val="bottom"/>
          </w:tcPr>
          <w:p>
            <w:pPr>
              <w:jc w:val="center"/>
              <w:ind w:right="223"/>
              <w:spacing w:after="0"/>
              <w:rPr>
                <w:sz w:val="20"/>
                <w:szCs w:val="20"/>
                <w:color w:val="auto"/>
              </w:rPr>
            </w:pPr>
            <w:r>
              <w:rPr>
                <w:rFonts w:ascii="Arial" w:cs="Arial" w:eastAsia="Arial" w:hAnsi="Arial"/>
                <w:sz w:val="14"/>
                <w:szCs w:val="14"/>
                <w:color w:val="auto"/>
                <w:w w:val="92"/>
              </w:rPr>
              <w:t>Total Dollar</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520" w:type="dxa"/>
            <w:vAlign w:val="bottom"/>
          </w:tcPr>
          <w:p>
            <w:pPr>
              <w:jc w:val="center"/>
              <w:ind w:left="1162"/>
              <w:spacing w:after="0" w:line="149" w:lineRule="exact"/>
              <w:rPr>
                <w:sz w:val="20"/>
                <w:szCs w:val="20"/>
                <w:color w:val="auto"/>
              </w:rPr>
            </w:pPr>
            <w:r>
              <w:rPr>
                <w:rFonts w:ascii="Arial" w:cs="Arial" w:eastAsia="Arial" w:hAnsi="Arial"/>
                <w:sz w:val="14"/>
                <w:szCs w:val="14"/>
                <w:color w:val="auto"/>
                <w:w w:val="89"/>
              </w:rPr>
              <w:t>Total</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 Purchased as</w:t>
            </w:r>
          </w:p>
        </w:tc>
        <w:tc>
          <w:tcPr>
            <w:tcW w:w="320" w:type="dxa"/>
            <w:vAlign w:val="bottom"/>
          </w:tcPr>
          <w:p>
            <w:pPr>
              <w:spacing w:after="0"/>
              <w:rPr>
                <w:sz w:val="12"/>
                <w:szCs w:val="12"/>
                <w:color w:val="auto"/>
              </w:rPr>
            </w:pPr>
          </w:p>
        </w:tc>
        <w:tc>
          <w:tcPr>
            <w:tcW w:w="112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91"/>
              </w:rPr>
              <w:t>Amount</w:t>
            </w:r>
          </w:p>
        </w:tc>
        <w:tc>
          <w:tcPr>
            <w:tcW w:w="1600" w:type="dxa"/>
            <w:vAlign w:val="bottom"/>
            <w:gridSpan w:val="3"/>
          </w:tcPr>
          <w:p>
            <w:pPr>
              <w:jc w:val="center"/>
              <w:ind w:left="119"/>
              <w:spacing w:after="0" w:line="149" w:lineRule="exact"/>
              <w:rPr>
                <w:sz w:val="20"/>
                <w:szCs w:val="20"/>
                <w:color w:val="auto"/>
              </w:rPr>
            </w:pPr>
            <w:r>
              <w:rPr>
                <w:rFonts w:ascii="Arial" w:cs="Arial" w:eastAsia="Arial" w:hAnsi="Arial"/>
                <w:sz w:val="14"/>
                <w:szCs w:val="14"/>
                <w:color w:val="auto"/>
                <w:w w:val="90"/>
              </w:rPr>
              <w:t>Maximum Dollar Value</w:t>
            </w: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520" w:type="dxa"/>
            <w:vAlign w:val="bottom"/>
          </w:tcPr>
          <w:p>
            <w:pPr>
              <w:jc w:val="center"/>
              <w:ind w:left="1162"/>
              <w:spacing w:after="0" w:line="149" w:lineRule="exact"/>
              <w:rPr>
                <w:sz w:val="20"/>
                <w:szCs w:val="20"/>
                <w:color w:val="auto"/>
              </w:rPr>
            </w:pPr>
            <w:r>
              <w:rPr>
                <w:rFonts w:ascii="Arial" w:cs="Arial" w:eastAsia="Arial" w:hAnsi="Arial"/>
                <w:sz w:val="14"/>
                <w:szCs w:val="14"/>
                <w:color w:val="auto"/>
                <w:w w:val="88"/>
              </w:rPr>
              <w:t>Number</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2"/>
              </w:rPr>
              <w:t>Part of Publicly</w:t>
            </w:r>
          </w:p>
        </w:tc>
        <w:tc>
          <w:tcPr>
            <w:tcW w:w="320" w:type="dxa"/>
            <w:vAlign w:val="bottom"/>
          </w:tcPr>
          <w:p>
            <w:pPr>
              <w:spacing w:after="0"/>
              <w:rPr>
                <w:sz w:val="12"/>
                <w:szCs w:val="12"/>
                <w:color w:val="auto"/>
              </w:rPr>
            </w:pPr>
          </w:p>
        </w:tc>
        <w:tc>
          <w:tcPr>
            <w:tcW w:w="112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83"/>
              </w:rPr>
              <w:t>Purchased</w:t>
            </w:r>
          </w:p>
        </w:tc>
        <w:tc>
          <w:tcPr>
            <w:tcW w:w="1600" w:type="dxa"/>
            <w:vAlign w:val="bottom"/>
            <w:gridSpan w:val="3"/>
          </w:tcPr>
          <w:p>
            <w:pPr>
              <w:jc w:val="center"/>
              <w:ind w:left="119"/>
              <w:spacing w:after="0" w:line="149" w:lineRule="exact"/>
              <w:rPr>
                <w:sz w:val="20"/>
                <w:szCs w:val="20"/>
                <w:color w:val="auto"/>
              </w:rPr>
            </w:pPr>
            <w:r>
              <w:rPr>
                <w:rFonts w:ascii="Arial" w:cs="Arial" w:eastAsia="Arial" w:hAnsi="Arial"/>
                <w:sz w:val="14"/>
                <w:szCs w:val="14"/>
                <w:color w:val="auto"/>
                <w:w w:val="87"/>
              </w:rPr>
              <w:t>of Shares That May Yet</w:t>
            </w: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520" w:type="dxa"/>
            <w:vAlign w:val="bottom"/>
          </w:tcPr>
          <w:p>
            <w:pPr>
              <w:jc w:val="center"/>
              <w:ind w:left="1182"/>
              <w:spacing w:after="0" w:line="149" w:lineRule="exact"/>
              <w:rPr>
                <w:sz w:val="20"/>
                <w:szCs w:val="20"/>
                <w:color w:val="auto"/>
              </w:rPr>
            </w:pPr>
            <w:r>
              <w:rPr>
                <w:rFonts w:ascii="Arial" w:cs="Arial" w:eastAsia="Arial" w:hAnsi="Arial"/>
                <w:sz w:val="14"/>
                <w:szCs w:val="14"/>
                <w:color w:val="auto"/>
                <w:w w:val="83"/>
              </w:rPr>
              <w:t>of Shares</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Average Price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87"/>
              </w:rPr>
              <w:t>Announced</w:t>
            </w:r>
          </w:p>
        </w:tc>
        <w:tc>
          <w:tcPr>
            <w:tcW w:w="320" w:type="dxa"/>
            <w:vAlign w:val="bottom"/>
          </w:tcPr>
          <w:p>
            <w:pPr>
              <w:spacing w:after="0"/>
              <w:rPr>
                <w:sz w:val="12"/>
                <w:szCs w:val="12"/>
                <w:color w:val="auto"/>
              </w:rPr>
            </w:pPr>
          </w:p>
        </w:tc>
        <w:tc>
          <w:tcPr>
            <w:tcW w:w="1120" w:type="dxa"/>
            <w:vAlign w:val="bottom"/>
          </w:tcPr>
          <w:p>
            <w:pPr>
              <w:jc w:val="center"/>
              <w:ind w:right="223"/>
              <w:spacing w:after="0" w:line="149" w:lineRule="exact"/>
              <w:rPr>
                <w:sz w:val="20"/>
                <w:szCs w:val="20"/>
                <w:color w:val="auto"/>
              </w:rPr>
            </w:pPr>
            <w:r>
              <w:rPr>
                <w:rFonts w:ascii="Arial" w:cs="Arial" w:eastAsia="Arial" w:hAnsi="Arial"/>
                <w:sz w:val="14"/>
                <w:szCs w:val="14"/>
                <w:color w:val="auto"/>
                <w:w w:val="87"/>
              </w:rPr>
              <w:t>Under the</w:t>
            </w:r>
          </w:p>
        </w:tc>
        <w:tc>
          <w:tcPr>
            <w:tcW w:w="34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6"/>
              </w:rPr>
              <w:t>Be Purchased Under</w:t>
            </w:r>
          </w:p>
        </w:tc>
      </w:tr>
      <w:tr>
        <w:trPr>
          <w:trHeight w:val="159"/>
        </w:trPr>
        <w:tc>
          <w:tcPr>
            <w:tcW w:w="3080" w:type="dxa"/>
            <w:vAlign w:val="bottom"/>
            <w:gridSpan w:val="2"/>
          </w:tcPr>
          <w:p>
            <w:pPr>
              <w:spacing w:after="0" w:line="159" w:lineRule="exact"/>
              <w:rPr>
                <w:sz w:val="20"/>
                <w:szCs w:val="20"/>
                <w:color w:val="auto"/>
              </w:rPr>
            </w:pPr>
            <w:r>
              <w:rPr>
                <w:rFonts w:ascii="Arial" w:cs="Arial" w:eastAsia="Arial" w:hAnsi="Arial"/>
                <w:sz w:val="14"/>
                <w:szCs w:val="14"/>
                <w:color w:val="auto"/>
              </w:rPr>
              <w:t>Period</w:t>
            </w:r>
          </w:p>
        </w:tc>
        <w:tc>
          <w:tcPr>
            <w:tcW w:w="2520" w:type="dxa"/>
            <w:vAlign w:val="bottom"/>
          </w:tcPr>
          <w:p>
            <w:pPr>
              <w:jc w:val="center"/>
              <w:ind w:left="1162"/>
              <w:spacing w:after="0" w:line="159" w:lineRule="exact"/>
              <w:rPr>
                <w:sz w:val="20"/>
                <w:szCs w:val="20"/>
                <w:color w:val="auto"/>
              </w:rPr>
            </w:pPr>
            <w:r>
              <w:rPr>
                <w:rFonts w:ascii="Arial" w:cs="Arial" w:eastAsia="Arial" w:hAnsi="Arial"/>
                <w:sz w:val="14"/>
                <w:szCs w:val="14"/>
                <w:color w:val="auto"/>
                <w:w w:val="83"/>
              </w:rPr>
              <w:t>Purchased</w:t>
            </w:r>
          </w:p>
        </w:tc>
        <w:tc>
          <w:tcPr>
            <w:tcW w:w="320" w:type="dxa"/>
            <w:vAlign w:val="bottom"/>
          </w:tcPr>
          <w:p>
            <w:pPr>
              <w:spacing w:after="0"/>
              <w:rPr>
                <w:sz w:val="13"/>
                <w:szCs w:val="13"/>
                <w:color w:val="auto"/>
              </w:rPr>
            </w:pPr>
          </w:p>
        </w:tc>
        <w:tc>
          <w:tcPr>
            <w:tcW w:w="920" w:type="dxa"/>
            <w:vAlign w:val="bottom"/>
          </w:tcPr>
          <w:p>
            <w:pPr>
              <w:jc w:val="right"/>
              <w:ind w:right="296"/>
              <w:spacing w:after="0" w:line="159" w:lineRule="exact"/>
              <w:rPr>
                <w:sz w:val="20"/>
                <w:szCs w:val="20"/>
                <w:color w:val="auto"/>
              </w:rPr>
            </w:pPr>
            <w:r>
              <w:rPr>
                <w:rFonts w:ascii="Arial" w:cs="Arial" w:eastAsia="Arial" w:hAnsi="Arial"/>
                <w:sz w:val="14"/>
                <w:szCs w:val="14"/>
                <w:color w:val="auto"/>
                <w:w w:val="82"/>
              </w:rPr>
              <w:t>Per Share</w:t>
            </w:r>
          </w:p>
        </w:tc>
        <w:tc>
          <w:tcPr>
            <w:tcW w:w="1560" w:type="dxa"/>
            <w:vAlign w:val="bottom"/>
          </w:tcPr>
          <w:p>
            <w:pPr>
              <w:jc w:val="center"/>
              <w:spacing w:after="0" w:line="159" w:lineRule="exact"/>
              <w:rPr>
                <w:sz w:val="20"/>
                <w:szCs w:val="20"/>
                <w:color w:val="auto"/>
              </w:rPr>
            </w:pPr>
            <w:r>
              <w:rPr>
                <w:rFonts w:ascii="Arial" w:cs="Arial" w:eastAsia="Arial" w:hAnsi="Arial"/>
                <w:sz w:val="14"/>
                <w:szCs w:val="14"/>
                <w:color w:val="auto"/>
                <w:w w:val="90"/>
              </w:rPr>
              <w:t>Authorization</w:t>
            </w:r>
          </w:p>
        </w:tc>
        <w:tc>
          <w:tcPr>
            <w:tcW w:w="320" w:type="dxa"/>
            <w:vAlign w:val="bottom"/>
          </w:tcPr>
          <w:p>
            <w:pPr>
              <w:spacing w:after="0"/>
              <w:rPr>
                <w:sz w:val="13"/>
                <w:szCs w:val="13"/>
                <w:color w:val="auto"/>
              </w:rPr>
            </w:pPr>
          </w:p>
        </w:tc>
        <w:tc>
          <w:tcPr>
            <w:tcW w:w="1120" w:type="dxa"/>
            <w:vAlign w:val="bottom"/>
          </w:tcPr>
          <w:p>
            <w:pPr>
              <w:jc w:val="center"/>
              <w:ind w:right="243"/>
              <w:spacing w:after="0" w:line="159" w:lineRule="exact"/>
              <w:rPr>
                <w:sz w:val="20"/>
                <w:szCs w:val="20"/>
                <w:color w:val="auto"/>
              </w:rPr>
            </w:pPr>
            <w:r>
              <w:rPr>
                <w:rFonts w:ascii="Arial" w:cs="Arial" w:eastAsia="Arial" w:hAnsi="Arial"/>
                <w:sz w:val="14"/>
                <w:szCs w:val="14"/>
                <w:color w:val="auto"/>
                <w:w w:val="92"/>
              </w:rPr>
              <w:t>Authorization</w:t>
            </w:r>
          </w:p>
        </w:tc>
        <w:tc>
          <w:tcPr>
            <w:tcW w:w="340" w:type="dxa"/>
            <w:vAlign w:val="bottom"/>
          </w:tcPr>
          <w:p>
            <w:pPr>
              <w:spacing w:after="0"/>
              <w:rPr>
                <w:sz w:val="13"/>
                <w:szCs w:val="13"/>
                <w:color w:val="auto"/>
              </w:rPr>
            </w:pPr>
          </w:p>
        </w:tc>
        <w:tc>
          <w:tcPr>
            <w:tcW w:w="126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90"/>
              </w:rPr>
              <w:t>the Authorization(a)</w:t>
            </w: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July 1-31, 2010</w:t>
            </w:r>
          </w:p>
        </w:tc>
        <w:tc>
          <w:tcPr>
            <w:tcW w:w="2520" w:type="dxa"/>
            <w:vAlign w:val="bottom"/>
            <w:tcBorders>
              <w:top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2,740,974,710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August 1-31, 2010</w:t>
            </w:r>
          </w:p>
        </w:tc>
        <w:tc>
          <w:tcPr>
            <w:tcW w:w="2520" w:type="dxa"/>
            <w:vAlign w:val="bottom"/>
          </w:tcPr>
          <w:p>
            <w:pPr>
              <w:jc w:val="right"/>
              <w:ind w:right="162"/>
              <w:spacing w:after="0"/>
              <w:rPr>
                <w:sz w:val="20"/>
                <w:szCs w:val="20"/>
                <w:color w:val="auto"/>
              </w:rPr>
            </w:pPr>
            <w:r>
              <w:rPr>
                <w:rFonts w:ascii="Arial" w:cs="Arial" w:eastAsia="Arial" w:hAnsi="Arial"/>
                <w:sz w:val="18"/>
                <w:szCs w:val="18"/>
                <w:color w:val="auto"/>
              </w:rPr>
              <w:t>9,955,565</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17.17</w:t>
            </w:r>
          </w:p>
        </w:tc>
        <w:tc>
          <w:tcPr>
            <w:tcW w:w="1560" w:type="dxa"/>
            <w:vAlign w:val="bottom"/>
          </w:tcPr>
          <w:p>
            <w:pPr>
              <w:jc w:val="right"/>
              <w:ind w:right="143"/>
              <w:spacing w:after="0"/>
              <w:rPr>
                <w:sz w:val="20"/>
                <w:szCs w:val="20"/>
                <w:color w:val="auto"/>
              </w:rPr>
            </w:pPr>
            <w:r>
              <w:rPr>
                <w:rFonts w:ascii="Arial" w:cs="Arial" w:eastAsia="Arial" w:hAnsi="Arial"/>
                <w:sz w:val="18"/>
                <w:szCs w:val="18"/>
                <w:color w:val="auto"/>
              </w:rPr>
              <w:t>9,955,565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3"/>
              <w:spacing w:after="0"/>
              <w:rPr>
                <w:sz w:val="20"/>
                <w:szCs w:val="20"/>
                <w:color w:val="auto"/>
              </w:rPr>
            </w:pPr>
            <w:r>
              <w:rPr>
                <w:rFonts w:ascii="Arial" w:cs="Arial" w:eastAsia="Arial" w:hAnsi="Arial"/>
                <w:sz w:val="18"/>
                <w:szCs w:val="18"/>
                <w:color w:val="auto"/>
                <w:w w:val="87"/>
              </w:rPr>
              <w:t>170,892,395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2,570,082,315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September 1-30, 2010</w:t>
            </w:r>
          </w:p>
        </w:tc>
        <w:tc>
          <w:tcPr>
            <w:tcW w:w="2520" w:type="dxa"/>
            <w:vAlign w:val="bottom"/>
            <w:tcBorders>
              <w:bottom w:val="single" w:sz="8" w:color="auto"/>
            </w:tcBorders>
            <w:shd w:val="clear" w:color="auto" w:fill="E5E5E5"/>
          </w:tcPr>
          <w:p>
            <w:pPr>
              <w:jc w:val="right"/>
              <w:ind w:right="162"/>
              <w:spacing w:after="0"/>
              <w:rPr>
                <w:sz w:val="20"/>
                <w:szCs w:val="20"/>
                <w:color w:val="auto"/>
              </w:rPr>
            </w:pPr>
            <w:r>
              <w:rPr>
                <w:rFonts w:ascii="Arial" w:cs="Arial" w:eastAsia="Arial" w:hAnsi="Arial"/>
                <w:sz w:val="18"/>
                <w:szCs w:val="18"/>
                <w:color w:val="auto"/>
              </w:rPr>
              <w:t>7,588,000</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17.02</w:t>
            </w:r>
          </w:p>
        </w:tc>
        <w:tc>
          <w:tcPr>
            <w:tcW w:w="1560" w:type="dxa"/>
            <w:vAlign w:val="bottom"/>
            <w:tcBorders>
              <w:bottom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rPr>
              <w:t>7,588,000</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43"/>
              <w:spacing w:after="0"/>
              <w:rPr>
                <w:sz w:val="20"/>
                <w:szCs w:val="20"/>
                <w:color w:val="auto"/>
              </w:rPr>
            </w:pPr>
            <w:r>
              <w:rPr>
                <w:rFonts w:ascii="Arial" w:cs="Arial" w:eastAsia="Arial" w:hAnsi="Arial"/>
                <w:sz w:val="18"/>
                <w:szCs w:val="18"/>
                <w:color w:val="auto"/>
                <w:w w:val="87"/>
              </w:rPr>
              <w:t>129,122,095</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2,440,960,220</w:t>
            </w:r>
          </w:p>
        </w:tc>
        <w:tc>
          <w:tcPr>
            <w:tcW w:w="20" w:type="dxa"/>
            <w:vAlign w:val="bottom"/>
          </w:tcPr>
          <w:p>
            <w:pPr>
              <w:spacing w:after="0"/>
              <w:rPr>
                <w:sz w:val="18"/>
                <w:szCs w:val="18"/>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17,543,565</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17.10</w:t>
            </w:r>
          </w:p>
        </w:tc>
        <w:tc>
          <w:tcPr>
            <w:tcW w:w="156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b w:val="1"/>
                <w:bCs w:val="1"/>
                <w:color w:val="auto"/>
              </w:rPr>
              <w:t>17,543,565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b w:val="1"/>
                <w:bCs w:val="1"/>
                <w:color w:val="auto"/>
                <w:w w:val="87"/>
              </w:rPr>
              <w:t>300,014,490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2,440,960,220</w:t>
            </w:r>
          </w:p>
        </w:tc>
        <w:tc>
          <w:tcPr>
            <w:tcW w:w="20" w:type="dxa"/>
            <w:vAlign w:val="bottom"/>
            <w:tcBorders>
              <w:bottom w:val="single" w:sz="8" w:color="auto"/>
            </w:tcBorders>
          </w:tcPr>
          <w:p>
            <w:pPr>
              <w:spacing w:after="0"/>
              <w:rPr>
                <w:sz w:val="18"/>
                <w:szCs w:val="18"/>
                <w:color w:val="auto"/>
              </w:rPr>
            </w:pPr>
          </w:p>
        </w:tc>
      </w:tr>
    </w:tbl>
    <w:p>
      <w:pPr>
        <w:spacing w:after="0" w:line="57" w:lineRule="exact"/>
        <w:rPr>
          <w:sz w:val="20"/>
          <w:szCs w:val="20"/>
          <w:color w:val="auto"/>
        </w:rPr>
      </w:pPr>
    </w:p>
    <w:p>
      <w:pPr>
        <w:jc w:val="both"/>
        <w:ind w:left="340" w:hanging="332"/>
        <w:spacing w:after="0" w:line="28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2007, our Board of Directors authorized a $7 billion addition to the existing share repurchase authorization. Under this authorization, we may repurchase shares in the open market or in private transactions, subject to market conditions. The current share repurchase authorization does not have an expiration date. As of September 30, 2010, we had approximately $2.4 billion of availability remaining under our share repurchase authorization. We intend to complete repurchases under the current share repurchase authorization by the end of 2012, subject to market conditions.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September 30, 2010 does not include any shares received in the administration of employee share-based compensation plans.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302 of the Sarbanes-Oxley Act of 2002.</w:t>
      </w:r>
    </w:p>
    <w:p>
      <w:pPr>
        <w:spacing w:after="0" w:line="7"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Section 906 of the Sarbanes-Oxley Act of 2002.</w:t>
      </w:r>
    </w:p>
    <w:p>
      <w:pPr>
        <w:spacing w:after="0" w:line="9" w:lineRule="exact"/>
        <w:rPr>
          <w:sz w:val="20"/>
          <w:szCs w:val="20"/>
          <w:color w:val="auto"/>
        </w:rPr>
      </w:pPr>
    </w:p>
    <w:p>
      <w:pPr>
        <w:ind w:left="820" w:hanging="809"/>
        <w:spacing w:after="0" w:line="250"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2010 Spotlight Long Term Incentive Plan (formerly named the 2003 Cable Division Advertising/Sales Group Long Term Plan), as amended and restated effective January 1, 2010.</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2003 Stock Option Plan, as amended and restated effective July 23, 2010.</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2002 Restricted Stock Plan, as amended and restated effective July 23, 2010.</w:t>
      </w:r>
    </w:p>
    <w:p>
      <w:pPr>
        <w:spacing w:after="0" w:line="9" w:lineRule="exact"/>
        <w:rPr>
          <w:sz w:val="20"/>
          <w:szCs w:val="20"/>
          <w:color w:val="auto"/>
        </w:rPr>
      </w:pPr>
    </w:p>
    <w:p>
      <w:pPr>
        <w:jc w:val="both"/>
        <w:ind w:left="820" w:hanging="812"/>
        <w:spacing w:after="0" w:line="292"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nine months ended September 30, 2010, filed with the Securities and Exchange Commission on October 27, 2010, formatted in XBRL (eXtensible Business Reporting Language): (i) the Condensed Consolidated Balance Sheet; (ii) the Condensed Consolidated Statement of Operations; (iii) the Condensed Consolidated Statement of Cash Flows; (iv) the Condensed Consolidated Statement of Changes in Equity; (v) the Condensed Consolidated Statement of Comprehensive Income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5620" w:right="5600" w:hanging="5612"/>
        <w:spacing w:after="0" w:line="525" w:lineRule="auto"/>
        <w:tabs>
          <w:tab w:leader="none" w:pos="4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 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SPOTLIGHT LONG TERM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JANUARY 1, 2010)</w:t>
      </w:r>
    </w:p>
    <w:p>
      <w:pPr>
        <w:spacing w:after="0" w:line="159" w:lineRule="exact"/>
        <w:rPr>
          <w:sz w:val="20"/>
          <w:szCs w:val="20"/>
          <w:color w:val="auto"/>
        </w:rPr>
      </w:pPr>
    </w:p>
    <w:p>
      <w:pPr>
        <w:ind w:firstLine="464"/>
        <w:spacing w:after="0" w:line="293" w:lineRule="auto"/>
        <w:tabs>
          <w:tab w:leader="none" w:pos="632"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AND PURPOSE. </w:t>
      </w:r>
      <w:r>
        <w:rPr>
          <w:rFonts w:ascii="Arial" w:cs="Arial" w:eastAsia="Arial" w:hAnsi="Arial"/>
          <w:sz w:val="16"/>
          <w:szCs w:val="16"/>
          <w:color w:val="auto"/>
        </w:rPr>
        <w:t>Comcast Corporation, a Pennsylvania corporation, hereby amends and restates the Comcast Corporation Cable 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Advertising/Sales Group Long Term Incentive Plan and renames the Plan the Comcast Corporation 2010 Spotlight Long Term Incentive Plan (the “Plan”). Except as otherwise provided in the Plan, the amendment, restatement and renaming of the Plan shall be effective as of January 1, 2010. The Plan was originally effective as of January 1, 2003 and was most recently amended and restated effective January 1, 2007. The purpose of the Plan is to promote the ability of the Company to retain and recruit advertising/sales executives and to enhance the growth and profitability of the Company by providing to such executives long-term cash bonus awards for continued employment and the attainment of performance objectives pursuant to the Plan.</w:t>
      </w:r>
    </w:p>
    <w:p>
      <w:pPr>
        <w:spacing w:after="0" w:line="110" w:lineRule="exact"/>
        <w:rPr>
          <w:rFonts w:ascii="Arial" w:cs="Arial" w:eastAsia="Arial" w:hAnsi="Arial"/>
          <w:sz w:val="16"/>
          <w:szCs w:val="16"/>
          <w:b w:val="1"/>
          <w:bCs w:val="1"/>
          <w:color w:val="auto"/>
        </w:rPr>
      </w:pPr>
    </w:p>
    <w:p>
      <w:pPr>
        <w:ind w:left="640" w:hanging="176"/>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herein will have the meanings defined in this Paragraph 2.</w:t>
      </w:r>
    </w:p>
    <w:p>
      <w:pPr>
        <w:spacing w:after="0" w:line="177" w:lineRule="exact"/>
        <w:rPr>
          <w:rFonts w:ascii="Arial" w:cs="Arial" w:eastAsia="Arial" w:hAnsi="Arial"/>
          <w:sz w:val="18"/>
          <w:szCs w:val="18"/>
          <w:b w:val="1"/>
          <w:bCs w:val="1"/>
          <w:color w:val="auto"/>
        </w:rPr>
      </w:pPr>
    </w:p>
    <w:p>
      <w:pPr>
        <w:ind w:right="100" w:firstLine="921"/>
        <w:spacing w:after="0" w:line="332" w:lineRule="auto"/>
        <w:tabs>
          <w:tab w:leader="none" w:pos="1079" w:val="left"/>
        </w:tabs>
        <w:numPr>
          <w:ilvl w:val="1"/>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Accrued Bonuses</w:t>
      </w:r>
      <w:r>
        <w:rPr>
          <w:rFonts w:ascii="Arial" w:cs="Arial" w:eastAsia="Arial" w:hAnsi="Arial"/>
          <w:sz w:val="16"/>
          <w:szCs w:val="16"/>
          <w:color w:val="auto"/>
        </w:rPr>
        <w:t>” means, with respect to a specified Participant and a specified Award Cycle, the sum of all bonuses accrued by that Participant with respect to all Plan Years within that Award Cycle, plus interest credited on such amounts in accordance with Paragraph 4(d).</w:t>
      </w:r>
    </w:p>
    <w:p>
      <w:pPr>
        <w:spacing w:after="0" w:line="85" w:lineRule="exact"/>
        <w:rPr>
          <w:rFonts w:ascii="Arial" w:cs="Arial" w:eastAsia="Arial" w:hAnsi="Arial"/>
          <w:sz w:val="16"/>
          <w:szCs w:val="16"/>
          <w:color w:val="auto"/>
        </w:rPr>
      </w:pPr>
    </w:p>
    <w:p>
      <w:pPr>
        <w:ind w:right="120" w:firstLine="921"/>
        <w:spacing w:after="0" w:line="268" w:lineRule="auto"/>
        <w:tabs>
          <w:tab w:leader="none" w:pos="10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Achievement Percentage</w:t>
      </w:r>
      <w:r>
        <w:rPr>
          <w:rFonts w:ascii="Arial" w:cs="Arial" w:eastAsia="Arial" w:hAnsi="Arial"/>
          <w:sz w:val="18"/>
          <w:szCs w:val="18"/>
          <w:color w:val="auto"/>
        </w:rPr>
        <w:t>” means, the actual Operating Cash Flow amount for the Combined Ad Sales Division for any Plan Year divided by the Annual OCF Budget established by the Company for the Combined Ad Sales Division for the respective Plan Year.</w:t>
      </w:r>
    </w:p>
    <w:p>
      <w:pPr>
        <w:spacing w:after="0" w:line="131" w:lineRule="exact"/>
        <w:rPr>
          <w:rFonts w:ascii="Arial" w:cs="Arial" w:eastAsia="Arial" w:hAnsi="Arial"/>
          <w:sz w:val="18"/>
          <w:szCs w:val="18"/>
          <w:color w:val="auto"/>
        </w:rPr>
      </w:pPr>
    </w:p>
    <w:p>
      <w:pPr>
        <w:ind w:right="460" w:firstLine="921"/>
        <w:spacing w:after="0" w:line="268" w:lineRule="auto"/>
        <w:tabs>
          <w:tab w:leader="none" w:pos="10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 Sales Expenses</w:t>
      </w:r>
      <w:r>
        <w:rPr>
          <w:rFonts w:ascii="Arial" w:cs="Arial" w:eastAsia="Arial" w:hAnsi="Arial"/>
          <w:sz w:val="18"/>
          <w:szCs w:val="18"/>
          <w:color w:val="auto"/>
        </w:rPr>
        <w:t>” means, with respect to any Plan Year, the expenses of the Combined Ad Sales Division for that year, as reflected in the Company’s operating results.</w:t>
      </w:r>
    </w:p>
    <w:p>
      <w:pPr>
        <w:spacing w:after="0" w:line="131" w:lineRule="exact"/>
        <w:rPr>
          <w:rFonts w:ascii="Arial" w:cs="Arial" w:eastAsia="Arial" w:hAnsi="Arial"/>
          <w:sz w:val="18"/>
          <w:szCs w:val="18"/>
          <w:color w:val="auto"/>
        </w:rPr>
      </w:pPr>
    </w:p>
    <w:p>
      <w:pPr>
        <w:ind w:right="440" w:firstLine="921"/>
        <w:spacing w:after="0" w:line="268" w:lineRule="auto"/>
        <w:tabs>
          <w:tab w:leader="none" w:pos="10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 Sales Revenues</w:t>
      </w:r>
      <w:r>
        <w:rPr>
          <w:rFonts w:ascii="Arial" w:cs="Arial" w:eastAsia="Arial" w:hAnsi="Arial"/>
          <w:sz w:val="18"/>
          <w:szCs w:val="18"/>
          <w:color w:val="auto"/>
        </w:rPr>
        <w:t>” means, with respect to any Plan Year, the revenues of the Combined Ad Sales Division for that year, as reflected in the Company’s operating results.</w:t>
      </w:r>
    </w:p>
    <w:p>
      <w:pPr>
        <w:spacing w:after="0" w:line="131" w:lineRule="exact"/>
        <w:rPr>
          <w:rFonts w:ascii="Arial" w:cs="Arial" w:eastAsia="Arial" w:hAnsi="Arial"/>
          <w:sz w:val="18"/>
          <w:szCs w:val="18"/>
          <w:color w:val="auto"/>
        </w:rPr>
      </w:pPr>
    </w:p>
    <w:p>
      <w:pPr>
        <w:jc w:val="both"/>
        <w:ind w:right="240" w:firstLine="921"/>
        <w:spacing w:after="0" w:line="256" w:lineRule="auto"/>
        <w:tabs>
          <w:tab w:leader="none" w:pos="10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ectPr>
          <w:pgSz w:w="11900" w:h="16838" w:orient="portrait"/>
          <w:cols w:equalWidth="0" w:num="1">
            <w:col w:w="11420"/>
          </w:cols>
          <w:pgMar w:left="240" w:top="125" w:right="239" w:bottom="1440" w:gutter="0" w:footer="0" w:header="0"/>
        </w:sectPr>
      </w:pPr>
    </w:p>
    <w:bookmarkStart w:id="39" w:name="page40"/>
    <w:bookmarkEnd w:id="3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 “</w:t>
      </w:r>
      <w:r>
        <w:rPr>
          <w:rFonts w:ascii="Arial" w:cs="Arial" w:eastAsia="Arial" w:hAnsi="Arial"/>
          <w:sz w:val="16"/>
          <w:szCs w:val="16"/>
          <w:u w:val="single" w:color="auto"/>
          <w:color w:val="auto"/>
        </w:rPr>
        <w:t>Annual OCF Budget</w:t>
      </w:r>
      <w:r>
        <w:rPr>
          <w:rFonts w:ascii="Arial" w:cs="Arial" w:eastAsia="Arial" w:hAnsi="Arial"/>
          <w:sz w:val="16"/>
          <w:szCs w:val="16"/>
          <w:color w:val="auto"/>
        </w:rPr>
        <w:t>” means the operating cash flow budget target established annually by the Company for the Combined Ad Sales Division.</w:t>
      </w:r>
    </w:p>
    <w:p>
      <w:pPr>
        <w:spacing w:after="0" w:line="194"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g. “</w:t>
      </w:r>
      <w:r>
        <w:rPr>
          <w:rFonts w:ascii="Arial" w:cs="Arial" w:eastAsia="Arial" w:hAnsi="Arial"/>
          <w:sz w:val="18"/>
          <w:szCs w:val="18"/>
          <w:u w:val="single" w:color="auto"/>
          <w:color w:val="auto"/>
        </w:rPr>
        <w:t>Award Cycle</w:t>
      </w:r>
      <w:r>
        <w:rPr>
          <w:rFonts w:ascii="Arial" w:cs="Arial" w:eastAsia="Arial" w:hAnsi="Arial"/>
          <w:sz w:val="18"/>
          <w:szCs w:val="18"/>
          <w:color w:val="auto"/>
        </w:rPr>
        <w:t>” means a period of one or more Plan Years as determined by the Committee. An Award Cycle (the “Third Award Cycle”) shall begin as of January 1, 2010 and extend through December 31, 2011. Additional Award Cycles may be established until this Plan is terminated and shall have a duration as determined by the Committee.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 “</w:t>
      </w:r>
      <w:r>
        <w:rPr>
          <w:rFonts w:ascii="Arial" w:cs="Arial" w:eastAsia="Arial" w:hAnsi="Arial"/>
          <w:sz w:val="16"/>
          <w:szCs w:val="16"/>
          <w:u w:val="single" w:color="auto"/>
          <w:color w:val="auto"/>
        </w:rPr>
        <w:t>Cause</w:t>
      </w:r>
      <w:r>
        <w:rPr>
          <w:rFonts w:ascii="Arial" w:cs="Arial" w:eastAsia="Arial" w:hAnsi="Arial"/>
          <w:sz w:val="16"/>
          <w:szCs w:val="16"/>
          <w:color w:val="auto"/>
        </w:rPr>
        <w:t>” means (1) fraud; (2) misappropriation; (3) embezzlement; (4) gross negligence in the performance of duties; (5) self-dealing;</w:t>
      </w:r>
    </w:p>
    <w:p>
      <w:pPr>
        <w:spacing w:after="0" w:line="38" w:lineRule="exact"/>
        <w:rPr>
          <w:sz w:val="20"/>
          <w:szCs w:val="20"/>
          <w:color w:val="auto"/>
        </w:rPr>
      </w:pPr>
    </w:p>
    <w:p>
      <w:pPr>
        <w:ind w:right="20" w:firstLine="8"/>
        <w:spacing w:after="0" w:line="254"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dishonesty; (7) misrepresentation; (8) conviction of a felony; (9) material violation of any Company policy; (10) material violation of the Company’s Code of Ethics and Business Conduct or, (11) in the case of an employee of a Company who is a party to an employment agreement with a Company, material breach of such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as to items (9), (10) and (11), if capable of being cured, such event or condition remains uncured following 30 days written notice thereof.</w:t>
      </w:r>
    </w:p>
    <w:p>
      <w:pPr>
        <w:spacing w:after="0" w:line="143" w:lineRule="exact"/>
        <w:rPr>
          <w:rFonts w:ascii="Arial" w:cs="Arial" w:eastAsia="Arial" w:hAnsi="Arial"/>
          <w:sz w:val="18"/>
          <w:szCs w:val="18"/>
          <w:color w:val="auto"/>
        </w:rPr>
      </w:pPr>
    </w:p>
    <w:p>
      <w:pPr>
        <w:ind w:right="120" w:firstLine="921"/>
        <w:spacing w:after="0" w:line="298" w:lineRule="auto"/>
        <w:tabs>
          <w:tab w:leader="none" w:pos="10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right="180" w:firstLine="921"/>
        <w:spacing w:after="0" w:line="259" w:lineRule="auto"/>
        <w:tabs>
          <w:tab w:leader="none" w:pos="10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Ad Sales Division</w:t>
      </w:r>
      <w:r>
        <w:rPr>
          <w:rFonts w:ascii="Arial" w:cs="Arial" w:eastAsia="Arial" w:hAnsi="Arial"/>
          <w:sz w:val="18"/>
          <w:szCs w:val="18"/>
          <w:color w:val="auto"/>
        </w:rPr>
        <w:t>” means all the advertising sales divisions or activities reporting to the President—Advertising Sales of the Cable Division, including the activities of the Southern, NorthCentral, East and West advertising sales divisions, Strata Marketing, Inc, Hits Sales Rep Operations, Vehix and Ad Sales Division headquarters operating expenses.</w:t>
      </w:r>
    </w:p>
    <w:p>
      <w:pPr>
        <w:spacing w:after="0" w:line="140" w:lineRule="exact"/>
        <w:rPr>
          <w:rFonts w:ascii="Arial" w:cs="Arial" w:eastAsia="Arial" w:hAnsi="Arial"/>
          <w:sz w:val="18"/>
          <w:szCs w:val="18"/>
          <w:color w:val="auto"/>
        </w:rPr>
      </w:pPr>
    </w:p>
    <w:p>
      <w:pPr>
        <w:ind w:left="1060" w:hanging="139"/>
        <w:spacing w:after="0"/>
        <w:tabs>
          <w:tab w:leader="none" w:pos="10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other committee of the Board assigned by the Board to administer this Plan.</w:t>
      </w:r>
    </w:p>
    <w:p>
      <w:pPr>
        <w:spacing w:after="0" w:line="194" w:lineRule="exact"/>
        <w:rPr>
          <w:rFonts w:ascii="Arial" w:cs="Arial" w:eastAsia="Arial" w:hAnsi="Arial"/>
          <w:sz w:val="16"/>
          <w:szCs w:val="16"/>
          <w:color w:val="auto"/>
        </w:rPr>
      </w:pPr>
    </w:p>
    <w:p>
      <w:pPr>
        <w:ind w:right="380" w:firstLine="921"/>
        <w:spacing w:after="0" w:line="268" w:lineRule="auto"/>
        <w:tabs>
          <w:tab w:leader="none" w:pos="1137"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firstLine="921"/>
        <w:spacing w:after="0" w:line="268" w:lineRule="auto"/>
        <w:tabs>
          <w:tab w:leader="none" w:pos="10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condition entitling a Participant to benefits under the Company-sponsored long-term disability plan or program applicable to that Participant.</w:t>
      </w:r>
    </w:p>
    <w:p>
      <w:pPr>
        <w:spacing w:after="0" w:line="131" w:lineRule="exact"/>
        <w:rPr>
          <w:rFonts w:ascii="Arial" w:cs="Arial" w:eastAsia="Arial" w:hAnsi="Arial"/>
          <w:sz w:val="18"/>
          <w:szCs w:val="18"/>
          <w:color w:val="auto"/>
        </w:rPr>
      </w:pPr>
    </w:p>
    <w:p>
      <w:pPr>
        <w:ind w:right="560" w:firstLine="921"/>
        <w:spacing w:after="0" w:line="332" w:lineRule="auto"/>
        <w:tabs>
          <w:tab w:leader="none" w:pos="1088" w:val="left"/>
        </w:tabs>
        <w:numPr>
          <w:ilvl w:val="1"/>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Cash Flow</w:t>
      </w:r>
      <w:r>
        <w:rPr>
          <w:rFonts w:ascii="Arial" w:cs="Arial" w:eastAsia="Arial" w:hAnsi="Arial"/>
          <w:sz w:val="16"/>
          <w:szCs w:val="16"/>
          <w:color w:val="auto"/>
        </w:rPr>
        <w:t>” means Ad Sales Revenues less Ad Sales Expenses. For purposes of this calculation, Ad Sales actual and budgeted expenses for any Plan Year shall be reduced by costs associated with LTIP Accrued Bonuses and other costs associated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this Plan and included in Ad Sales Expenses. For each Plan Year, the Achievement Percentage will be determined by the Committee</w:t>
      </w:r>
    </w:p>
    <w:p>
      <w:pPr>
        <w:spacing w:after="0" w:line="17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p.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key employee of the Combined Ad Sales Division of the Cable Division of the Company selected by the Committee to participate in this Plan.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q. “</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means an individual, a corporation, a partnership, an association, a trust or any other entity or organization.</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r. “</w:t>
      </w:r>
      <w:r>
        <w:rPr>
          <w:rFonts w:ascii="Arial" w:cs="Arial" w:eastAsia="Arial" w:hAnsi="Arial"/>
          <w:sz w:val="18"/>
          <w:szCs w:val="18"/>
          <w:u w:val="single" w:color="auto"/>
          <w:color w:val="auto"/>
        </w:rPr>
        <w:t>Plan</w:t>
      </w:r>
      <w:r>
        <w:rPr>
          <w:rFonts w:ascii="Arial" w:cs="Arial" w:eastAsia="Arial" w:hAnsi="Arial"/>
          <w:sz w:val="18"/>
          <w:szCs w:val="18"/>
          <w:color w:val="auto"/>
        </w:rPr>
        <w:t>” means this Comcast Corporation 2010 Spotlight Long Term Incentive Plan (formerly known as the 2003 Cable Division Advertising/Sales Group Long Term Incentive Plan), as set forth herein and as amended from time to time.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7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t. “</w:t>
      </w:r>
      <w:r>
        <w:rPr>
          <w:rFonts w:ascii="Arial" w:cs="Arial" w:eastAsia="Arial" w:hAnsi="Arial"/>
          <w:sz w:val="18"/>
          <w:szCs w:val="18"/>
          <w:u w:val="single" w:color="auto"/>
          <w:color w:val="auto"/>
        </w:rPr>
        <w:t>Retirement</w:t>
      </w:r>
      <w:r>
        <w:rPr>
          <w:rFonts w:ascii="Arial" w:cs="Arial" w:eastAsia="Arial" w:hAnsi="Arial"/>
          <w:sz w:val="18"/>
          <w:szCs w:val="18"/>
          <w:color w:val="auto"/>
        </w:rPr>
        <w:t>” means, with respect to a specified Participant, voluntary resignation with the consent of the Company after attaining age 55 and completing a 10 year period of continuous, active employment with the Company and/or any Affiliate.</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u.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means any Person, together with such Person’s Affiliates,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term “Third Party” shall not include the Company or an Affiliate of the Company.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v. “</w:t>
      </w:r>
      <w:r>
        <w:rPr>
          <w:rFonts w:ascii="Arial" w:cs="Arial" w:eastAsia="Arial" w:hAnsi="Arial"/>
          <w:sz w:val="16"/>
          <w:szCs w:val="16"/>
          <w:u w:val="single" w:color="auto"/>
          <w:color w:val="auto"/>
        </w:rPr>
        <w:t>Special Payment Event</w:t>
      </w:r>
      <w:r>
        <w:rPr>
          <w:rFonts w:ascii="Arial" w:cs="Arial" w:eastAsia="Arial" w:hAnsi="Arial"/>
          <w:sz w:val="16"/>
          <w:szCs w:val="16"/>
          <w:color w:val="auto"/>
        </w:rPr>
        <w:t>” means, with respect to a specified Participant, termination of employment due to death, Disability or Retirement.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 “</w:t>
      </w:r>
      <w:r>
        <w:rPr>
          <w:rFonts w:ascii="Arial" w:cs="Arial" w:eastAsia="Arial" w:hAnsi="Arial"/>
          <w:sz w:val="16"/>
          <w:szCs w:val="16"/>
          <w:u w:val="single" w:color="auto"/>
          <w:color w:val="auto"/>
        </w:rPr>
        <w:t>Target Bonus</w:t>
      </w:r>
      <w:r>
        <w:rPr>
          <w:rFonts w:ascii="Arial" w:cs="Arial" w:eastAsia="Arial" w:hAnsi="Arial"/>
          <w:sz w:val="16"/>
          <w:szCs w:val="16"/>
          <w:color w:val="auto"/>
        </w:rPr>
        <w:t>” means the target bonus, as determined by the Committee. Unless otherwise determined by the Committee, the term “Target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Bonus” means:</w:t>
      </w:r>
    </w:p>
    <w:p>
      <w:pPr>
        <w:spacing w:after="0" w:line="165" w:lineRule="exact"/>
        <w:rPr>
          <w:sz w:val="20"/>
          <w:szCs w:val="20"/>
          <w:color w:val="auto"/>
        </w:rPr>
      </w:pPr>
    </w:p>
    <w:p>
      <w:pPr>
        <w:ind w:left="1740" w:hanging="248"/>
        <w:spacing w:after="0"/>
        <w:tabs>
          <w:tab w:leader="none" w:pos="17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with respect to Class A Participants, $750,000;</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2"/>
          <w:numId w:val="21"/>
        </w:numPr>
        <w:rPr>
          <w:rFonts w:ascii="Arial" w:cs="Arial" w:eastAsia="Arial" w:hAnsi="Arial"/>
          <w:sz w:val="18"/>
          <w:szCs w:val="18"/>
          <w:color w:val="auto"/>
        </w:rPr>
      </w:pPr>
      <w:r>
        <w:rPr>
          <w:rFonts w:ascii="Arial" w:cs="Arial" w:eastAsia="Arial" w:hAnsi="Arial"/>
          <w:sz w:val="18"/>
          <w:szCs w:val="18"/>
          <w:color w:val="auto"/>
        </w:rPr>
        <w:t>with respect to Class B Participants, $425,000;</w:t>
      </w:r>
    </w:p>
    <w:p>
      <w:pPr>
        <w:spacing w:after="0" w:line="171" w:lineRule="exact"/>
        <w:rPr>
          <w:rFonts w:ascii="Arial" w:cs="Arial" w:eastAsia="Arial" w:hAnsi="Arial"/>
          <w:sz w:val="18"/>
          <w:szCs w:val="18"/>
          <w:color w:val="auto"/>
        </w:rPr>
      </w:pPr>
    </w:p>
    <w:p>
      <w:pPr>
        <w:ind w:firstLine="1492"/>
        <w:spacing w:after="0" w:line="332" w:lineRule="auto"/>
        <w:tabs>
          <w:tab w:leader="none" w:pos="1732" w:val="left"/>
        </w:tabs>
        <w:numPr>
          <w:ilvl w:val="2"/>
          <w:numId w:val="21"/>
        </w:numPr>
        <w:rPr>
          <w:rFonts w:ascii="Arial" w:cs="Arial" w:eastAsia="Arial" w:hAnsi="Arial"/>
          <w:sz w:val="16"/>
          <w:szCs w:val="16"/>
          <w:color w:val="auto"/>
        </w:rPr>
      </w:pPr>
      <w:r>
        <w:rPr>
          <w:rFonts w:ascii="Arial" w:cs="Arial" w:eastAsia="Arial" w:hAnsi="Arial"/>
          <w:sz w:val="16"/>
          <w:szCs w:val="16"/>
          <w:color w:val="auto"/>
        </w:rPr>
        <w:t>with respect to Class C Participants, $200,000, $125,000, $100,000, $75,000, $50,000, $40,000, $25,000, $15,000, or such other amount as shall be determined by the Committee for each Plan Year, as specified by the Committee in accordance with Paragraph 4(b).</w:t>
      </w:r>
    </w:p>
    <w:p>
      <w:pPr>
        <w:spacing w:after="0" w:line="79" w:lineRule="exact"/>
        <w:rPr>
          <w:rFonts w:ascii="Arial" w:cs="Arial" w:eastAsia="Arial" w:hAnsi="Arial"/>
          <w:sz w:val="16"/>
          <w:szCs w:val="16"/>
          <w:color w:val="auto"/>
        </w:rPr>
      </w:pPr>
    </w:p>
    <w:p>
      <w:pPr>
        <w:ind w:left="640" w:hanging="176"/>
        <w:spacing w:after="0"/>
        <w:tabs>
          <w:tab w:leader="none" w:pos="6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7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 General</w:t>
      </w:r>
      <w:r>
        <w:rPr>
          <w:rFonts w:ascii="Arial" w:cs="Arial" w:eastAsia="Arial" w:hAnsi="Arial"/>
          <w:sz w:val="18"/>
          <w:szCs w:val="18"/>
          <w:color w:val="auto"/>
        </w:rPr>
        <w:t>. The Plan shall be administered by the Committee. The Committee shall have the power, from time to time, to:</w:t>
      </w:r>
    </w:p>
    <w:p>
      <w:pPr>
        <w:spacing w:after="0" w:line="171" w:lineRule="exact"/>
        <w:rPr>
          <w:rFonts w:ascii="Arial" w:cs="Arial" w:eastAsia="Arial" w:hAnsi="Arial"/>
          <w:sz w:val="18"/>
          <w:szCs w:val="18"/>
          <w:b w:val="1"/>
          <w:bCs w:val="1"/>
          <w:color w:val="auto"/>
        </w:rPr>
      </w:pPr>
    </w:p>
    <w:p>
      <w:pPr>
        <w:ind w:left="1740" w:hanging="248"/>
        <w:spacing w:after="0"/>
        <w:tabs>
          <w:tab w:leader="none" w:pos="17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select Participants;</w:t>
      </w:r>
    </w:p>
    <w:p>
      <w:pPr>
        <w:spacing w:after="0" w:line="171" w:lineRule="exact"/>
        <w:rPr>
          <w:rFonts w:ascii="Arial" w:cs="Arial" w:eastAsia="Arial" w:hAnsi="Arial"/>
          <w:sz w:val="18"/>
          <w:szCs w:val="18"/>
          <w:color w:val="auto"/>
        </w:rPr>
      </w:pPr>
    </w:p>
    <w:p>
      <w:pPr>
        <w:ind w:right="80" w:firstLine="1492"/>
        <w:spacing w:after="0" w:line="268" w:lineRule="auto"/>
        <w:tabs>
          <w:tab w:leader="none" w:pos="1732"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designate (or re-designate) the classification (and, if applicable within that classification, the Target Bonus) of each Participant, and add or eliminate classifications;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41" w:name="page42"/>
    <w:bookmarkEnd w:id="41"/>
    <w:p>
      <w:pPr>
        <w:ind w:left="-20" w:right="20" w:firstLine="1492"/>
        <w:spacing w:after="0" w:line="268" w:lineRule="auto"/>
        <w:tabs>
          <w:tab w:leader="none" w:pos="1712"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measure the achievement of the Annual OCF Budget for each Plan Year and make adjustments to the measurement of the achievement of the Annual OCF Budget in accordance with Paragraph 4;</w:t>
      </w:r>
    </w:p>
    <w:p>
      <w:pPr>
        <w:spacing w:after="0" w:line="131" w:lineRule="exact"/>
        <w:rPr>
          <w:rFonts w:ascii="Arial" w:cs="Arial" w:eastAsia="Arial" w:hAnsi="Arial"/>
          <w:sz w:val="18"/>
          <w:szCs w:val="18"/>
          <w:color w:val="auto"/>
        </w:rPr>
      </w:pPr>
    </w:p>
    <w:p>
      <w:pPr>
        <w:ind w:left="-20" w:right="40" w:firstLine="1492"/>
        <w:spacing w:after="0" w:line="268" w:lineRule="auto"/>
        <w:tabs>
          <w:tab w:leader="none" w:pos="17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the extent to which bonuses will be paid upon the achievement of the Annual OCF Budget or of performance levels below and above budget, in accordance with the performance objectives referenced in Paragraph 4(c) and Exhibit B;</w:t>
      </w:r>
    </w:p>
    <w:p>
      <w:pPr>
        <w:spacing w:after="0" w:line="131" w:lineRule="exact"/>
        <w:rPr>
          <w:rFonts w:ascii="Arial" w:cs="Arial" w:eastAsia="Arial" w:hAnsi="Arial"/>
          <w:sz w:val="18"/>
          <w:szCs w:val="18"/>
          <w:color w:val="auto"/>
        </w:rPr>
      </w:pPr>
    </w:p>
    <w:p>
      <w:pPr>
        <w:ind w:left="1720" w:hanging="248"/>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the actual amount of bonuses to be accrued hereunder by each Participant for each Plan Year;</w:t>
      </w:r>
    </w:p>
    <w:p>
      <w:pPr>
        <w:spacing w:after="0" w:line="171" w:lineRule="exact"/>
        <w:rPr>
          <w:rFonts w:ascii="Arial" w:cs="Arial" w:eastAsia="Arial" w:hAnsi="Arial"/>
          <w:sz w:val="18"/>
          <w:szCs w:val="18"/>
          <w:color w:val="auto"/>
        </w:rPr>
      </w:pPr>
    </w:p>
    <w:p>
      <w:pPr>
        <w:ind w:left="1720" w:hanging="248"/>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 the interest to be credited on Accrued Bonuses;</w:t>
      </w:r>
    </w:p>
    <w:p>
      <w:pPr>
        <w:spacing w:after="0" w:line="171" w:lineRule="exact"/>
        <w:rPr>
          <w:rFonts w:ascii="Arial" w:cs="Arial" w:eastAsia="Arial" w:hAnsi="Arial"/>
          <w:sz w:val="18"/>
          <w:szCs w:val="18"/>
          <w:color w:val="auto"/>
        </w:rPr>
      </w:pPr>
    </w:p>
    <w:p>
      <w:pPr>
        <w:ind w:left="1720" w:hanging="248"/>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supply omissions, reconcile inconsistencies and otherwise interpret this document;</w:t>
      </w:r>
    </w:p>
    <w:p>
      <w:pPr>
        <w:spacing w:after="0" w:line="171" w:lineRule="exact"/>
        <w:rPr>
          <w:rFonts w:ascii="Arial" w:cs="Arial" w:eastAsia="Arial" w:hAnsi="Arial"/>
          <w:sz w:val="18"/>
          <w:szCs w:val="18"/>
          <w:color w:val="auto"/>
        </w:rPr>
      </w:pPr>
    </w:p>
    <w:p>
      <w:pPr>
        <w:ind w:left="1720" w:hanging="248"/>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for the administration of this Plan;</w:t>
      </w:r>
    </w:p>
    <w:p>
      <w:pPr>
        <w:spacing w:after="0" w:line="171" w:lineRule="exact"/>
        <w:rPr>
          <w:rFonts w:ascii="Arial" w:cs="Arial" w:eastAsia="Arial" w:hAnsi="Arial"/>
          <w:sz w:val="18"/>
          <w:szCs w:val="18"/>
          <w:color w:val="auto"/>
        </w:rPr>
      </w:pPr>
    </w:p>
    <w:p>
      <w:pPr>
        <w:ind w:left="1720" w:hanging="248"/>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 whether all of the conditions to any payment under the Plan have been satisfied; and</w:t>
      </w:r>
    </w:p>
    <w:p>
      <w:pPr>
        <w:spacing w:after="0" w:line="171" w:lineRule="exact"/>
        <w:rPr>
          <w:rFonts w:ascii="Arial" w:cs="Arial" w:eastAsia="Arial" w:hAnsi="Arial"/>
          <w:sz w:val="18"/>
          <w:szCs w:val="18"/>
          <w:color w:val="auto"/>
        </w:rPr>
      </w:pPr>
    </w:p>
    <w:p>
      <w:pPr>
        <w:ind w:left="1800" w:hanging="328"/>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all other determinations necessary or desirable for the operation of the Plan.</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determination of the Committee in all matters shall be conclusive.</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171" w:lineRule="exact"/>
        <w:rPr>
          <w:sz w:val="20"/>
          <w:szCs w:val="20"/>
          <w:color w:val="auto"/>
        </w:rPr>
      </w:pPr>
    </w:p>
    <w:p>
      <w:pPr>
        <w:ind w:left="-20" w:firstLine="1492"/>
        <w:spacing w:after="0" w:line="306" w:lineRule="auto"/>
        <w:tabs>
          <w:tab w:leader="none" w:pos="167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Named Executive Officers and Section 16(b) Officers</w:t>
      </w:r>
      <w:r>
        <w:rPr>
          <w:rFonts w:ascii="Arial" w:cs="Arial" w:eastAsia="Arial" w:hAnsi="Arial"/>
          <w:sz w:val="16"/>
          <w:szCs w:val="16"/>
          <w:color w:val="auto"/>
        </w:rPr>
        <w:t>. All authority with respect to the grant, amendment, interpretation and administration of awards with respect to any Participant who is either (x) a Named Executive Officer (</w:t>
      </w:r>
      <w:r>
        <w:rPr>
          <w:rFonts w:ascii="Arial" w:cs="Arial" w:eastAsia="Arial" w:hAnsi="Arial"/>
          <w:sz w:val="16"/>
          <w:szCs w:val="16"/>
          <w:i w:val="1"/>
          <w:iCs w:val="1"/>
          <w:color w:val="auto"/>
        </w:rPr>
        <w:t>i.e.</w:t>
      </w:r>
      <w:r>
        <w:rPr>
          <w:rFonts w:ascii="Arial" w:cs="Arial" w:eastAsia="Arial" w:hAnsi="Arial"/>
          <w:sz w:val="16"/>
          <w:szCs w:val="16"/>
          <w:color w:val="auto"/>
        </w:rPr>
        <w:t>, an officer who is required to be listed in the Company’s Proxy Statement Compensation Table) or (y) is subject to the short-swing profit recapture rules of section 16(b) of the 1934 Act, is reserved to the Committee.</w:t>
      </w:r>
    </w:p>
    <w:p>
      <w:pPr>
        <w:spacing w:after="0" w:line="106" w:lineRule="exact"/>
        <w:rPr>
          <w:rFonts w:ascii="Arial" w:cs="Arial" w:eastAsia="Arial" w:hAnsi="Arial"/>
          <w:sz w:val="16"/>
          <w:szCs w:val="16"/>
          <w:color w:val="auto"/>
        </w:rPr>
      </w:pPr>
    </w:p>
    <w:p>
      <w:pPr>
        <w:jc w:val="both"/>
        <w:ind w:left="-20" w:right="300" w:firstLine="1492"/>
        <w:spacing w:after="0" w:line="256" w:lineRule="auto"/>
        <w:tabs>
          <w:tab w:leader="none" w:pos="172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awards with respect to any Participant who (x) holds a position with Comcast Corporation of Senior Vice President or a position of higher rank than Senior Vice President or (y) has a base salary of $500,000 or more.</w:t>
      </w:r>
    </w:p>
    <w:p>
      <w:pPr>
        <w:spacing w:after="0" w:line="143" w:lineRule="exact"/>
        <w:rPr>
          <w:rFonts w:ascii="Arial" w:cs="Arial" w:eastAsia="Arial" w:hAnsi="Arial"/>
          <w:sz w:val="18"/>
          <w:szCs w:val="18"/>
          <w:color w:val="auto"/>
        </w:rPr>
      </w:pPr>
    </w:p>
    <w:p>
      <w:pPr>
        <w:ind w:left="-20" w:right="20" w:firstLine="1492"/>
        <w:spacing w:after="0" w:line="259" w:lineRule="auto"/>
        <w:tabs>
          <w:tab w:leader="none" w:pos="177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awards with respect to any Participant other than a Participant described in Paragraph 3(b)(i) or Paragraph 3(b)(ii).</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42" w:name="page43"/>
    <w:bookmarkEnd w:id="42"/>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(iv) </w:t>
      </w: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3(b) shall continue in effect until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earliest of:</w:t>
      </w:r>
    </w:p>
    <w:p>
      <w:pPr>
        <w:spacing w:after="0" w:line="165" w:lineRule="exact"/>
        <w:rPr>
          <w:sz w:val="20"/>
          <w:szCs w:val="20"/>
          <w:color w:val="auto"/>
        </w:rPr>
      </w:pPr>
    </w:p>
    <w:p>
      <w:pPr>
        <w:ind w:left="2200" w:hanging="252"/>
        <w:spacing w:after="0"/>
        <w:tabs>
          <w:tab w:leader="none" w:pos="2200" w:val="left"/>
        </w:tabs>
        <w:numPr>
          <w:ilvl w:val="3"/>
          <w:numId w:val="25"/>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71" w:lineRule="exact"/>
        <w:rPr>
          <w:rFonts w:ascii="Arial" w:cs="Arial" w:eastAsia="Arial" w:hAnsi="Arial"/>
          <w:sz w:val="18"/>
          <w:szCs w:val="18"/>
          <w:color w:val="auto"/>
        </w:rPr>
      </w:pPr>
    </w:p>
    <w:p>
      <w:pPr>
        <w:ind w:right="220" w:firstLine="1948"/>
        <w:spacing w:after="0" w:line="259" w:lineRule="auto"/>
        <w:tabs>
          <w:tab w:leader="none" w:pos="2189" w:val="left"/>
        </w:tabs>
        <w:numPr>
          <w:ilvl w:val="3"/>
          <w:numId w:val="25"/>
        </w:numPr>
        <w:rPr>
          <w:rFonts w:ascii="Arial" w:cs="Arial" w:eastAsia="Arial" w:hAnsi="Arial"/>
          <w:sz w:val="18"/>
          <w:szCs w:val="18"/>
          <w:color w:val="auto"/>
        </w:rPr>
      </w:pPr>
      <w:r>
        <w:rPr>
          <w:rFonts w:ascii="Arial" w:cs="Arial" w:eastAsia="Arial" w:hAnsi="Arial"/>
          <w:sz w:val="18"/>
          <w:szCs w:val="18"/>
          <w:color w:val="auto"/>
        </w:rPr>
        <w:t>in the case of delegation under Paragraph 3(b)(ii), the delegate shall cease to serve as Chairman of the Committee or serve as an employee of the Company for any reason, as the case may be and in the case of delegation under Paragraph 3(b)(iii), the delegate shall cease to serve as an employee of the Company for any reason; or</w:t>
      </w:r>
    </w:p>
    <w:p>
      <w:pPr>
        <w:spacing w:after="0" w:line="140" w:lineRule="exact"/>
        <w:rPr>
          <w:rFonts w:ascii="Arial" w:cs="Arial" w:eastAsia="Arial" w:hAnsi="Arial"/>
          <w:sz w:val="18"/>
          <w:szCs w:val="18"/>
          <w:color w:val="auto"/>
        </w:rPr>
      </w:pPr>
    </w:p>
    <w:p>
      <w:pPr>
        <w:ind w:left="2180" w:hanging="232"/>
        <w:spacing w:after="0"/>
        <w:tabs>
          <w:tab w:leader="none" w:pos="2180" w:val="left"/>
        </w:tabs>
        <w:numPr>
          <w:ilvl w:val="3"/>
          <w:numId w:val="25"/>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65" w:lineRule="exact"/>
        <w:rPr>
          <w:rFonts w:ascii="Arial" w:cs="Arial" w:eastAsia="Arial" w:hAnsi="Arial"/>
          <w:sz w:val="18"/>
          <w:szCs w:val="18"/>
          <w:color w:val="auto"/>
        </w:rPr>
      </w:pPr>
    </w:p>
    <w:p>
      <w:pPr>
        <w:ind w:left="640" w:hanging="176"/>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BONUS ACCRUAL AND INTEREST CREDITING.</w:t>
      </w:r>
    </w:p>
    <w:p>
      <w:pPr>
        <w:spacing w:after="0" w:line="177" w:lineRule="exact"/>
        <w:rPr>
          <w:rFonts w:ascii="Arial" w:cs="Arial" w:eastAsia="Arial" w:hAnsi="Arial"/>
          <w:sz w:val="18"/>
          <w:szCs w:val="18"/>
          <w:b w:val="1"/>
          <w:bCs w:val="1"/>
          <w:color w:val="auto"/>
        </w:rPr>
      </w:pPr>
    </w:p>
    <w:p>
      <w:pPr>
        <w:ind w:left="1080" w:hanging="159"/>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Performance Target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2"/>
          <w:numId w:val="26"/>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Bonuses will accrue under this Plan based on the success of the Combined Ad Sales Division in achieving the Annual OCF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Budget.</w:t>
      </w:r>
    </w:p>
    <w:p>
      <w:pPr>
        <w:spacing w:after="0" w:line="164" w:lineRule="exact"/>
        <w:rPr>
          <w:rFonts w:ascii="Arial" w:cs="Arial" w:eastAsia="Arial" w:hAnsi="Arial"/>
          <w:sz w:val="16"/>
          <w:szCs w:val="16"/>
          <w:color w:val="auto"/>
        </w:rPr>
      </w:pPr>
    </w:p>
    <w:p>
      <w:pPr>
        <w:ind w:firstLine="1492"/>
        <w:spacing w:after="0" w:line="286" w:lineRule="auto"/>
        <w:tabs>
          <w:tab w:leader="none" w:pos="1732" w:val="left"/>
        </w:tabs>
        <w:numPr>
          <w:ilvl w:val="2"/>
          <w:numId w:val="26"/>
        </w:numPr>
        <w:rPr>
          <w:rFonts w:ascii="Arial" w:cs="Arial" w:eastAsia="Arial" w:hAnsi="Arial"/>
          <w:sz w:val="16"/>
          <w:szCs w:val="16"/>
          <w:color w:val="auto"/>
        </w:rPr>
      </w:pPr>
      <w:r>
        <w:rPr>
          <w:rFonts w:ascii="Arial" w:cs="Arial" w:eastAsia="Arial" w:hAnsi="Arial"/>
          <w:sz w:val="16"/>
          <w:szCs w:val="16"/>
          <w:u w:val="single" w:color="auto"/>
          <w:color w:val="auto"/>
        </w:rPr>
        <w:t>Adjustment of Performance Target</w:t>
      </w:r>
      <w:r>
        <w:rPr>
          <w:rFonts w:ascii="Arial" w:cs="Arial" w:eastAsia="Arial" w:hAnsi="Arial"/>
          <w:sz w:val="16"/>
          <w:szCs w:val="16"/>
          <w:color w:val="auto"/>
        </w:rPr>
        <w:t>. From time to time, the Committee may make adjustments to the measurement of the Achievement Percentage (or any component thereof) so that required departures from the Company’s operating budget, changes in accounting principles, acquisitions, dispositions, mergers, consolidations and other similar transactions, and other factors influencing performance or its measurement do not affect the operation of this Plan in a manner inconsistent with its intended purpose. Except as otherwise provided by the Committee, for purposes of calculating the Achievement Percentage in the event there is a significant acquisition or disposition of any assets, business division or other business operations of the Ad Sales Division that is reasonably expected to have an effect on Operating Cash Flow (or any component thereof) as otherwise determined under the terms of the Plan, the Annual OCF Budget (or any component thereof) shall be adjusted to take into account the impact of such acquisition or disposition by increasing or decreasing such goal in the same proportion as Operating Cash Flow (or any component thereof) would have been affected for the applicable performance measurement period on a pro forma basis had such an acquisition or disposition been taken into account in developing the Annual OCF Budget (or any component thereof); provided further than such adjustment shall be based upon the historical equivalent of cash flow of the assets so acquired or disposed of, as shown by such records as are available to the Company, as further adjusted to reflect any aspects of the transaction that should be taken into account to ensure comparability between historical cash flow performance of the affected assets and the current performance measurement period.</w:t>
      </w:r>
    </w:p>
    <w:p>
      <w:pPr>
        <w:spacing w:after="0" w:line="124" w:lineRule="exact"/>
        <w:rPr>
          <w:rFonts w:ascii="Arial" w:cs="Arial" w:eastAsia="Arial" w:hAnsi="Arial"/>
          <w:sz w:val="16"/>
          <w:szCs w:val="16"/>
          <w:color w:val="auto"/>
        </w:rPr>
      </w:pPr>
    </w:p>
    <w:p>
      <w:pPr>
        <w:ind w:right="260" w:firstLine="921"/>
        <w:spacing w:after="0" w:line="259" w:lineRule="auto"/>
        <w:tabs>
          <w:tab w:leader="none" w:pos="1088"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Selection of Participants; Change in Participant Classification</w:t>
      </w:r>
      <w:r>
        <w:rPr>
          <w:rFonts w:ascii="Arial" w:cs="Arial" w:eastAsia="Arial" w:hAnsi="Arial"/>
          <w:sz w:val="18"/>
          <w:szCs w:val="18"/>
          <w:color w:val="auto"/>
        </w:rPr>
        <w:t>. Participants will be selected by the Committee from time to time. Except as otherwise provided by the Committee, at the time of selection, the Committee will designate each Participant as a Class A, Class B or Class C Participant. The Committee will further distinguish each Class 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3" w:name="page44"/>
    <w:bookmarkEnd w:id="4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by specifying whether his or her Target Bonus will be $200,000, $125,000, $100,000, $75,000, $50,000, $40,000, $25,000, $15,000 or such other amount as shall be determined by the Committee for each Plan Year. A Participant may be selected after the start of any Award Cycle but will not accrue any amount under this Plan with respect to a Plan Year completed prior to his or her selection as a Participant. In addition, the Committee may change a Participant’s classification (and, with respect to Class C Participants, his or her Target Bonus) and add or eliminate classifications at any time with respect to Plan Years beginning after the date of such change.</w:t>
      </w:r>
    </w:p>
    <w:p>
      <w:pPr>
        <w:spacing w:after="0" w:line="143" w:lineRule="exact"/>
        <w:rPr>
          <w:sz w:val="20"/>
          <w:szCs w:val="20"/>
          <w:color w:val="auto"/>
        </w:rPr>
      </w:pPr>
    </w:p>
    <w:p>
      <w:pPr>
        <w:ind w:right="40" w:firstLine="913"/>
        <w:spacing w:after="0" w:line="312"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Measurement of Performance; Accrual of Bonus</w:t>
      </w:r>
      <w:r>
        <w:rPr>
          <w:rFonts w:ascii="Arial" w:cs="Arial" w:eastAsia="Arial" w:hAnsi="Arial"/>
          <w:sz w:val="15"/>
          <w:szCs w:val="15"/>
          <w:color w:val="auto"/>
        </w:rPr>
        <w:t>. Following the end of each Plan Year, the Committee will determine the Achievement Percentage with respect to that Plan Year. Based on the Achievement Percentage determined by the Committee with respect to that Plan Year, each Participant will accrue a bonus equal to the amount specified in the bonus chart adopted by the Committee (the “Addendum”) for each Award Cycle. If the precise Achievement Percentage is not specified in the Addendum, the actual bonus amounts accrued will be determined by interpolating (on a straight-line basis) between the bonus amounts corresponding to the closest two Achievement Percentages that are specified. For the Plan Year commencing January 1, 2010 (which is the first Plan Year in the Award Cycle that commenced January 1, 2010), the Addendum is included in Exhibit A to the Plan. For the Plan Year commencing January 1, 2011 (which is the second Plan Year in the Award Cycle that commenced January 1, 2010), the Addendum is included in Exhibit B to the Plan.</w:t>
      </w:r>
    </w:p>
    <w:p>
      <w:pPr>
        <w:spacing w:after="0" w:line="10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Interest Crediting</w:t>
      </w:r>
      <w:r>
        <w:rPr>
          <w:rFonts w:ascii="Arial" w:cs="Arial" w:eastAsia="Arial" w:hAnsi="Arial"/>
          <w:sz w:val="18"/>
          <w:szCs w:val="18"/>
          <w:color w:val="auto"/>
        </w:rPr>
        <w:t>. Accrued Bonuses will be credited with interest at an annual rate equal to the rate generally applicable to deferrals by active employees under the Comcast Corporation 2005 Deferred Compensation Plan, as amended from time to time, or any successor non-qualified deferred compensation plan. For purposes of this calculation, the bonuses accrued with respect to any Plan Year will be deemed to have accrued 90 days following the end of that Plan Year (or, with respect to an accrual described in Paragraph 5(c) or Paragraph 6(a), on the effective date of the termination of the Plan or termination of employment giving rise to such accrual).</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PAYMENT.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 General</w:t>
      </w:r>
      <w:r>
        <w:rPr>
          <w:rFonts w:ascii="Arial" w:cs="Arial" w:eastAsia="Arial" w:hAnsi="Arial"/>
          <w:sz w:val="18"/>
          <w:szCs w:val="18"/>
          <w:color w:val="auto"/>
        </w:rPr>
        <w:t>.</w:t>
      </w:r>
    </w:p>
    <w:p>
      <w:pPr>
        <w:spacing w:after="0" w:line="171" w:lineRule="exact"/>
        <w:rPr>
          <w:sz w:val="20"/>
          <w:szCs w:val="20"/>
          <w:color w:val="auto"/>
        </w:rPr>
      </w:pPr>
    </w:p>
    <w:p>
      <w:pPr>
        <w:ind w:right="180" w:firstLine="921"/>
        <w:spacing w:after="0" w:line="268" w:lineRule="auto"/>
        <w:tabs>
          <w:tab w:leader="none" w:pos="116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Plan Bonuses Not Eligible for Deferred Compensation</w:t>
      </w:r>
      <w:r>
        <w:rPr>
          <w:rFonts w:ascii="Arial" w:cs="Arial" w:eastAsia="Arial" w:hAnsi="Arial"/>
          <w:sz w:val="18"/>
          <w:szCs w:val="18"/>
          <w:color w:val="auto"/>
        </w:rPr>
        <w:t>. Compensation payable under the Plan shall not be treated as “compensation” eligible to be deferred by any Participant under the Comcast Corporation Deferred Compensation Plan or any successor plan</w:t>
      </w:r>
    </w:p>
    <w:p>
      <w:pPr>
        <w:spacing w:after="0" w:line="131" w:lineRule="exact"/>
        <w:rPr>
          <w:rFonts w:ascii="Arial" w:cs="Arial" w:eastAsia="Arial" w:hAnsi="Arial"/>
          <w:sz w:val="18"/>
          <w:szCs w:val="18"/>
          <w:color w:val="auto"/>
        </w:rPr>
      </w:pPr>
    </w:p>
    <w:p>
      <w:pPr>
        <w:ind w:right="80" w:firstLine="921"/>
        <w:spacing w:after="0" w:line="255" w:lineRule="auto"/>
        <w:tabs>
          <w:tab w:leader="none" w:pos="1161"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Payment Dates</w:t>
      </w:r>
      <w:r>
        <w:rPr>
          <w:rFonts w:ascii="Arial" w:cs="Arial" w:eastAsia="Arial" w:hAnsi="Arial"/>
          <w:sz w:val="18"/>
          <w:szCs w:val="18"/>
          <w:color w:val="auto"/>
        </w:rPr>
        <w:t>. Effective for each two-year Award Cycle commencing January 1, 2010 (and January 1st of each even-numbered Plan Year commencing on and after January 1, 2010), each Participant who is actively and continuously employed by the Company from the first day of the Award Cycle (January 1, 2010 for the Third Award Cycle) through the last day of the Award Cycle (December 31, 2011 for the Third Award Cycle) (and whose employment is not terminated for Cause on or before the payment date) will become entitled to payment of 100 percent of his or her Accrued Bonuses with respect to such Award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4" w:name="page45"/>
    <w:bookmarkEnd w:id="44"/>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Cycle. On or before March 15 of the calendar year following the end of the Award Cycle (March 15, 2012 for the Third Award Cycle), the Company will make a lump sum cash payment to each such Participant equal to 100 percent of his or her Accrued Bonuses (as determined through the last day of the Award Cycle) for that Award Cycle (December 31, 2011 for the Third Award Cycle).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w:t>
      </w:r>
    </w:p>
    <w:p>
      <w:pPr>
        <w:spacing w:after="0" w:line="171" w:lineRule="exact"/>
        <w:rPr>
          <w:sz w:val="20"/>
          <w:szCs w:val="20"/>
          <w:color w:val="auto"/>
        </w:rPr>
      </w:pPr>
    </w:p>
    <w:p>
      <w:pPr>
        <w:ind w:right="80" w:firstLine="1492"/>
        <w:spacing w:after="0" w:line="259" w:lineRule="auto"/>
        <w:tabs>
          <w:tab w:leader="none" w:pos="173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Except as otherwise provided below in this Paragraph 5(b) or in Paragraph 6, a Participant whose employment with the Company terminates prior to the last day of any Award Cycle will forfeit his or her Accrued Bonuses for that Award Cycle. Forfeited amounts will not be subject to reinstatement, even if the Participant is reemployed prior to the end of the Award Cycle.</w:t>
      </w:r>
    </w:p>
    <w:p>
      <w:pPr>
        <w:spacing w:after="0" w:line="140" w:lineRule="exact"/>
        <w:rPr>
          <w:rFonts w:ascii="Arial" w:cs="Arial" w:eastAsia="Arial" w:hAnsi="Arial"/>
          <w:sz w:val="18"/>
          <w:szCs w:val="18"/>
          <w:color w:val="auto"/>
        </w:rPr>
      </w:pPr>
    </w:p>
    <w:p>
      <w:pPr>
        <w:ind w:right="20" w:firstLine="1492"/>
        <w:spacing w:after="0" w:line="288" w:lineRule="auto"/>
        <w:tabs>
          <w:tab w:leader="none" w:pos="1732"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Death; Disability; Retirement</w:t>
      </w:r>
      <w:r>
        <w:rPr>
          <w:rFonts w:ascii="Arial" w:cs="Arial" w:eastAsia="Arial" w:hAnsi="Arial"/>
          <w:sz w:val="16"/>
          <w:szCs w:val="16"/>
          <w:color w:val="auto"/>
        </w:rPr>
        <w:t>. If a Participant experiences a Special Payment Event, he or she will accrue a bonus for the Plan Year in which that Special Payment Event occurs equal to the product of (A) his or her Target Bonus for the Plan Year in which the Special Payment Event occurs, multiplied by (B) a fraction, the numerator of which will be the number of days in the Plan Year transpired prior to the Special Payment Event, and the denominator of which will be 365. If a Participant experiences a Special Payment Event in the first Plan year of an Award Cycle, the pro-rated Accrued Bonus for the Plan Year in which the Special Payment Event occurs shall be paid in a cash lump sum on or before March 15</w:t>
      </w:r>
      <w:r>
        <w:rPr>
          <w:rFonts w:ascii="Arial" w:cs="Arial" w:eastAsia="Arial" w:hAnsi="Arial"/>
          <w:sz w:val="10"/>
          <w:szCs w:val="10"/>
          <w:color w:val="auto"/>
        </w:rPr>
        <w:t>th</w:t>
      </w:r>
      <w:r>
        <w:rPr>
          <w:rFonts w:ascii="Arial" w:cs="Arial" w:eastAsia="Arial" w:hAnsi="Arial"/>
          <w:sz w:val="16"/>
          <w:szCs w:val="16"/>
          <w:color w:val="auto"/>
        </w:rPr>
        <w:t xml:space="preserve"> following the end of the Plan Year in which the Special Payment Event Occurs. If a Participant experiences a Special Payment Event in the second Plan Year of an Award Cycle, sum of (i) the Participant’s Accrued Bonus for the first Plan Year of the Award Cycle plus the pro-rated Accrued Bonus for the Plan Year in which the Special Payment Event occurs shall be paid in a cash lump sum on or before March 15</w:t>
      </w:r>
      <w:r>
        <w:rPr>
          <w:rFonts w:ascii="Arial" w:cs="Arial" w:eastAsia="Arial" w:hAnsi="Arial"/>
          <w:sz w:val="10"/>
          <w:szCs w:val="10"/>
          <w:color w:val="auto"/>
        </w:rPr>
        <w:t>th</w:t>
      </w:r>
      <w:r>
        <w:rPr>
          <w:rFonts w:ascii="Arial" w:cs="Arial" w:eastAsia="Arial" w:hAnsi="Arial"/>
          <w:sz w:val="16"/>
          <w:szCs w:val="16"/>
          <w:color w:val="auto"/>
        </w:rPr>
        <w:t xml:space="preserve"> following the end of the Plan Year in which the Special Payment Event occurs. Such payment will constitute a full and complete satisfaction of that Participant’s rights under this Plan.</w:t>
      </w:r>
    </w:p>
    <w:p>
      <w:pPr>
        <w:spacing w:after="0" w:line="119" w:lineRule="exact"/>
        <w:rPr>
          <w:rFonts w:ascii="Arial" w:cs="Arial" w:eastAsia="Arial" w:hAnsi="Arial"/>
          <w:sz w:val="16"/>
          <w:szCs w:val="16"/>
          <w:color w:val="auto"/>
        </w:rPr>
      </w:pPr>
    </w:p>
    <w:p>
      <w:pPr>
        <w:ind w:firstLine="1492"/>
        <w:spacing w:after="0" w:line="290" w:lineRule="auto"/>
        <w:tabs>
          <w:tab w:leader="none" w:pos="1732"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Transfer to Affiliate</w:t>
      </w:r>
      <w:r>
        <w:rPr>
          <w:rFonts w:ascii="Arial" w:cs="Arial" w:eastAsia="Arial" w:hAnsi="Arial"/>
          <w:sz w:val="16"/>
          <w:szCs w:val="16"/>
          <w:color w:val="auto"/>
        </w:rPr>
        <w:t>. If a Participant’s employment by the Company ceases due to a transfer of employment to an Affiliate, he or she will accrue a bonus for the Plan Year in which the transfer occurs equal to the product of (A) the bonus accrued by that Participant with respect to the preceding Plan Year (or his or her Target Bonus for the Plan Year in which the transfer occurs, if that year is the Participant’s first year of participation in the Plan or the first Plan Year of an Award Cycle), multiplied by (B) a fraction, the numerator of which will be the number of days in the Plan Year transpired prior to the cessation of employment, and the denominator of which will be 365. Thereafter, the Participant will accrue no further bonuses under this Plan, but will be entitled to a distribution of his Accrued Bonuses in accordance with Paragraph 5(a). Pending that distribution, the Participant’s Accrued Bonuses will continue to be credited with interest in accordance with Paragraph 4(e), so long as that Participant remains employed by an Affiliate.</w:t>
      </w:r>
    </w:p>
    <w:p>
      <w:pPr>
        <w:spacing w:after="0" w:line="118" w:lineRule="exact"/>
        <w:rPr>
          <w:rFonts w:ascii="Arial" w:cs="Arial" w:eastAsia="Arial" w:hAnsi="Arial"/>
          <w:sz w:val="16"/>
          <w:szCs w:val="16"/>
          <w:color w:val="auto"/>
        </w:rPr>
      </w:pPr>
    </w:p>
    <w:p>
      <w:pPr>
        <w:ind w:right="520" w:firstLine="921"/>
        <w:spacing w:after="0" w:line="259" w:lineRule="auto"/>
        <w:tabs>
          <w:tab w:leader="none" w:pos="107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r>
        <w:rPr>
          <w:rFonts w:ascii="Arial" w:cs="Arial" w:eastAsia="Arial" w:hAnsi="Arial"/>
          <w:sz w:val="18"/>
          <w:szCs w:val="18"/>
          <w:color w:val="auto"/>
        </w:rPr>
        <w:t>. Upon the effective date of action taken by the Board or the Committee to terminate this Plan, each Participant then actively employed by the Company will accrue a bonus with respect to the Plan Year of termination equal to the product of (A) the bonus accrued by the Participant with respect to the preceding Plan Year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5" w:name="page46"/>
    <w:bookmarkEnd w:id="4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 or her Target Bonus for the Plan Year in which the termination occurs, if that year is the Participant’s first year of participation in the Plan or the first Plan Year of an Award Cycle), multiplied by (B) a fraction, the numerator of which will be the number of days in the Plan Year transpired prior to the effective date of the termination, and the denominator of which will be 365. In addition, each such Participant will receive payment of his or her Accrued Bonuses (determined immediately after the accrual described in the preceding sentence) in a cash lump sum within 30 days following the effective date of the termination. Such payment will constitute a full and complete satisfaction of that Participant’s rights under this Plan. For this purpose, a change in the method pursuant to which amounts payable under the Plan are determined shall not be treated as a termination of the Plan.</w:t>
      </w:r>
    </w:p>
    <w:p>
      <w:pPr>
        <w:spacing w:after="0" w:line="114" w:lineRule="exact"/>
        <w:rPr>
          <w:sz w:val="20"/>
          <w:szCs w:val="20"/>
          <w:color w:val="auto"/>
        </w:rPr>
      </w:pPr>
    </w:p>
    <w:p>
      <w:pPr>
        <w:ind w:firstLine="464"/>
        <w:spacing w:after="0" w:line="258" w:lineRule="auto"/>
        <w:tabs>
          <w:tab w:leader="none" w:pos="63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If a Change in Control occurs and a Participant’s employment thereafter ceases during the same Award Cycle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due to death, Disability, Retirement or transfer to an Affiliate), then notwithstanding any contrary provision of this Plan, that Participant’s rights will be determined in accordance with this Paragraph 6. Payment under this Paragraph 6 will constitute a full and complete satisfaction of a Participant’s rights under this Plan.</w:t>
      </w:r>
    </w:p>
    <w:p>
      <w:pPr>
        <w:spacing w:after="0" w:line="142" w:lineRule="exact"/>
        <w:rPr>
          <w:rFonts w:ascii="Arial" w:cs="Arial" w:eastAsia="Arial" w:hAnsi="Arial"/>
          <w:sz w:val="18"/>
          <w:szCs w:val="18"/>
          <w:b w:val="1"/>
          <w:bCs w:val="1"/>
          <w:color w:val="auto"/>
        </w:rPr>
      </w:pPr>
    </w:p>
    <w:p>
      <w:pPr>
        <w:ind w:firstLine="921"/>
        <w:spacing w:after="0" w:line="253" w:lineRule="auto"/>
        <w:tabs>
          <w:tab w:leader="none" w:pos="1079"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and Within One Year</w:t>
      </w:r>
      <w:r>
        <w:rPr>
          <w:rFonts w:ascii="Arial" w:cs="Arial" w:eastAsia="Arial" w:hAnsi="Arial"/>
          <w:sz w:val="18"/>
          <w:szCs w:val="18"/>
          <w:color w:val="auto"/>
        </w:rPr>
        <w:t>. If the cessation of employment is due to a termination by the Company without Cause and occurs within one year following the Change in Control, the Participant will accrue a bonus for the Plan Year of termination equal to the product of (A) the bonus accrued by the Participant with respect to the preceding Plan Year (or his or her Target Bonus for the Plan Year in which the termination occurs, if that year is the Participant’s first year of participation in the Plan or the first Plan Year of an Award Cycle), multiplied by (B) a fraction, the numerator of which will be the number of days in the Plan Year transpired prior to the termination, and the denominator of which will be 365. In addition, the Participant will receive payment of his or her Accrued Bonuses (determined immediately following the accrual described in the preceding sentence) in a cash lump sum within 30 days following the termination.</w:t>
      </w:r>
    </w:p>
    <w:p>
      <w:pPr>
        <w:spacing w:after="0" w:line="147" w:lineRule="exact"/>
        <w:rPr>
          <w:rFonts w:ascii="Arial" w:cs="Arial" w:eastAsia="Arial" w:hAnsi="Arial"/>
          <w:sz w:val="18"/>
          <w:szCs w:val="18"/>
          <w:color w:val="auto"/>
        </w:rPr>
      </w:pPr>
    </w:p>
    <w:p>
      <w:pPr>
        <w:ind w:firstLine="921"/>
        <w:spacing w:after="0" w:line="254" w:lineRule="auto"/>
        <w:tabs>
          <w:tab w:leader="none" w:pos="108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After One Year; Resignation or Termination for Cause</w:t>
      </w:r>
      <w:r>
        <w:rPr>
          <w:rFonts w:ascii="Arial" w:cs="Arial" w:eastAsia="Arial" w:hAnsi="Arial"/>
          <w:sz w:val="18"/>
          <w:szCs w:val="18"/>
          <w:color w:val="auto"/>
        </w:rPr>
        <w:t>. If the cessation of employment is due to a termination by the Company without Cause more than one year following the Change in Control, or if the cessation of employment is due to termination by the Company for Cause or resignation by the Participant (whether before or after the first anniversary of the Change in Control), the Participant will not accrue any bonus for the Plan Year of the cessation. Instead, the Participant’s Accrued Bonuses for the Award Cycle in which the cessation occurs (i) will be fixed as of the date of the cessation of employment, (ii) will not be credited with any further interest, and (iii) will otherwise be paid at the same time and in the same manner as specified above in Paragraph 5(a).</w:t>
      </w:r>
    </w:p>
    <w:p>
      <w:pPr>
        <w:spacing w:after="0" w:line="144" w:lineRule="exact"/>
        <w:rPr>
          <w:rFonts w:ascii="Arial" w:cs="Arial" w:eastAsia="Arial" w:hAnsi="Arial"/>
          <w:sz w:val="18"/>
          <w:szCs w:val="18"/>
          <w:color w:val="auto"/>
        </w:rPr>
      </w:pPr>
    </w:p>
    <w:p>
      <w:pPr>
        <w:ind w:right="220" w:firstLine="921"/>
        <w:spacing w:after="0" w:line="332" w:lineRule="auto"/>
        <w:tabs>
          <w:tab w:leader="none" w:pos="1079"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Other Terminations</w:t>
      </w:r>
      <w:r>
        <w:rPr>
          <w:rFonts w:ascii="Arial" w:cs="Arial" w:eastAsia="Arial" w:hAnsi="Arial"/>
          <w:sz w:val="16"/>
          <w:szCs w:val="16"/>
          <w:color w:val="auto"/>
        </w:rPr>
        <w:t>. This Paragraph 6 is not intended to alter the treatment of a cessation of employment due to death, Disability, Retirement or transfer to an Affiliate, whether before or after a Change in Control. Those events will in any case be governed by Paragraphs 5(b)(2) and (3), respectively.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46" w:name="page47"/>
    <w:bookmarkEnd w:id="46"/>
    <w:p>
      <w:pPr>
        <w:ind w:left="-20" w:right="620" w:firstLine="464"/>
        <w:spacing w:after="0" w:line="275" w:lineRule="auto"/>
        <w:tabs>
          <w:tab w:leader="none" w:pos="61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AMENDMENT. </w:t>
      </w:r>
      <w:r>
        <w:rPr>
          <w:rFonts w:ascii="Arial" w:cs="Arial" w:eastAsia="Arial" w:hAnsi="Arial"/>
          <w:sz w:val="18"/>
          <w:szCs w:val="18"/>
          <w:color w:val="auto"/>
        </w:rPr>
        <w:t>This Plan may be amended by the Board or the Committee at any time;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no amendment will reduce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Accrued Bonuses without his or her consent.</w:t>
      </w:r>
    </w:p>
    <w:p>
      <w:pPr>
        <w:spacing w:after="0" w:line="119" w:lineRule="exact"/>
        <w:rPr>
          <w:rFonts w:ascii="Arial" w:cs="Arial" w:eastAsia="Arial" w:hAnsi="Arial"/>
          <w:sz w:val="18"/>
          <w:szCs w:val="18"/>
          <w:b w:val="1"/>
          <w:bCs w:val="1"/>
          <w:color w:val="auto"/>
        </w:rPr>
      </w:pPr>
    </w:p>
    <w:p>
      <w:pPr>
        <w:ind w:left="-20" w:firstLine="464"/>
        <w:spacing w:after="0" w:line="275" w:lineRule="auto"/>
        <w:tabs>
          <w:tab w:leader="none" w:pos="61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This Plan may be terminated by the Board at any time. Upon the adoption of a resolution by the Board to terminate this Plan, bonuses</w:t>
      </w:r>
      <w:r>
        <w:rPr>
          <w:rFonts w:ascii="Arial" w:cs="Arial" w:eastAsia="Arial" w:hAnsi="Arial"/>
          <w:sz w:val="18"/>
          <w:szCs w:val="18"/>
          <w:b w:val="1"/>
          <w:bCs w:val="1"/>
          <w:color w:val="auto"/>
        </w:rPr>
        <w:t xml:space="preserve"> </w:t>
      </w:r>
      <w:r>
        <w:rPr>
          <w:rFonts w:ascii="Arial" w:cs="Arial" w:eastAsia="Arial" w:hAnsi="Arial"/>
          <w:sz w:val="18"/>
          <w:szCs w:val="18"/>
          <w:color w:val="auto"/>
        </w:rPr>
        <w:t>will accrue and be paid as specified above in Paragraph 5(c).</w:t>
      </w:r>
    </w:p>
    <w:p>
      <w:pPr>
        <w:spacing w:after="0" w:line="119" w:lineRule="exact"/>
        <w:rPr>
          <w:rFonts w:ascii="Arial" w:cs="Arial" w:eastAsia="Arial" w:hAnsi="Arial"/>
          <w:sz w:val="18"/>
          <w:szCs w:val="18"/>
          <w:b w:val="1"/>
          <w:bCs w:val="1"/>
          <w:color w:val="auto"/>
        </w:rPr>
      </w:pPr>
    </w:p>
    <w:p>
      <w:pPr>
        <w:ind w:left="-20" w:right="180" w:firstLine="464"/>
        <w:spacing w:after="0" w:line="301" w:lineRule="auto"/>
        <w:tabs>
          <w:tab w:leader="none" w:pos="612"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BENEFICIARIES. </w:t>
      </w:r>
      <w:r>
        <w:rPr>
          <w:rFonts w:ascii="Arial" w:cs="Arial" w:eastAsia="Arial" w:hAnsi="Arial"/>
          <w:sz w:val="16"/>
          <w:szCs w:val="16"/>
          <w:color w:val="auto"/>
        </w:rPr>
        <w:t>Each Participant may designate one or more beneficiaries to receive distributions in the event of the Participant’s death by filing</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a beneficiary designation on the form prescribed by the Committee for such purpose. The designation of a beneficiary (or beneficiaries) may be changed by the Participant at any time prior to his or her death by the delivery to the Company of a new beneficiary designation form. If no beneficiary is designated by the Participant, or if no beneficiary survives the Participant, the Participant’s beneficiary will be his or her estate.</w:t>
      </w:r>
    </w:p>
    <w:p>
      <w:pPr>
        <w:spacing w:after="0" w:line="103" w:lineRule="exact"/>
        <w:rPr>
          <w:rFonts w:ascii="Arial" w:cs="Arial" w:eastAsia="Arial" w:hAnsi="Arial"/>
          <w:sz w:val="16"/>
          <w:szCs w:val="16"/>
          <w:b w:val="1"/>
          <w:bCs w:val="1"/>
          <w:color w:val="auto"/>
        </w:rPr>
      </w:pPr>
    </w:p>
    <w:p>
      <w:pPr>
        <w:ind w:left="700" w:hanging="256"/>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77" w:lineRule="exact"/>
        <w:rPr>
          <w:rFonts w:ascii="Arial" w:cs="Arial" w:eastAsia="Arial" w:hAnsi="Arial"/>
          <w:sz w:val="18"/>
          <w:szCs w:val="18"/>
          <w:b w:val="1"/>
          <w:bCs w:val="1"/>
          <w:color w:val="auto"/>
        </w:rPr>
      </w:pPr>
    </w:p>
    <w:p>
      <w:pPr>
        <w:ind w:left="-20" w:right="240" w:firstLine="921"/>
        <w:spacing w:after="0" w:line="259" w:lineRule="auto"/>
        <w:tabs>
          <w:tab w:leader="none" w:pos="105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Special Rules for Negotiated Agreements</w:t>
      </w:r>
      <w:r>
        <w:rPr>
          <w:rFonts w:ascii="Arial" w:cs="Arial" w:eastAsia="Arial" w:hAnsi="Arial"/>
          <w:sz w:val="18"/>
          <w:szCs w:val="18"/>
          <w:color w:val="auto"/>
        </w:rPr>
        <w:t>. The application of any provision of this Plan to a specified Participant may be varied or waived by written agreement between the Company and that Participant, in which case the terms of that written agreement will supersede the terms of this document (but only with respect to the specified Participant).</w:t>
      </w:r>
    </w:p>
    <w:p>
      <w:pPr>
        <w:spacing w:after="0" w:line="140" w:lineRule="exact"/>
        <w:rPr>
          <w:rFonts w:ascii="Arial" w:cs="Arial" w:eastAsia="Arial" w:hAnsi="Arial"/>
          <w:sz w:val="18"/>
          <w:szCs w:val="18"/>
          <w:color w:val="auto"/>
        </w:rPr>
      </w:pPr>
    </w:p>
    <w:p>
      <w:pPr>
        <w:ind w:left="-20" w:right="320" w:firstLine="921"/>
        <w:spacing w:after="0" w:line="268" w:lineRule="auto"/>
        <w:tabs>
          <w:tab w:leader="none" w:pos="106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No Pledge or Assignment</w:t>
      </w:r>
      <w:r>
        <w:rPr>
          <w:rFonts w:ascii="Arial" w:cs="Arial" w:eastAsia="Arial" w:hAnsi="Arial"/>
          <w:sz w:val="18"/>
          <w:szCs w:val="18"/>
          <w:color w:val="auto"/>
        </w:rPr>
        <w:t>. A Participant may not sell, transfer, pledge or assign any amount payable under this Plan (provided that the right to payment may pass by will or the laws of descent and distribution).</w:t>
      </w:r>
    </w:p>
    <w:p>
      <w:pPr>
        <w:spacing w:after="0" w:line="131" w:lineRule="exact"/>
        <w:rPr>
          <w:rFonts w:ascii="Arial" w:cs="Arial" w:eastAsia="Arial" w:hAnsi="Arial"/>
          <w:sz w:val="18"/>
          <w:szCs w:val="18"/>
          <w:color w:val="auto"/>
        </w:rPr>
      </w:pPr>
    </w:p>
    <w:p>
      <w:pPr>
        <w:ind w:left="-20" w:right="520" w:firstLine="921"/>
        <w:spacing w:after="0" w:line="268" w:lineRule="auto"/>
        <w:tabs>
          <w:tab w:leader="none" w:pos="105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Unfunded Arrangement</w:t>
      </w:r>
      <w:r>
        <w:rPr>
          <w:rFonts w:ascii="Arial" w:cs="Arial" w:eastAsia="Arial" w:hAnsi="Arial"/>
          <w:sz w:val="18"/>
          <w:szCs w:val="18"/>
          <w:color w:val="auto"/>
        </w:rPr>
        <w:t>. This Plan is intended to be “unfunded.” With respect to any payment not yet made to a Participant under this Plan, nothing will give such Participant any rights greater than those of a general creditor of the Company.</w:t>
      </w:r>
    </w:p>
    <w:p>
      <w:pPr>
        <w:spacing w:after="0" w:line="131" w:lineRule="exact"/>
        <w:rPr>
          <w:rFonts w:ascii="Arial" w:cs="Arial" w:eastAsia="Arial" w:hAnsi="Arial"/>
          <w:sz w:val="18"/>
          <w:szCs w:val="18"/>
          <w:color w:val="auto"/>
        </w:rPr>
      </w:pPr>
    </w:p>
    <w:p>
      <w:pPr>
        <w:ind w:left="-20" w:right="120" w:firstLine="921"/>
        <w:spacing w:after="0" w:line="268" w:lineRule="auto"/>
        <w:tabs>
          <w:tab w:leader="none" w:pos="106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This Plan does not confer upon any Participant any right to continue in employment or limit in any way the right of the Company or any Affiliate to discharge any Participant at any time, for any reason.</w:t>
      </w:r>
    </w:p>
    <w:p>
      <w:pPr>
        <w:spacing w:after="0" w:line="131" w:lineRule="exact"/>
        <w:rPr>
          <w:rFonts w:ascii="Arial" w:cs="Arial" w:eastAsia="Arial" w:hAnsi="Arial"/>
          <w:sz w:val="18"/>
          <w:szCs w:val="18"/>
          <w:color w:val="auto"/>
        </w:rPr>
      </w:pPr>
    </w:p>
    <w:p>
      <w:pPr>
        <w:ind w:left="-20" w:right="540" w:firstLine="921"/>
        <w:spacing w:after="0" w:line="268" w:lineRule="auto"/>
        <w:tabs>
          <w:tab w:leader="none" w:pos="105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amounts payable under this Plan will be subject to tax withholding in accordance with the Company’s normal payroll practices, as in effect from time to time.</w:t>
      </w:r>
    </w:p>
    <w:p>
      <w:pPr>
        <w:spacing w:after="0" w:line="131" w:lineRule="exact"/>
        <w:rPr>
          <w:rFonts w:ascii="Arial" w:cs="Arial" w:eastAsia="Arial" w:hAnsi="Arial"/>
          <w:sz w:val="18"/>
          <w:szCs w:val="18"/>
          <w:color w:val="auto"/>
        </w:rPr>
      </w:pPr>
    </w:p>
    <w:p>
      <w:pPr>
        <w:ind w:left="1040" w:hanging="139"/>
        <w:spacing w:after="0"/>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Paragraph Headings</w:t>
      </w:r>
      <w:r>
        <w:rPr>
          <w:rFonts w:ascii="Arial" w:cs="Arial" w:eastAsia="Arial" w:hAnsi="Arial"/>
          <w:sz w:val="16"/>
          <w:szCs w:val="16"/>
          <w:color w:val="auto"/>
        </w:rPr>
        <w:t>. The paragraph headings in this Plan are for convenience only and are not intended to affect the interpretation of this Plan.</w:t>
      </w:r>
    </w:p>
    <w:p>
      <w:pPr>
        <w:spacing w:after="0" w:line="194" w:lineRule="exact"/>
        <w:rPr>
          <w:rFonts w:ascii="Arial" w:cs="Arial" w:eastAsia="Arial" w:hAnsi="Arial"/>
          <w:sz w:val="16"/>
          <w:szCs w:val="16"/>
          <w:color w:val="auto"/>
        </w:rPr>
      </w:pPr>
    </w:p>
    <w:p>
      <w:pPr>
        <w:ind w:left="-20" w:right="120" w:firstLine="921"/>
        <w:spacing w:after="0" w:line="268" w:lineRule="auto"/>
        <w:tabs>
          <w:tab w:leader="none" w:pos="106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determinations made and actions taken pursuant to the Plan shall be governed in accordance with Pennsylvania law, without regard to the application of the principles of conflicts of laws.</w:t>
      </w:r>
    </w:p>
    <w:p>
      <w:pPr>
        <w:spacing w:after="0" w:line="132" w:lineRule="exact"/>
        <w:rPr>
          <w:sz w:val="20"/>
          <w:szCs w:val="20"/>
          <w:color w:val="auto"/>
        </w:rPr>
      </w:pPr>
    </w:p>
    <w:p>
      <w:pPr>
        <w:ind w:left="440"/>
        <w:spacing w:after="0"/>
        <w:tabs>
          <w:tab w:leader="none" w:pos="1980" w:val="left"/>
          <w:tab w:leader="none" w:pos="3700" w:val="left"/>
        </w:tabs>
        <w:rPr>
          <w:sz w:val="20"/>
          <w:szCs w:val="20"/>
          <w:color w:val="auto"/>
        </w:rPr>
      </w:pPr>
      <w:r>
        <w:rPr>
          <w:rFonts w:ascii="Arial" w:cs="Arial" w:eastAsia="Arial" w:hAnsi="Arial"/>
          <w:sz w:val="18"/>
          <w:szCs w:val="18"/>
          <w:color w:val="auto"/>
        </w:rPr>
        <w:t>Executed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-13970</wp:posOffset>
            </wp:positionV>
            <wp:extent cx="14522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224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47" w:name="page48"/>
    <w:bookmarkEnd w:id="47"/>
    <w:p>
      <w:pPr>
        <w:ind w:left="4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19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 David L. Cohen</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ATTEST: /s/ Arthur R. Block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280"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July 23, 2010)</w:t>
      </w:r>
    </w:p>
    <w:p>
      <w:pPr>
        <w:spacing w:after="0" w:line="17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96" w:lineRule="exact"/>
        <w:rPr>
          <w:rFonts w:ascii="Arial" w:cs="Arial" w:eastAsia="Arial" w:hAnsi="Arial"/>
          <w:sz w:val="18"/>
          <w:szCs w:val="18"/>
          <w:b w:val="1"/>
          <w:bCs w:val="1"/>
          <w:color w:val="auto"/>
        </w:rPr>
      </w:pPr>
    </w:p>
    <w:p>
      <w:pPr>
        <w:ind w:right="100" w:firstLine="464"/>
        <w:spacing w:after="0" w:line="268" w:lineRule="auto"/>
        <w:tabs>
          <w:tab w:leader="none" w:pos="69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July 23, 2010.</w:t>
      </w:r>
    </w:p>
    <w:p>
      <w:pPr>
        <w:spacing w:after="0" w:line="131" w:lineRule="exact"/>
        <w:rPr>
          <w:rFonts w:ascii="Arial" w:cs="Arial" w:eastAsia="Arial" w:hAnsi="Arial"/>
          <w:sz w:val="18"/>
          <w:szCs w:val="18"/>
          <w:color w:val="auto"/>
        </w:rPr>
      </w:pPr>
    </w:p>
    <w:p>
      <w:pPr>
        <w:ind w:right="140" w:firstLine="464"/>
        <w:spacing w:after="0" w:line="259" w:lineRule="auto"/>
        <w:tabs>
          <w:tab w:leader="none" w:pos="70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215" w:lineRule="exact"/>
        <w:rPr>
          <w:rFonts w:ascii="Arial" w:cs="Arial" w:eastAsia="Arial" w:hAnsi="Arial"/>
          <w:sz w:val="18"/>
          <w:szCs w:val="18"/>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rFonts w:ascii="Arial" w:cs="Arial" w:eastAsia="Arial" w:hAnsi="Arial"/>
          <w:sz w:val="18"/>
          <w:szCs w:val="18"/>
          <w:b w:val="1"/>
          <w:bCs w:val="1"/>
          <w:color w:val="auto"/>
        </w:rPr>
      </w:pPr>
    </w:p>
    <w:p>
      <w:pPr>
        <w:ind w:right="120" w:firstLine="464"/>
        <w:spacing w:after="0" w:line="256" w:lineRule="auto"/>
        <w:tabs>
          <w:tab w:leader="none" w:pos="6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100" w:firstLine="464"/>
        <w:spacing w:after="0" w:line="268" w:lineRule="auto"/>
        <w:tabs>
          <w:tab w:leader="none" w:pos="7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171" w:lineRule="exact"/>
        <w:rPr>
          <w:rFonts w:ascii="Arial" w:cs="Arial" w:eastAsia="Arial" w:hAnsi="Arial"/>
          <w:sz w:val="18"/>
          <w:szCs w:val="18"/>
          <w:color w:val="auto"/>
        </w:rPr>
      </w:pPr>
    </w:p>
    <w:p>
      <w:pPr>
        <w:ind w:right="100" w:firstLine="464"/>
        <w:spacing w:after="0" w:line="255" w:lineRule="auto"/>
        <w:tabs>
          <w:tab w:leader="none" w:pos="6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42" w:lineRule="exact"/>
        <w:rPr>
          <w:rFonts w:ascii="Arial" w:cs="Arial" w:eastAsia="Arial" w:hAnsi="Arial"/>
          <w:sz w:val="18"/>
          <w:szCs w:val="18"/>
          <w:color w:val="auto"/>
        </w:rPr>
      </w:pPr>
    </w:p>
    <w:p>
      <w:pPr>
        <w:ind w:right="320" w:firstLine="464"/>
        <w:spacing w:after="0" w:line="268" w:lineRule="auto"/>
        <w:tabs>
          <w:tab w:leader="none" w:pos="676"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Sponsor such that such</w:t>
      </w:r>
    </w:p>
    <w:p>
      <w:pPr>
        <w:sectPr>
          <w:pgSz w:w="11900" w:h="16838" w:orient="portrait"/>
          <w:cols w:equalWidth="0" w:num="1">
            <w:col w:w="11420"/>
          </w:cols>
          <w:pgMar w:left="240" w:top="125" w:right="239" w:bottom="1440" w:gutter="0" w:footer="0" w:header="0"/>
        </w:sectPr>
      </w:pPr>
    </w:p>
    <w:bookmarkStart w:id="49" w:name="page50"/>
    <w:bookmarkEnd w:id="49"/>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85" w:lineRule="exact"/>
        <w:rPr>
          <w:sz w:val="20"/>
          <w:szCs w:val="20"/>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right="20" w:firstLine="464"/>
        <w:spacing w:after="0" w:line="306"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Plan</w:t>
      </w:r>
      <w:r>
        <w:rPr>
          <w:rFonts w:ascii="Arial" w:cs="Arial" w:eastAsia="Arial" w:hAnsi="Arial"/>
          <w:sz w:val="16"/>
          <w:szCs w:val="16"/>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Board with respect to any Option granted to or held by a Non-Employee Director; and</w:t>
      </w:r>
    </w:p>
    <w:p>
      <w:pPr>
        <w:spacing w:after="0" w:line="50" w:lineRule="exact"/>
        <w:rPr>
          <w:rFonts w:ascii="Arial" w:cs="Arial" w:eastAsia="Arial" w:hAnsi="Arial"/>
          <w:sz w:val="18"/>
          <w:szCs w:val="18"/>
          <w:color w:val="auto"/>
        </w:rPr>
      </w:pPr>
    </w:p>
    <w:p>
      <w:pPr>
        <w:ind w:left="1480" w:right="340" w:hanging="567"/>
        <w:spacing w:after="0" w:line="268"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any Incentive Stock Option, a disability within the meaning of section 22(e)(3) of the Code.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any Non-Qualified Option:</w:t>
      </w:r>
    </w:p>
    <w:p>
      <w:pPr>
        <w:spacing w:after="0" w:line="90" w:lineRule="exact"/>
        <w:rPr>
          <w:rFonts w:ascii="Arial" w:cs="Arial" w:eastAsia="Arial" w:hAnsi="Arial"/>
          <w:sz w:val="18"/>
          <w:szCs w:val="18"/>
          <w:color w:val="auto"/>
        </w:rPr>
      </w:pPr>
    </w:p>
    <w:p>
      <w:pPr>
        <w:ind w:left="1920" w:hanging="440"/>
        <w:spacing w:after="0" w:line="259" w:lineRule="auto"/>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 Optionee’s substantially inability to perform the Optionee’s employment duties due to partial or total disability or incapacity resulting from a mental or physical illness, injury or other health-related cause for a period of twelve (12) consecutive months or for a cumulative period of fifty-two (52) weeks in any two calendar year period; or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50" w:name="page51"/>
    <w:bookmarkEnd w:id="50"/>
    <w:p>
      <w:pPr>
        <w:ind w:left="1900" w:right="500" w:hanging="440"/>
        <w:spacing w:after="0" w:line="268" w:lineRule="auto"/>
        <w:tabs>
          <w:tab w:leader="none" w:pos="1900" w:val="left"/>
        </w:tabs>
        <w:numPr>
          <w:ilvl w:val="2"/>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different from the definition in Paragraph 2(m)(i)(A) above, “Disability” as it may be defined in such Optionee’s employment agreement between the Optionee and the Sponsor or an Affiliate, if any.</w:t>
      </w:r>
    </w:p>
    <w:p>
      <w:pPr>
        <w:spacing w:after="0" w:line="131" w:lineRule="exact"/>
        <w:rPr>
          <w:rFonts w:ascii="Arial" w:cs="Arial" w:eastAsia="Arial" w:hAnsi="Arial"/>
          <w:sz w:val="18"/>
          <w:szCs w:val="18"/>
          <w:color w:val="auto"/>
        </w:rPr>
      </w:pPr>
    </w:p>
    <w:p>
      <w:pPr>
        <w:ind w:left="-20" w:firstLine="464"/>
        <w:spacing w:after="0" w:line="294"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15" w:lineRule="exact"/>
        <w:rPr>
          <w:rFonts w:ascii="Arial" w:cs="Arial" w:eastAsia="Arial" w:hAnsi="Arial"/>
          <w:sz w:val="16"/>
          <w:szCs w:val="16"/>
          <w:color w:val="auto"/>
        </w:rPr>
      </w:pPr>
    </w:p>
    <w:p>
      <w:pPr>
        <w:ind w:left="-20" w:right="60" w:firstLine="464"/>
        <w:spacing w:after="0" w:line="268"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31" w:lineRule="exact"/>
        <w:rPr>
          <w:rFonts w:ascii="Arial" w:cs="Arial" w:eastAsia="Arial" w:hAnsi="Arial"/>
          <w:sz w:val="18"/>
          <w:szCs w:val="18"/>
          <w:color w:val="auto"/>
        </w:rPr>
      </w:pPr>
    </w:p>
    <w:p>
      <w:pPr>
        <w:ind w:left="-20" w:right="60" w:firstLine="464"/>
        <w:spacing w:after="0" w:line="298" w:lineRule="auto"/>
        <w:tabs>
          <w:tab w:leader="none" w:pos="6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12" w:lineRule="exact"/>
        <w:rPr>
          <w:rFonts w:ascii="Arial" w:cs="Arial" w:eastAsia="Arial" w:hAnsi="Arial"/>
          <w:sz w:val="16"/>
          <w:szCs w:val="16"/>
          <w:color w:val="auto"/>
        </w:rPr>
      </w:pPr>
    </w:p>
    <w:p>
      <w:pPr>
        <w:ind w:left="-20" w:right="80" w:firstLine="464"/>
        <w:spacing w:after="0" w:line="268"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131" w:lineRule="exact"/>
        <w:rPr>
          <w:rFonts w:ascii="Arial" w:cs="Arial" w:eastAsia="Arial" w:hAnsi="Arial"/>
          <w:sz w:val="18"/>
          <w:szCs w:val="18"/>
          <w:color w:val="auto"/>
        </w:rPr>
      </w:pPr>
    </w:p>
    <w:p>
      <w:pPr>
        <w:ind w:left="660" w:hanging="21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40" w:hanging="567"/>
        <w:spacing w:after="0" w:line="268"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50" w:lineRule="exact"/>
        <w:rPr>
          <w:rFonts w:ascii="Arial" w:cs="Arial" w:eastAsia="Arial" w:hAnsi="Arial"/>
          <w:sz w:val="18"/>
          <w:szCs w:val="18"/>
          <w:color w:val="auto"/>
        </w:rPr>
      </w:pPr>
    </w:p>
    <w:p>
      <w:pPr>
        <w:ind w:left="1460" w:right="440" w:hanging="567"/>
        <w:spacing w:after="0" w:line="332" w:lineRule="auto"/>
        <w:tabs>
          <w:tab w:leader="none" w:pos="14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85" w:lineRule="exact"/>
        <w:rPr>
          <w:rFonts w:ascii="Arial" w:cs="Arial" w:eastAsia="Arial" w:hAnsi="Arial"/>
          <w:sz w:val="16"/>
          <w:szCs w:val="16"/>
          <w:color w:val="auto"/>
        </w:rPr>
      </w:pPr>
    </w:p>
    <w:p>
      <w:pPr>
        <w:ind w:left="680" w:hanging="236"/>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51" w:name="page52"/>
    <w:bookmarkEnd w:id="51"/>
    <w:p>
      <w:pPr>
        <w:ind w:left="660" w:hanging="21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171" w:lineRule="exact"/>
        <w:rPr>
          <w:rFonts w:ascii="Arial" w:cs="Arial" w:eastAsia="Arial" w:hAnsi="Arial"/>
          <w:sz w:val="18"/>
          <w:szCs w:val="18"/>
          <w:color w:val="auto"/>
        </w:rPr>
      </w:pPr>
    </w:p>
    <w:p>
      <w:pPr>
        <w:ind w:left="-20" w:right="320" w:firstLine="464"/>
        <w:spacing w:after="0" w:line="268"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an Option has been granted under the Plan, which Option has not been exercised in full and has not expired or terminated.</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460" w:right="300" w:hanging="567"/>
        <w:spacing w:after="0" w:line="259"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59" w:lineRule="exact"/>
        <w:rPr>
          <w:rFonts w:ascii="Arial" w:cs="Arial" w:eastAsia="Arial" w:hAnsi="Arial"/>
          <w:sz w:val="18"/>
          <w:szCs w:val="18"/>
          <w:color w:val="auto"/>
        </w:rPr>
      </w:pPr>
    </w:p>
    <w:p>
      <w:pPr>
        <w:ind w:left="1460" w:hanging="56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900" w:right="280" w:hanging="440"/>
        <w:spacing w:after="0" w:line="268" w:lineRule="auto"/>
        <w:tabs>
          <w:tab w:leader="none" w:pos="19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other than the Shares described in Paragraph 2(v)(i); over</w:t>
      </w:r>
    </w:p>
    <w:p>
      <w:pPr>
        <w:spacing w:after="0" w:line="50" w:lineRule="exact"/>
        <w:rPr>
          <w:rFonts w:ascii="Arial" w:cs="Arial" w:eastAsia="Arial" w:hAnsi="Arial"/>
          <w:sz w:val="18"/>
          <w:szCs w:val="18"/>
          <w:color w:val="auto"/>
        </w:rPr>
      </w:pPr>
    </w:p>
    <w:p>
      <w:pPr>
        <w:ind w:left="1900" w:hanging="440"/>
        <w:spacing w:after="0"/>
        <w:tabs>
          <w:tab w:leader="none" w:pos="19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120" w:hanging="251"/>
        <w:spacing w:after="0"/>
        <w:tabs>
          <w:tab w:leader="none" w:pos="2120" w:val="left"/>
        </w:tabs>
        <w:numPr>
          <w:ilvl w:val="3"/>
          <w:numId w:val="36"/>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for less than six months; plus</w:t>
      </w:r>
    </w:p>
    <w:p>
      <w:pPr>
        <w:spacing w:after="0" w:line="113" w:lineRule="exact"/>
        <w:rPr>
          <w:rFonts w:ascii="Arial" w:cs="Arial" w:eastAsia="Arial" w:hAnsi="Arial"/>
          <w:sz w:val="16"/>
          <w:szCs w:val="16"/>
          <w:color w:val="auto"/>
        </w:rPr>
      </w:pPr>
    </w:p>
    <w:p>
      <w:pPr>
        <w:jc w:val="both"/>
        <w:ind w:left="1480" w:right="60" w:firstLine="389"/>
        <w:spacing w:after="0" w:line="259" w:lineRule="auto"/>
        <w:tabs>
          <w:tab w:leader="none" w:pos="2126" w:val="left"/>
        </w:tabs>
        <w:numPr>
          <w:ilvl w:val="3"/>
          <w:numId w:val="36"/>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59" w:lineRule="exact"/>
        <w:rPr>
          <w:rFonts w:ascii="Arial" w:cs="Arial" w:eastAsia="Arial" w:hAnsi="Arial"/>
          <w:sz w:val="18"/>
          <w:szCs w:val="18"/>
          <w:color w:val="auto"/>
        </w:rPr>
      </w:pPr>
    </w:p>
    <w:p>
      <w:pPr>
        <w:jc w:val="both"/>
        <w:ind w:left="1480" w:right="100" w:firstLine="389"/>
        <w:spacing w:after="0" w:line="298" w:lineRule="auto"/>
        <w:tabs>
          <w:tab w:leader="none" w:pos="2126" w:val="left"/>
        </w:tabs>
        <w:numPr>
          <w:ilvl w:val="3"/>
          <w:numId w:val="36"/>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ind w:left="1480" w:firstLine="389"/>
        <w:spacing w:after="0" w:line="306" w:lineRule="auto"/>
        <w:tabs>
          <w:tab w:leader="none" w:pos="2126" w:val="left"/>
        </w:tabs>
        <w:numPr>
          <w:ilvl w:val="3"/>
          <w:numId w:val="36"/>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52" w:name="page53"/>
    <w:bookmarkEnd w:id="5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provided that Shares of Common Stock or Special Common Stock that otherwise qualify as “Other Available Shares” under this Paragraph 2(v),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an Optionee or such Optionee’s Family Member immediately before the consummation of the AT&amp;T Broadband Transaction that became Common Stock or Special Common Stock as a result of the AT&amp;T Broadband Transaction.</w:t>
      </w:r>
    </w:p>
    <w:p>
      <w:pPr>
        <w:spacing w:after="0" w:line="118" w:lineRule="exact"/>
        <w:rPr>
          <w:sz w:val="20"/>
          <w:szCs w:val="20"/>
          <w:color w:val="auto"/>
        </w:rPr>
      </w:pPr>
    </w:p>
    <w:p>
      <w:pPr>
        <w:ind w:right="100" w:firstLine="464"/>
        <w:spacing w:after="0" w:line="268" w:lineRule="auto"/>
        <w:tabs>
          <w:tab w:leader="none" w:pos="7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Stock Option Plan.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Except as provided in this Paragraph 2(z), a share or shares of Common Stock.</w:t>
      </w:r>
    </w:p>
    <w:p>
      <w:pPr>
        <w:spacing w:after="0" w:line="90" w:lineRule="exact"/>
        <w:rPr>
          <w:rFonts w:ascii="Arial" w:cs="Arial" w:eastAsia="Arial" w:hAnsi="Arial"/>
          <w:sz w:val="18"/>
          <w:szCs w:val="18"/>
          <w:color w:val="auto"/>
        </w:rPr>
      </w:pPr>
    </w:p>
    <w:p>
      <w:pPr>
        <w:ind w:left="1480" w:right="400" w:hanging="567"/>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purposes of Paragraphs 2(v), 7(d) and Paragraph 15, the term “Share” or “Shares” also means a share or shares of Special Common Stock.</w:t>
      </w:r>
    </w:p>
    <w:p>
      <w:pPr>
        <w:spacing w:after="0" w:line="50" w:lineRule="exact"/>
        <w:rPr>
          <w:rFonts w:ascii="Arial" w:cs="Arial" w:eastAsia="Arial" w:hAnsi="Arial"/>
          <w:sz w:val="18"/>
          <w:szCs w:val="18"/>
          <w:color w:val="auto"/>
        </w:rPr>
      </w:pPr>
    </w:p>
    <w:p>
      <w:pPr>
        <w:ind w:left="1480" w:right="520" w:hanging="567"/>
        <w:spacing w:after="0" w:line="306" w:lineRule="auto"/>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term “Share” or “Shares” also 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107" w:lineRule="exact"/>
        <w:rPr>
          <w:sz w:val="20"/>
          <w:szCs w:val="20"/>
          <w:color w:val="auto"/>
        </w:rPr>
      </w:pPr>
    </w:p>
    <w:p>
      <w:pPr>
        <w:ind w:left="780" w:hanging="31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Common Stock</w:t>
      </w:r>
      <w:r>
        <w:rPr>
          <w:rFonts w:ascii="Arial" w:cs="Arial" w:eastAsia="Arial" w:hAnsi="Arial"/>
          <w:sz w:val="16"/>
          <w:szCs w:val="16"/>
          <w:color w:val="auto"/>
        </w:rPr>
        <w:t>” means the Sponsor’s Class A Special Common Stock, par value $0.01.</w:t>
      </w:r>
    </w:p>
    <w:p>
      <w:pPr>
        <w:spacing w:after="0" w:line="194" w:lineRule="exact"/>
        <w:rPr>
          <w:rFonts w:ascii="Arial" w:cs="Arial" w:eastAsia="Arial" w:hAnsi="Arial"/>
          <w:sz w:val="16"/>
          <w:szCs w:val="16"/>
          <w:color w:val="auto"/>
        </w:rPr>
      </w:pPr>
    </w:p>
    <w:p>
      <w:pPr>
        <w:ind w:right="280" w:firstLine="464"/>
        <w:spacing w:after="0" w:line="268" w:lineRule="auto"/>
        <w:tabs>
          <w:tab w:leader="none" w:pos="79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3" w:name="page54"/>
    <w:bookmarkEnd w:id="53"/>
    <w:p>
      <w:pPr>
        <w:ind w:left="-8" w:right="160" w:firstLine="464"/>
        <w:spacing w:after="0" w:line="268" w:lineRule="auto"/>
        <w:tabs>
          <w:tab w:leader="none" w:pos="765"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31" w:lineRule="exact"/>
        <w:rPr>
          <w:rFonts w:ascii="Arial" w:cs="Arial" w:eastAsia="Arial" w:hAnsi="Arial"/>
          <w:sz w:val="18"/>
          <w:szCs w:val="18"/>
          <w:color w:val="auto"/>
        </w:rPr>
      </w:pPr>
    </w:p>
    <w:p>
      <w:pPr>
        <w:ind w:left="-8" w:right="20" w:firstLine="464"/>
        <w:spacing w:after="0" w:line="306" w:lineRule="auto"/>
        <w:tabs>
          <w:tab w:leader="none" w:pos="785" w:val="left"/>
        </w:tabs>
        <w:numPr>
          <w:ilvl w:val="1"/>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06" w:lineRule="exact"/>
        <w:rPr>
          <w:rFonts w:ascii="Arial" w:cs="Arial" w:eastAsia="Arial" w:hAnsi="Arial"/>
          <w:sz w:val="16"/>
          <w:szCs w:val="16"/>
          <w:color w:val="auto"/>
        </w:rPr>
      </w:pPr>
    </w:p>
    <w:p>
      <w:pPr>
        <w:ind w:left="772" w:hanging="316"/>
        <w:spacing w:after="0"/>
        <w:tabs>
          <w:tab w:leader="none" w:pos="772" w:val="left"/>
        </w:tabs>
        <w:numPr>
          <w:ilvl w:val="1"/>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72" w:hanging="567"/>
        <w:spacing w:after="0"/>
        <w:tabs>
          <w:tab w:leader="none" w:pos="1472"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39"/>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left="-8" w:right="220" w:firstLine="464"/>
        <w:spacing w:after="0" w:line="268" w:lineRule="auto"/>
        <w:tabs>
          <w:tab w:leader="none" w:pos="723"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31" w:lineRule="exact"/>
        <w:rPr>
          <w:rFonts w:ascii="Arial" w:cs="Arial" w:eastAsia="Arial" w:hAnsi="Arial"/>
          <w:sz w:val="18"/>
          <w:szCs w:val="18"/>
          <w:color w:val="auto"/>
        </w:rPr>
      </w:pPr>
    </w:p>
    <w:p>
      <w:pPr>
        <w:ind w:left="792" w:hanging="336"/>
        <w:spacing w:after="0"/>
        <w:tabs>
          <w:tab w:leader="none" w:pos="79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71" w:lineRule="exact"/>
        <w:rPr>
          <w:rFonts w:ascii="Arial" w:cs="Arial" w:eastAsia="Arial" w:hAnsi="Arial"/>
          <w:sz w:val="18"/>
          <w:szCs w:val="18"/>
          <w:color w:val="auto"/>
        </w:rPr>
      </w:pPr>
    </w:p>
    <w:p>
      <w:pPr>
        <w:ind w:left="792" w:hanging="336"/>
        <w:spacing w:after="0"/>
        <w:tabs>
          <w:tab w:leader="none" w:pos="79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46" w:lineRule="exact"/>
        <w:rPr>
          <w:rFonts w:ascii="Arial" w:cs="Arial" w:eastAsia="Arial" w:hAnsi="Arial"/>
          <w:sz w:val="18"/>
          <w:szCs w:val="18"/>
          <w:color w:val="auto"/>
        </w:rPr>
      </w:pPr>
    </w:p>
    <w:p>
      <w:pPr>
        <w:ind w:left="172" w:hanging="172"/>
        <w:spacing w:after="0"/>
        <w:tabs>
          <w:tab w:leader="none" w:pos="17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96" w:lineRule="exact"/>
        <w:rPr>
          <w:rFonts w:ascii="Arial" w:cs="Arial" w:eastAsia="Arial" w:hAnsi="Arial"/>
          <w:sz w:val="18"/>
          <w:szCs w:val="18"/>
          <w:b w:val="1"/>
          <w:bCs w:val="1"/>
          <w:color w:val="auto"/>
        </w:rPr>
      </w:pPr>
    </w:p>
    <w:p>
      <w:pPr>
        <w:ind w:left="692" w:hanging="236"/>
        <w:spacing w:after="0"/>
        <w:tabs>
          <w:tab w:leader="none" w:pos="69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Types of Options and Other Rights Available for Grant</w:t>
      </w:r>
      <w:r>
        <w:rPr>
          <w:rFonts w:ascii="Arial" w:cs="Arial" w:eastAsia="Arial" w:hAnsi="Arial"/>
          <w:sz w:val="18"/>
          <w:szCs w:val="18"/>
          <w:color w:val="auto"/>
        </w:rPr>
        <w:t>. Rights that may be granted under the Plan are:</w:t>
      </w:r>
    </w:p>
    <w:p>
      <w:pPr>
        <w:spacing w:after="0" w:line="90" w:lineRule="exact"/>
        <w:rPr>
          <w:rFonts w:ascii="Arial" w:cs="Arial" w:eastAsia="Arial" w:hAnsi="Arial"/>
          <w:sz w:val="18"/>
          <w:szCs w:val="18"/>
          <w:color w:val="auto"/>
        </w:rPr>
      </w:pPr>
    </w:p>
    <w:p>
      <w:pPr>
        <w:ind w:left="1472" w:right="480" w:hanging="567"/>
        <w:spacing w:after="0" w:line="268" w:lineRule="auto"/>
        <w:tabs>
          <w:tab w:leader="none" w:pos="1472" w:val="left"/>
        </w:tabs>
        <w:numPr>
          <w:ilvl w:val="2"/>
          <w:numId w:val="40"/>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50" w:lineRule="exact"/>
        <w:rPr>
          <w:rFonts w:ascii="Arial" w:cs="Arial" w:eastAsia="Arial" w:hAnsi="Arial"/>
          <w:sz w:val="18"/>
          <w:szCs w:val="18"/>
          <w:color w:val="auto"/>
        </w:rPr>
      </w:pPr>
    </w:p>
    <w:p>
      <w:pPr>
        <w:ind w:left="1472" w:hanging="567"/>
        <w:spacing w:after="0" w:line="268" w:lineRule="auto"/>
        <w:tabs>
          <w:tab w:leader="none" w:pos="1472" w:val="left"/>
        </w:tabs>
        <w:numPr>
          <w:ilvl w:val="2"/>
          <w:numId w:val="40"/>
        </w:numPr>
        <w:rPr>
          <w:rFonts w:ascii="Arial" w:cs="Arial" w:eastAsia="Arial" w:hAnsi="Arial"/>
          <w:sz w:val="18"/>
          <w:szCs w:val="18"/>
          <w:color w:val="auto"/>
        </w:rPr>
      </w:pPr>
      <w:r>
        <w:rPr>
          <w:rFonts w:ascii="Arial" w:cs="Arial" w:eastAsia="Arial" w:hAnsi="Arial"/>
          <w:sz w:val="18"/>
          <w:szCs w:val="18"/>
          <w:color w:val="auto"/>
        </w:rPr>
        <w:t>Non-Qualified Options, which give the Optionee the right for a specified time period to purchase a specified number of Shares for a price not less than the Fair Market Value on the Date of Grant; and</w:t>
      </w:r>
    </w:p>
    <w:p>
      <w:pPr>
        <w:spacing w:after="0" w:line="50" w:lineRule="exact"/>
        <w:rPr>
          <w:rFonts w:ascii="Arial" w:cs="Arial" w:eastAsia="Arial" w:hAnsi="Arial"/>
          <w:sz w:val="18"/>
          <w:szCs w:val="18"/>
          <w:color w:val="auto"/>
        </w:rPr>
      </w:pPr>
    </w:p>
    <w:p>
      <w:pPr>
        <w:ind w:left="1472" w:right="80" w:hanging="567"/>
        <w:spacing w:after="0" w:line="256" w:lineRule="auto"/>
        <w:tabs>
          <w:tab w:leader="none" w:pos="1472" w:val="left"/>
        </w:tabs>
        <w:numPr>
          <w:ilvl w:val="2"/>
          <w:numId w:val="40"/>
        </w:numPr>
        <w:rPr>
          <w:rFonts w:ascii="Arial" w:cs="Arial" w:eastAsia="Arial" w:hAnsi="Arial"/>
          <w:sz w:val="18"/>
          <w:szCs w:val="18"/>
          <w:color w:val="auto"/>
        </w:rPr>
      </w:pPr>
      <w:r>
        <w:rPr>
          <w:rFonts w:ascii="Arial" w:cs="Arial" w:eastAsia="Arial" w:hAnsi="Arial"/>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54" w:name="page55"/>
    <w:bookmarkEnd w:id="54"/>
    <w:p>
      <w:pPr>
        <w:ind w:left="14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Value of Share on the date of grant of a Cash Right, in lieu of exercising a Non-Qualified Option.</w:t>
      </w:r>
    </w:p>
    <w:p>
      <w:pPr>
        <w:spacing w:after="0" w:line="171" w:lineRule="exact"/>
        <w:rPr>
          <w:sz w:val="20"/>
          <w:szCs w:val="20"/>
          <w:color w:val="auto"/>
        </w:rPr>
      </w:pPr>
    </w:p>
    <w:p>
      <w:pPr>
        <w:ind w:left="-8" w:firstLine="464"/>
        <w:spacing w:after="0" w:line="268" w:lineRule="auto"/>
        <w:tabs>
          <w:tab w:leader="none" w:pos="69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15,000,000 Shares.</w:t>
      </w:r>
    </w:p>
    <w:p>
      <w:pPr>
        <w:spacing w:after="0" w:line="206" w:lineRule="exact"/>
        <w:rPr>
          <w:rFonts w:ascii="Arial" w:cs="Arial" w:eastAsia="Arial" w:hAnsi="Arial"/>
          <w:sz w:val="18"/>
          <w:szCs w:val="18"/>
          <w:color w:val="auto"/>
        </w:rPr>
      </w:pPr>
    </w:p>
    <w:p>
      <w:pPr>
        <w:ind w:left="172" w:hanging="172"/>
        <w:spacing w:after="0"/>
        <w:tabs>
          <w:tab w:leader="none" w:pos="17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96" w:lineRule="exact"/>
        <w:rPr>
          <w:rFonts w:ascii="Arial" w:cs="Arial" w:eastAsia="Arial" w:hAnsi="Arial"/>
          <w:sz w:val="18"/>
          <w:szCs w:val="18"/>
          <w:b w:val="1"/>
          <w:bCs w:val="1"/>
          <w:color w:val="auto"/>
        </w:rPr>
      </w:pPr>
    </w:p>
    <w:p>
      <w:pPr>
        <w:ind w:left="-8" w:right="80" w:firstLine="464"/>
        <w:spacing w:after="0" w:line="259" w:lineRule="auto"/>
        <w:tabs>
          <w:tab w:leader="none" w:pos="6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Subject to adjustment as provided in Paragraph 10, not more than 189 million Shares in the aggregate may be issued pursuant to the Plan upon exercise of Options. Shares delivered pursuant to the exercise of an Option may, at the Sponsor’s option, be either treasury Shares or Shares originally issued for such purpose.</w:t>
      </w:r>
    </w:p>
    <w:p>
      <w:pPr>
        <w:spacing w:after="0" w:line="140" w:lineRule="exact"/>
        <w:rPr>
          <w:rFonts w:ascii="Arial" w:cs="Arial" w:eastAsia="Arial" w:hAnsi="Arial"/>
          <w:sz w:val="18"/>
          <w:szCs w:val="18"/>
          <w:color w:val="auto"/>
        </w:rPr>
      </w:pPr>
    </w:p>
    <w:p>
      <w:pPr>
        <w:ind w:left="-8" w:right="60" w:firstLine="464"/>
        <w:spacing w:after="0" w:line="268" w:lineRule="auto"/>
        <w:tabs>
          <w:tab w:leader="none" w:pos="697" w:val="left"/>
        </w:tabs>
        <w:numPr>
          <w:ilvl w:val="1"/>
          <w:numId w:val="42"/>
        </w:numPr>
        <w:rPr>
          <w:rFonts w:ascii="Arial" w:cs="Arial" w:eastAsia="Arial" w:hAnsi="Arial"/>
          <w:sz w:val="18"/>
          <w:szCs w:val="18"/>
          <w:color w:val="auto"/>
        </w:rPr>
      </w:pPr>
      <w:r>
        <w:rPr>
          <w:rFonts w:ascii="Arial" w:cs="Arial" w:eastAsia="Arial" w:hAnsi="Arial"/>
          <w:sz w:val="18"/>
          <w:szCs w:val="18"/>
          <w:color w:val="auto"/>
        </w:rPr>
        <w:t>If an Option covering Shares terminates or expires without having been exercised in full, other Options may be granted covering the Shares as to which the Option terminated or expired.</w:t>
      </w:r>
    </w:p>
    <w:p>
      <w:pPr>
        <w:spacing w:after="0" w:line="131" w:lineRule="exact"/>
        <w:rPr>
          <w:rFonts w:ascii="Arial" w:cs="Arial" w:eastAsia="Arial" w:hAnsi="Arial"/>
          <w:sz w:val="18"/>
          <w:szCs w:val="18"/>
          <w:color w:val="auto"/>
        </w:rPr>
      </w:pPr>
    </w:p>
    <w:p>
      <w:pPr>
        <w:ind w:left="-8" w:right="80" w:firstLine="464"/>
        <w:spacing w:after="0" w:line="291" w:lineRule="auto"/>
        <w:tabs>
          <w:tab w:leader="none" w:pos="687" w:val="left"/>
        </w:tabs>
        <w:numPr>
          <w:ilvl w:val="1"/>
          <w:numId w:val="42"/>
        </w:numPr>
        <w:rPr>
          <w:rFonts w:ascii="Arial" w:cs="Arial" w:eastAsia="Arial" w:hAnsi="Arial"/>
          <w:sz w:val="16"/>
          <w:szCs w:val="16"/>
          <w:color w:val="auto"/>
        </w:rPr>
      </w:pPr>
      <w:r>
        <w:rPr>
          <w:rFonts w:ascii="Arial" w:cs="Arial" w:eastAsia="Arial" w:hAnsi="Arial"/>
          <w:sz w:val="16"/>
          <w:szCs w:val="16"/>
          <w:color w:val="auto"/>
        </w:rPr>
        <w:t>For Options exercised after December 31, 2008, if (i) the Sponsor withholds Shares to satisfy its minimum tax withholding requirements as provided in Paragraph 15(b) and Paragraph 15(c) or (ii) an Option covering Shares is exercised pursuant to the cashless exercise provisions of Paragraph 7(d)(iv), other Options may not be granted covering the Shares so withheld to satisfy the Sponsor’s minimum tax withholding requirements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195" w:lineRule="exact"/>
        <w:rPr>
          <w:rFonts w:ascii="Arial" w:cs="Arial" w:eastAsia="Arial" w:hAnsi="Arial"/>
          <w:sz w:val="16"/>
          <w:szCs w:val="16"/>
          <w:color w:val="auto"/>
        </w:rPr>
      </w:pPr>
    </w:p>
    <w:p>
      <w:pPr>
        <w:ind w:left="172" w:hanging="172"/>
        <w:spacing w:after="0"/>
        <w:tabs>
          <w:tab w:leader="none" w:pos="17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96" w:lineRule="exact"/>
        <w:rPr>
          <w:rFonts w:ascii="Arial" w:cs="Arial" w:eastAsia="Arial" w:hAnsi="Arial"/>
          <w:sz w:val="18"/>
          <w:szCs w:val="18"/>
          <w:b w:val="1"/>
          <w:bCs w:val="1"/>
          <w:color w:val="auto"/>
        </w:rPr>
      </w:pPr>
    </w:p>
    <w:p>
      <w:pPr>
        <w:ind w:left="-8" w:right="240" w:firstLine="464"/>
        <w:spacing w:after="0" w:line="259" w:lineRule="auto"/>
        <w:tabs>
          <w:tab w:leader="none" w:pos="687"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40" w:lineRule="exact"/>
        <w:rPr>
          <w:rFonts w:ascii="Arial" w:cs="Arial" w:eastAsia="Arial" w:hAnsi="Arial"/>
          <w:sz w:val="18"/>
          <w:szCs w:val="18"/>
          <w:color w:val="auto"/>
        </w:rPr>
      </w:pPr>
    </w:p>
    <w:p>
      <w:pPr>
        <w:ind w:left="712" w:hanging="256"/>
        <w:spacing w:after="0"/>
        <w:tabs>
          <w:tab w:leader="none" w:pos="712"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72" w:right="140" w:hanging="567"/>
        <w:spacing w:after="0" w:line="256" w:lineRule="auto"/>
        <w:tabs>
          <w:tab w:leader="none" w:pos="1472" w:val="left"/>
        </w:tabs>
        <w:numPr>
          <w:ilvl w:val="2"/>
          <w:numId w:val="42"/>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Options with respect to any employee or officer of a Company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80" w:right="239" w:bottom="1440" w:gutter="0" w:footer="0" w:header="0"/>
        </w:sectPr>
      </w:pPr>
    </w:p>
    <w:bookmarkStart w:id="55" w:name="page56"/>
    <w:bookmarkEnd w:id="55"/>
    <w:p>
      <w:pPr>
        <w:ind w:left="1460" w:right="20" w:hanging="567"/>
        <w:spacing w:after="0" w:line="298" w:lineRule="auto"/>
        <w:tabs>
          <w:tab w:leader="none" w:pos="146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Officers and Highly Compensated Employees</w:t>
      </w:r>
      <w:r>
        <w:rPr>
          <w:rFonts w:ascii="Arial" w:cs="Arial" w:eastAsia="Arial" w:hAnsi="Arial"/>
          <w:sz w:val="16"/>
          <w:szCs w:val="16"/>
          <w:color w:val="auto"/>
        </w:rPr>
        <w:t>. The Committee may delegate to a committee consisting of the Chairman of the Committee and one or more officers of the Company designated by the Committee, discretion under the Plan to grant, amend, interpret and administer Options with respect to any employee or officer of a Company who (x) holds a position with Comcast Corporation of Senior Vice President or a position of higher rank than Senior Vice President or (y) has a base salary of $500,000 or more.</w:t>
      </w:r>
    </w:p>
    <w:p>
      <w:pPr>
        <w:spacing w:after="0" w:line="31" w:lineRule="exact"/>
        <w:rPr>
          <w:rFonts w:ascii="Arial" w:cs="Arial" w:eastAsia="Arial" w:hAnsi="Arial"/>
          <w:sz w:val="16"/>
          <w:szCs w:val="16"/>
          <w:color w:val="auto"/>
        </w:rPr>
      </w:pPr>
    </w:p>
    <w:p>
      <w:pPr>
        <w:ind w:left="1460" w:right="80" w:hanging="567"/>
        <w:spacing w:after="0" w:line="259"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Options with respect to any employee or officer of a Company other than an employee or officer described in Paragraph 5(b)(i) or Paragraph 5(b)(ii).</w:t>
      </w:r>
    </w:p>
    <w:p>
      <w:pPr>
        <w:spacing w:after="0" w:line="59" w:lineRule="exact"/>
        <w:rPr>
          <w:rFonts w:ascii="Arial" w:cs="Arial" w:eastAsia="Arial" w:hAnsi="Arial"/>
          <w:sz w:val="18"/>
          <w:szCs w:val="18"/>
          <w:color w:val="auto"/>
        </w:rPr>
      </w:pPr>
    </w:p>
    <w:p>
      <w:pPr>
        <w:ind w:left="1460" w:right="460" w:hanging="567"/>
        <w:spacing w:after="0" w:line="268"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of Delegation of Authority</w:t>
      </w:r>
      <w:r>
        <w:rPr>
          <w:rFonts w:ascii="Arial" w:cs="Arial" w:eastAsia="Arial" w:hAnsi="Arial"/>
          <w:sz w:val="18"/>
          <w:szCs w:val="18"/>
          <w:color w:val="auto"/>
        </w:rPr>
        <w:t>. Delegation of authority as provided under this Paragraph 5(b) shall continue in effect until the earliest of:</w:t>
      </w:r>
    </w:p>
    <w:p>
      <w:pPr>
        <w:spacing w:after="0" w:line="50" w:lineRule="exact"/>
        <w:rPr>
          <w:rFonts w:ascii="Arial" w:cs="Arial" w:eastAsia="Arial" w:hAnsi="Arial"/>
          <w:sz w:val="18"/>
          <w:szCs w:val="18"/>
          <w:color w:val="auto"/>
        </w:rPr>
      </w:pPr>
    </w:p>
    <w:p>
      <w:pPr>
        <w:ind w:left="1900" w:hanging="440"/>
        <w:spacing w:after="0"/>
        <w:tabs>
          <w:tab w:leader="none" w:pos="19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900" w:right="20" w:hanging="440"/>
        <w:spacing w:after="0" w:line="259" w:lineRule="auto"/>
        <w:tabs>
          <w:tab w:leader="none" w:pos="19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the case of delegation under Paragraph 5(b)(ii), the delegate shall cease to serve as Chairman of the Committee or serve as an employee of the Company for any reason, as the case may be and in the case of delegation under Paragraph 5(b)(iii), the delegate shall cease to serve as an employee of the Company for any reason; or</w:t>
      </w:r>
    </w:p>
    <w:p>
      <w:pPr>
        <w:spacing w:after="0" w:line="59" w:lineRule="exact"/>
        <w:rPr>
          <w:rFonts w:ascii="Arial" w:cs="Arial" w:eastAsia="Arial" w:hAnsi="Arial"/>
          <w:sz w:val="18"/>
          <w:szCs w:val="18"/>
          <w:color w:val="auto"/>
        </w:rPr>
      </w:pPr>
    </w:p>
    <w:p>
      <w:pPr>
        <w:ind w:left="1900" w:hanging="440"/>
        <w:spacing w:after="0"/>
        <w:tabs>
          <w:tab w:leader="none" w:pos="19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171" w:lineRule="exact"/>
        <w:rPr>
          <w:rFonts w:ascii="Arial" w:cs="Arial" w:eastAsia="Arial" w:hAnsi="Arial"/>
          <w:sz w:val="18"/>
          <w:szCs w:val="18"/>
          <w:color w:val="auto"/>
        </w:rPr>
      </w:pPr>
    </w:p>
    <w:p>
      <w:pPr>
        <w:ind w:left="-20" w:right="160" w:firstLine="464"/>
        <w:spacing w:after="0" w:line="332" w:lineRule="auto"/>
        <w:tabs>
          <w:tab w:leader="none" w:pos="67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85" w:lineRule="exact"/>
        <w:rPr>
          <w:rFonts w:ascii="Arial" w:cs="Arial" w:eastAsia="Arial" w:hAnsi="Arial"/>
          <w:sz w:val="16"/>
          <w:szCs w:val="16"/>
          <w:color w:val="auto"/>
        </w:rPr>
      </w:pPr>
    </w:p>
    <w:p>
      <w:pPr>
        <w:ind w:left="-20" w:firstLine="464"/>
        <w:spacing w:after="0" w:line="256" w:lineRule="auto"/>
        <w:tabs>
          <w:tab w:leader="none" w:pos="68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Exculpation</w:t>
      </w:r>
      <w:r>
        <w:rPr>
          <w:rFonts w:ascii="Arial" w:cs="Arial" w:eastAsia="Arial" w:hAnsi="Arial"/>
          <w:sz w:val="18"/>
          <w:szCs w:val="18"/>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provisions of this Paragraph 5(d) shall not apply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responsibility or liability of a member of the Committee pursuant to any criminal statute.</w:t>
      </w:r>
    </w:p>
    <w:p>
      <w:pPr>
        <w:spacing w:after="0" w:line="171" w:lineRule="exact"/>
        <w:rPr>
          <w:sz w:val="20"/>
          <w:szCs w:val="20"/>
          <w:color w:val="auto"/>
        </w:rPr>
      </w:pPr>
    </w:p>
    <w:p>
      <w:pPr>
        <w:ind w:right="80" w:firstLine="464"/>
        <w:spacing w:after="0" w:line="255" w:lineRule="auto"/>
        <w:tabs>
          <w:tab w:leader="none" w:pos="69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217" w:lineRule="exact"/>
        <w:rPr>
          <w:rFonts w:ascii="Arial" w:cs="Arial" w:eastAsia="Arial" w:hAnsi="Arial"/>
          <w:sz w:val="18"/>
          <w:szCs w:val="18"/>
          <w:color w:val="auto"/>
        </w:rPr>
      </w:pPr>
    </w:p>
    <w:p>
      <w:pPr>
        <w:ind w:left="180" w:hanging="172"/>
        <w:spacing w:after="0"/>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rFonts w:ascii="Arial" w:cs="Arial" w:eastAsia="Arial" w:hAnsi="Arial"/>
          <w:sz w:val="18"/>
          <w:szCs w:val="18"/>
          <w:b w:val="1"/>
          <w:bCs w:val="1"/>
          <w:color w:val="auto"/>
        </w:rPr>
      </w:pPr>
    </w:p>
    <w:p>
      <w:pPr>
        <w:ind w:firstLine="464"/>
        <w:spacing w:after="0" w:line="294" w:lineRule="auto"/>
        <w:tabs>
          <w:tab w:leader="none" w:pos="69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15" w:lineRule="exact"/>
        <w:rPr>
          <w:rFonts w:ascii="Arial" w:cs="Arial" w:eastAsia="Arial" w:hAnsi="Arial"/>
          <w:sz w:val="16"/>
          <w:szCs w:val="16"/>
          <w:color w:val="auto"/>
        </w:rPr>
      </w:pPr>
    </w:p>
    <w:p>
      <w:pPr>
        <w:ind w:right="40" w:firstLine="464"/>
        <w:spacing w:after="0" w:line="298" w:lineRule="auto"/>
        <w:tabs>
          <w:tab w:leader="none" w:pos="705"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87" w:lineRule="exact"/>
        <w:rPr>
          <w:rFonts w:ascii="Arial" w:cs="Arial" w:eastAsia="Arial" w:hAnsi="Arial"/>
          <w:sz w:val="16"/>
          <w:szCs w:val="16"/>
          <w:color w:val="auto"/>
        </w:rPr>
      </w:pPr>
    </w:p>
    <w:p>
      <w:pPr>
        <w:ind w:left="180" w:hanging="172"/>
        <w:spacing w:after="0"/>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40" w:lineRule="exact"/>
        <w:rPr>
          <w:sz w:val="20"/>
          <w:szCs w:val="20"/>
          <w:color w:val="auto"/>
        </w:rPr>
      </w:pPr>
    </w:p>
    <w:p>
      <w:pPr>
        <w:ind w:left="700" w:hanging="23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May 12, 2019.</w:t>
      </w:r>
    </w:p>
    <w:p>
      <w:pPr>
        <w:spacing w:after="0" w:line="171" w:lineRule="exact"/>
        <w:rPr>
          <w:rFonts w:ascii="Arial" w:cs="Arial" w:eastAsia="Arial" w:hAnsi="Arial"/>
          <w:sz w:val="18"/>
          <w:szCs w:val="18"/>
          <w:color w:val="auto"/>
        </w:rPr>
      </w:pPr>
    </w:p>
    <w:p>
      <w:pPr>
        <w:ind w:right="760" w:firstLine="464"/>
        <w:spacing w:after="0" w:line="268"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Except as otherwise provided in Section 13(b), the option price per Share with respect to any Option shall be determined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with respect to any Options, the option price per share shall 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7" w:name="page58"/>
    <w:bookmarkEnd w:id="57"/>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less than 100% of the Fair Market Value of such Share on the Date of Grant,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85" w:lineRule="exact"/>
        <w:rPr>
          <w:sz w:val="20"/>
          <w:szCs w:val="20"/>
          <w:color w:val="auto"/>
        </w:rPr>
      </w:pPr>
    </w:p>
    <w:p>
      <w:pPr>
        <w:ind w:right="20" w:firstLine="464"/>
        <w:spacing w:after="0" w:line="287"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Restrictions on Transferability</w:t>
      </w:r>
      <w:r>
        <w:rPr>
          <w:rFonts w:ascii="Arial" w:cs="Arial" w:eastAsia="Arial" w:hAnsi="Arial"/>
          <w:sz w:val="16"/>
          <w:szCs w:val="16"/>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(i) any such transfer is without consideration and (ii) each transferee is a Family Member with respect to the Optionee;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22" w:lineRule="exact"/>
        <w:rPr>
          <w:rFonts w:ascii="Arial" w:cs="Arial" w:eastAsia="Arial" w:hAnsi="Arial"/>
          <w:sz w:val="16"/>
          <w:szCs w:val="16"/>
          <w:color w:val="auto"/>
        </w:rPr>
      </w:pPr>
    </w:p>
    <w:p>
      <w:pPr>
        <w:ind w:right="360" w:firstLine="464"/>
        <w:spacing w:after="0" w:line="357" w:lineRule="auto"/>
        <w:tabs>
          <w:tab w:leader="none" w:pos="705"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Payment Upon Exercise of Options</w:t>
      </w:r>
      <w:r>
        <w:rPr>
          <w:rFonts w:ascii="Arial" w:cs="Arial" w:eastAsia="Arial" w:hAnsi="Arial"/>
          <w:sz w:val="15"/>
          <w:szCs w:val="15"/>
          <w:color w:val="auto"/>
        </w:rPr>
        <w:t>. With respect to Options granted on and after February 28, 2007, full payment for Shares purchased upon the exercise of an Option shall be made pursuant to one or more of the following methods as determined by the Committee and set forth in the Option document:</w:t>
      </w:r>
    </w:p>
    <w:p>
      <w:pPr>
        <w:ind w:left="1480" w:hanging="567"/>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cash;</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90" w:lineRule="exact"/>
        <w:rPr>
          <w:rFonts w:ascii="Arial" w:cs="Arial" w:eastAsia="Arial" w:hAnsi="Arial"/>
          <w:sz w:val="18"/>
          <w:szCs w:val="18"/>
          <w:color w:val="auto"/>
        </w:rPr>
      </w:pPr>
    </w:p>
    <w:p>
      <w:pPr>
        <w:ind w:left="1480" w:hanging="567"/>
        <w:spacing w:after="0" w:line="290" w:lineRule="auto"/>
        <w:tabs>
          <w:tab w:leader="none" w:pos="14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By surrendering or attesting to ownership of Shares with an aggregate Fair Market Value equal to the aggregate option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58" w:name="page59"/>
    <w:bookmarkEnd w:id="58"/>
    <w:p>
      <w:pPr>
        <w:ind w:left="14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39" w:lineRule="exact"/>
        <w:rPr>
          <w:sz w:val="20"/>
          <w:szCs w:val="20"/>
          <w:color w:val="auto"/>
        </w:rPr>
      </w:pPr>
    </w:p>
    <w:p>
      <w:pPr>
        <w:ind w:left="1480" w:right="20" w:hanging="567"/>
        <w:spacing w:after="0" w:line="289" w:lineRule="auto"/>
        <w:tabs>
          <w:tab w:leader="none" w:pos="1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Except as authorized by the Committee and agreed to by an Optionee, with respect to Options granted before February 28, 2007, the payment methods described in Paragraph 7(d)(i), (ii) and (iii) 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59" w:name="page60"/>
    <w:bookmarkEnd w:id="59"/>
    <w:p>
      <w:pPr>
        <w:ind w:left="-60" w:firstLine="464"/>
        <w:spacing w:after="0" w:line="291" w:lineRule="auto"/>
        <w:tabs>
          <w:tab w:leader="none" w:pos="63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of Certificate Upon Exercise of Options; Payment of Cash</w:t>
      </w:r>
      <w:r>
        <w:rPr>
          <w:rFonts w:ascii="Arial" w:cs="Arial" w:eastAsia="Arial" w:hAnsi="Arial"/>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20" w:lineRule="exact"/>
        <w:rPr>
          <w:rFonts w:ascii="Arial" w:cs="Arial" w:eastAsia="Arial" w:hAnsi="Arial"/>
          <w:sz w:val="16"/>
          <w:szCs w:val="16"/>
          <w:color w:val="auto"/>
        </w:rPr>
      </w:pPr>
    </w:p>
    <w:p>
      <w:pPr>
        <w:ind w:left="-60" w:right="60" w:firstLine="464"/>
        <w:spacing w:after="0" w:line="310" w:lineRule="auto"/>
        <w:tabs>
          <w:tab w:leader="none" w:pos="616" w:val="left"/>
        </w:tabs>
        <w:numPr>
          <w:ilvl w:val="0"/>
          <w:numId w:val="50"/>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108" w:lineRule="exact"/>
        <w:rPr>
          <w:rFonts w:ascii="Arial" w:cs="Arial" w:eastAsia="Arial" w:hAnsi="Arial"/>
          <w:sz w:val="15"/>
          <w:szCs w:val="15"/>
          <w:color w:val="auto"/>
        </w:rPr>
      </w:pPr>
    </w:p>
    <w:p>
      <w:pPr>
        <w:ind w:left="-60" w:right="80" w:firstLine="464"/>
        <w:spacing w:after="0" w:line="294" w:lineRule="auto"/>
        <w:tabs>
          <w:tab w:leader="none" w:pos="64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Periods of Exercise of Options</w:t>
      </w:r>
      <w:r>
        <w:rPr>
          <w:rFonts w:ascii="Arial" w:cs="Arial" w:eastAsia="Arial" w:hAnsi="Arial"/>
          <w:sz w:val="16"/>
          <w:szCs w:val="16"/>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34" w:lineRule="exact"/>
        <w:rPr>
          <w:rFonts w:ascii="Arial" w:cs="Arial" w:eastAsia="Arial" w:hAnsi="Arial"/>
          <w:sz w:val="16"/>
          <w:szCs w:val="16"/>
          <w:color w:val="auto"/>
        </w:rPr>
      </w:pPr>
    </w:p>
    <w:p>
      <w:pPr>
        <w:ind w:left="1420" w:right="20" w:hanging="567"/>
        <w:spacing w:after="0" w:line="298" w:lineRule="auto"/>
        <w:tabs>
          <w:tab w:leader="none" w:pos="14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300" w:top="280" w:right="279" w:bottom="1440" w:gutter="0" w:footer="0" w:header="0"/>
        </w:sectPr>
      </w:pPr>
    </w:p>
    <w:bookmarkStart w:id="60" w:name="page61"/>
    <w:bookmarkEnd w:id="60"/>
    <w:p>
      <w:pPr>
        <w:ind w:left="146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62" w:lineRule="exact"/>
        <w:rPr>
          <w:sz w:val="20"/>
          <w:szCs w:val="20"/>
          <w:color w:val="auto"/>
        </w:rPr>
      </w:pPr>
    </w:p>
    <w:p>
      <w:pPr>
        <w:ind w:left="1460" w:hanging="567"/>
        <w:spacing w:after="0" w:line="294" w:lineRule="auto"/>
        <w:tabs>
          <w:tab w:leader="none" w:pos="14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34" w:lineRule="exact"/>
        <w:rPr>
          <w:rFonts w:ascii="Arial" w:cs="Arial" w:eastAsia="Arial" w:hAnsi="Arial"/>
          <w:sz w:val="16"/>
          <w:szCs w:val="16"/>
          <w:color w:val="auto"/>
        </w:rPr>
      </w:pPr>
    </w:p>
    <w:p>
      <w:pPr>
        <w:ind w:left="1460" w:right="20" w:hanging="567"/>
        <w:spacing w:after="0" w:line="298" w:lineRule="auto"/>
        <w:tabs>
          <w:tab w:leader="none" w:pos="14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12" w:lineRule="exact"/>
        <w:rPr>
          <w:rFonts w:ascii="Arial" w:cs="Arial" w:eastAsia="Arial" w:hAnsi="Arial"/>
          <w:sz w:val="16"/>
          <w:szCs w:val="16"/>
          <w:color w:val="auto"/>
        </w:rPr>
      </w:pPr>
    </w:p>
    <w:p>
      <w:pPr>
        <w:ind w:left="-20" w:right="120" w:firstLine="464"/>
        <w:spacing w:after="0" w:line="253"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Date of Exercise</w:t>
      </w:r>
      <w:r>
        <w:rPr>
          <w:rFonts w:ascii="Arial" w:cs="Arial" w:eastAsia="Arial" w:hAnsi="Arial"/>
          <w:sz w:val="18"/>
          <w:szCs w:val="18"/>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80" w:right="239" w:bottom="1440" w:gutter="0" w:footer="0" w:header="0"/>
        </w:sectPr>
      </w:pPr>
    </w:p>
    <w:bookmarkStart w:id="61" w:name="page62"/>
    <w:bookmarkEnd w:id="61"/>
    <w:p>
      <w:pPr>
        <w:ind w:right="300" w:firstLine="464"/>
        <w:spacing w:after="0" w:line="332" w:lineRule="auto"/>
        <w:tabs>
          <w:tab w:leader="none" w:pos="666"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Rights</w:t>
      </w:r>
      <w:r>
        <w:rPr>
          <w:rFonts w:ascii="Arial" w:cs="Arial" w:eastAsia="Arial" w:hAnsi="Arial"/>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90" w:lineRule="exact"/>
        <w:rPr>
          <w:rFonts w:ascii="Arial" w:cs="Arial" w:eastAsia="Arial" w:hAnsi="Arial"/>
          <w:sz w:val="18"/>
          <w:szCs w:val="18"/>
          <w:color w:val="auto"/>
        </w:rPr>
      </w:pPr>
    </w:p>
    <w:p>
      <w:pPr>
        <w:ind w:left="1480" w:right="340" w:hanging="567"/>
        <w:spacing w:after="0" w:line="268" w:lineRule="auto"/>
        <w:tabs>
          <w:tab w:leader="none" w:pos="14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Such Cash Right shall provide for the cash payment of such amount per Share as shall be determined by the Committee and stated in the option document.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53"/>
        </w:numPr>
        <w:rPr>
          <w:rFonts w:ascii="Arial" w:cs="Arial" w:eastAsia="Arial" w:hAnsi="Arial"/>
          <w:sz w:val="16"/>
          <w:szCs w:val="16"/>
          <w:color w:val="auto"/>
        </w:rPr>
      </w:pPr>
      <w:r>
        <w:rPr>
          <w:rFonts w:ascii="Arial" w:cs="Arial" w:eastAsia="Arial" w:hAnsi="Arial"/>
          <w:sz w:val="16"/>
          <w:szCs w:val="16"/>
          <w:color w:val="auto"/>
        </w:rPr>
        <w:t>Such Cash Right shall be subject to the same restrictions on transferability as the Non-Qualified Option to which it is attached.</w:t>
      </w:r>
    </w:p>
    <w:p>
      <w:pPr>
        <w:spacing w:after="0" w:line="113" w:lineRule="exact"/>
        <w:rPr>
          <w:rFonts w:ascii="Arial" w:cs="Arial" w:eastAsia="Arial" w:hAnsi="Arial"/>
          <w:sz w:val="16"/>
          <w:szCs w:val="16"/>
          <w:color w:val="auto"/>
        </w:rPr>
      </w:pPr>
    </w:p>
    <w:p>
      <w:pPr>
        <w:ind w:left="1480" w:hanging="567"/>
        <w:spacing w:after="0" w:line="268" w:lineRule="auto"/>
        <w:tabs>
          <w:tab w:leader="none" w:pos="14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53"/>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53"/>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 expire.</w:t>
      </w:r>
    </w:p>
    <w:p>
      <w:pPr>
        <w:spacing w:after="0" w:line="269" w:lineRule="exact"/>
        <w:rPr>
          <w:rFonts w:ascii="Arial" w:cs="Arial" w:eastAsia="Arial" w:hAnsi="Arial"/>
          <w:sz w:val="16"/>
          <w:szCs w:val="16"/>
          <w:color w:val="auto"/>
        </w:rPr>
      </w:pPr>
    </w:p>
    <w:p>
      <w:pPr>
        <w:ind w:left="180" w:hanging="172"/>
        <w:spacing w:after="0"/>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 RIGHTS AS SHAREHOLDERS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CHANGES IN CAPITALIZATION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93"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96" w:lineRule="exact"/>
        <w:rPr>
          <w:rFonts w:ascii="Arial" w:cs="Arial" w:eastAsia="Arial" w:hAnsi="Arial"/>
          <w:sz w:val="18"/>
          <w:szCs w:val="18"/>
          <w:b w:val="1"/>
          <w:bCs w:val="1"/>
          <w:color w:val="auto"/>
        </w:rPr>
      </w:pPr>
    </w:p>
    <w:p>
      <w:pPr>
        <w:ind w:firstLine="464"/>
        <w:spacing w:after="0" w:line="291" w:lineRule="auto"/>
        <w:tabs>
          <w:tab w:leader="none" w:pos="695"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20" w:lineRule="exact"/>
        <w:rPr>
          <w:rFonts w:ascii="Arial" w:cs="Arial" w:eastAsia="Arial" w:hAnsi="Arial"/>
          <w:sz w:val="16"/>
          <w:szCs w:val="16"/>
          <w:color w:val="auto"/>
        </w:rPr>
      </w:pPr>
    </w:p>
    <w:p>
      <w:pPr>
        <w:ind w:right="140" w:firstLine="464"/>
        <w:spacing w:after="0" w:line="268" w:lineRule="auto"/>
        <w:tabs>
          <w:tab w:leader="none" w:pos="705"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INTERPRETATION</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88"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96" w:lineRule="exact"/>
        <w:rPr>
          <w:rFonts w:ascii="Arial" w:cs="Arial" w:eastAsia="Arial" w:hAnsi="Arial"/>
          <w:sz w:val="18"/>
          <w:szCs w:val="18"/>
          <w:b w:val="1"/>
          <w:bCs w:val="1"/>
          <w:color w:val="auto"/>
        </w:rPr>
      </w:pPr>
    </w:p>
    <w:p>
      <w:pPr>
        <w:ind w:right="40" w:firstLine="464"/>
        <w:spacing w:after="0" w:line="290" w:lineRule="auto"/>
        <w:tabs>
          <w:tab w:leader="none" w:pos="695"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18" w:lineRule="exact"/>
        <w:rPr>
          <w:rFonts w:ascii="Arial" w:cs="Arial" w:eastAsia="Arial" w:hAnsi="Arial"/>
          <w:sz w:val="16"/>
          <w:szCs w:val="16"/>
          <w:color w:val="auto"/>
        </w:rPr>
      </w:pPr>
    </w:p>
    <w:p>
      <w:pPr>
        <w:ind w:firstLine="464"/>
        <w:spacing w:after="0" w:line="256" w:lineRule="auto"/>
        <w:tabs>
          <w:tab w:leader="none" w:pos="70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Repricing of Options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218" w:lineRule="exact"/>
        <w:rPr>
          <w:rFonts w:ascii="Arial" w:cs="Arial" w:eastAsia="Arial" w:hAnsi="Arial"/>
          <w:sz w:val="18"/>
          <w:szCs w:val="18"/>
          <w:color w:val="auto"/>
        </w:rPr>
      </w:pPr>
    </w:p>
    <w:p>
      <w:pPr>
        <w:ind w:left="280" w:hanging="272"/>
        <w:spacing w:after="0"/>
        <w:tabs>
          <w:tab w:leader="none" w:pos="2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96" w:lineRule="exact"/>
        <w:rPr>
          <w:rFonts w:ascii="Arial" w:cs="Arial" w:eastAsia="Arial" w:hAnsi="Arial"/>
          <w:sz w:val="18"/>
          <w:szCs w:val="18"/>
          <w:b w:val="1"/>
          <w:bCs w:val="1"/>
          <w:color w:val="auto"/>
        </w:rPr>
      </w:pPr>
    </w:p>
    <w:p>
      <w:pPr>
        <w:ind w:right="240" w:firstLine="464"/>
        <w:spacing w:after="0" w:line="259" w:lineRule="auto"/>
        <w:tabs>
          <w:tab w:leader="none" w:pos="69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40" w:lineRule="exact"/>
        <w:rPr>
          <w:rFonts w:ascii="Arial" w:cs="Arial" w:eastAsia="Arial" w:hAnsi="Arial"/>
          <w:sz w:val="18"/>
          <w:szCs w:val="18"/>
          <w:color w:val="auto"/>
        </w:rPr>
      </w:pPr>
    </w:p>
    <w:p>
      <w:pPr>
        <w:ind w:right="220" w:firstLine="464"/>
        <w:spacing w:after="0" w:line="259" w:lineRule="auto"/>
        <w:tabs>
          <w:tab w:leader="none" w:pos="705"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4" w:name="page65"/>
    <w:bookmarkEnd w:id="64"/>
    <w:p>
      <w:pPr>
        <w:ind w:left="1480" w:right="460" w:hanging="567"/>
        <w:spacing w:after="0" w:line="357" w:lineRule="auto"/>
        <w:tabs>
          <w:tab w:leader="none" w:pos="1480" w:val="left"/>
        </w:tabs>
        <w:numPr>
          <w:ilvl w:val="2"/>
          <w:numId w:val="5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ind w:left="1480" w:right="40" w:hanging="567"/>
        <w:spacing w:after="0" w:line="256" w:lineRule="auto"/>
        <w:tabs>
          <w:tab w:leader="none" w:pos="148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certificate evidencing the Shares may bear a restrictive legend;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57"/>
        </w:numPr>
        <w:rPr>
          <w:rFonts w:ascii="Arial" w:cs="Arial" w:eastAsia="Arial" w:hAnsi="Arial"/>
          <w:sz w:val="16"/>
          <w:szCs w:val="16"/>
          <w:color w:val="auto"/>
        </w:rPr>
      </w:pPr>
      <w:r>
        <w:rPr>
          <w:rFonts w:ascii="Arial" w:cs="Arial" w:eastAsia="Arial" w:hAnsi="Arial"/>
          <w:sz w:val="16"/>
          <w:szCs w:val="16"/>
          <w:color w:val="auto"/>
        </w:rPr>
        <w:t>the Shares subject to the Option may not be transferred without compliance with all applicable federal and state securities laws.</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Delay of Exercise Pending Registration of Securities</w:t>
      </w:r>
      <w:r>
        <w:rPr>
          <w:rFonts w:ascii="Arial" w:cs="Arial" w:eastAsia="Arial" w:hAnsi="Arial"/>
          <w:sz w:val="16"/>
          <w:szCs w:val="16"/>
          <w:color w:val="auto"/>
        </w:rPr>
        <w:t>. Notwithstanding any provision in the Plan or an option document to the contrary, if the</w:t>
      </w:r>
    </w:p>
    <w:p>
      <w:pPr>
        <w:spacing w:after="0" w:line="38" w:lineRule="exact"/>
        <w:rPr>
          <w:rFonts w:ascii="Arial" w:cs="Arial" w:eastAsia="Arial" w:hAnsi="Arial"/>
          <w:sz w:val="16"/>
          <w:szCs w:val="16"/>
          <w:color w:val="auto"/>
        </w:rPr>
      </w:pPr>
    </w:p>
    <w:p>
      <w:pPr>
        <w:ind w:right="100"/>
        <w:spacing w:after="0" w:line="254" w:lineRule="auto"/>
        <w:rPr>
          <w:rFonts w:ascii="Arial" w:cs="Arial" w:eastAsia="Arial" w:hAnsi="Arial"/>
          <w:sz w:val="16"/>
          <w:szCs w:val="16"/>
          <w:color w:val="auto"/>
        </w:rPr>
      </w:pPr>
      <w:r>
        <w:rPr>
          <w:rFonts w:ascii="Arial" w:cs="Arial" w:eastAsia="Arial" w:hAnsi="Arial"/>
          <w:sz w:val="18"/>
          <w:szCs w:val="18"/>
          <w:color w:val="auto"/>
        </w:rPr>
        <w:t>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18" w:lineRule="exact"/>
        <w:rPr>
          <w:rFonts w:ascii="Arial" w:cs="Arial" w:eastAsia="Arial" w:hAnsi="Arial"/>
          <w:sz w:val="16"/>
          <w:szCs w:val="16"/>
          <w:color w:val="auto"/>
        </w:rPr>
      </w:pPr>
    </w:p>
    <w:p>
      <w:pPr>
        <w:ind w:left="280" w:hanging="272"/>
        <w:spacing w:after="0"/>
        <w:tabs>
          <w:tab w:leader="none" w:pos="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96" w:lineRule="exact"/>
        <w:rPr>
          <w:rFonts w:ascii="Arial" w:cs="Arial" w:eastAsia="Arial" w:hAnsi="Arial"/>
          <w:sz w:val="18"/>
          <w:szCs w:val="18"/>
          <w:b w:val="1"/>
          <w:bCs w:val="1"/>
          <w:color w:val="auto"/>
        </w:rPr>
      </w:pPr>
    </w:p>
    <w:p>
      <w:pPr>
        <w:ind w:firstLine="464"/>
        <w:spacing w:after="0" w:line="290" w:lineRule="auto"/>
        <w:tabs>
          <w:tab w:leader="none" w:pos="695" w:val="left"/>
        </w:tabs>
        <w:numPr>
          <w:ilvl w:val="1"/>
          <w:numId w:val="59"/>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5" w:name="page66"/>
    <w:bookmarkEnd w:id="65"/>
    <w:p>
      <w:pPr>
        <w:ind w:left="-20" w:right="40" w:firstLine="464"/>
        <w:spacing w:after="0" w:line="285" w:lineRule="auto"/>
        <w:tabs>
          <w:tab w:leader="none" w:pos="685"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 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126" w:lineRule="exact"/>
        <w:rPr>
          <w:rFonts w:ascii="Arial" w:cs="Arial" w:eastAsia="Arial" w:hAnsi="Arial"/>
          <w:sz w:val="16"/>
          <w:szCs w:val="16"/>
          <w:color w:val="auto"/>
        </w:rPr>
      </w:pPr>
    </w:p>
    <w:p>
      <w:pPr>
        <w:ind w:left="-20" w:firstLine="464"/>
        <w:spacing w:after="0" w:line="288" w:lineRule="auto"/>
        <w:tabs>
          <w:tab w:leader="none" w:pos="6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66" w:name="page67"/>
    <w:bookmarkEnd w:id="66"/>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preceding sentence shall not be available for subsequent grants under the Plan. The Committee may add such other requirements and limitations regarding elections pursuant to this Paragraph 15(c) as it deems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EFFECTIVE DATE AND TERM OF PLAN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amendment and restatement of the Plan shall be effective July 23, 2010, except as otherwise specifically provided herein. The Plan shall expire on May 12, 2019, unless sooner terminated by the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GENERAL</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1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Executed as of the 23rd day of July, 2010.</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L. Cohen</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xml:space="preserve">Attest: </w:t>
      </w:r>
      <w:r>
        <w:rPr>
          <w:rFonts w:ascii="Arial" w:cs="Arial" w:eastAsia="Arial" w:hAnsi="Arial"/>
          <w:sz w:val="18"/>
          <w:szCs w:val="18"/>
          <w:color w:val="auto"/>
        </w:rPr>
        <w:t>/s/ Arthur R. Block</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280"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July 23, 2010)</w:t>
      </w:r>
    </w:p>
    <w:p>
      <w:pPr>
        <w:spacing w:after="0" w:line="171"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96" w:lineRule="exact"/>
        <w:rPr>
          <w:rFonts w:ascii="Arial" w:cs="Arial" w:eastAsia="Arial" w:hAnsi="Arial"/>
          <w:sz w:val="18"/>
          <w:szCs w:val="18"/>
          <w:b w:val="1"/>
          <w:bCs w:val="1"/>
          <w:color w:val="auto"/>
        </w:rPr>
      </w:pPr>
    </w:p>
    <w:p>
      <w:pPr>
        <w:ind w:right="60" w:firstLine="464"/>
        <w:spacing w:after="0" w:line="256" w:lineRule="auto"/>
        <w:tabs>
          <w:tab w:leader="none" w:pos="695"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July 23, 2010.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43" w:lineRule="exact"/>
        <w:rPr>
          <w:rFonts w:ascii="Arial" w:cs="Arial" w:eastAsia="Arial" w:hAnsi="Arial"/>
          <w:sz w:val="18"/>
          <w:szCs w:val="18"/>
          <w:color w:val="auto"/>
        </w:rPr>
      </w:pPr>
    </w:p>
    <w:p>
      <w:pPr>
        <w:ind w:right="40" w:firstLine="464"/>
        <w:spacing w:after="0" w:line="289" w:lineRule="auto"/>
        <w:tabs>
          <w:tab w:leader="none" w:pos="705"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Except as provided in Paragraph 2(ee) or Paragraph 8(i)(iii) of the Plan,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18" w:lineRule="exact"/>
        <w:rPr>
          <w:rFonts w:ascii="Arial" w:cs="Arial" w:eastAsia="Arial" w:hAnsi="Arial"/>
          <w:sz w:val="16"/>
          <w:szCs w:val="16"/>
          <w:color w:val="auto"/>
        </w:rPr>
      </w:pPr>
    </w:p>
    <w:p>
      <w:pPr>
        <w:ind w:right="120" w:firstLine="464"/>
        <w:spacing w:after="0" w:line="259" w:lineRule="auto"/>
        <w:tabs>
          <w:tab w:leader="none" w:pos="695"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40" w:lineRule="exact"/>
        <w:rPr>
          <w:rFonts w:ascii="Arial" w:cs="Arial" w:eastAsia="Arial" w:hAnsi="Arial"/>
          <w:sz w:val="18"/>
          <w:szCs w:val="18"/>
          <w:color w:val="auto"/>
        </w:rPr>
      </w:pPr>
    </w:p>
    <w:p>
      <w:pPr>
        <w:ind w:right="60" w:firstLine="464"/>
        <w:spacing w:after="0" w:line="294" w:lineRule="auto"/>
        <w:tabs>
          <w:tab w:leader="none" w:pos="705"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1420"/>
          </w:cols>
          <w:pgMar w:left="240" w:top="125" w:right="239" w:bottom="1440" w:gutter="0" w:footer="0" w:header="0"/>
        </w:sectPr>
      </w:pPr>
    </w:p>
    <w:bookmarkStart w:id="68" w:name="page69"/>
    <w:bookmarkEnd w:id="68"/>
    <w:p>
      <w:pPr>
        <w:ind w:left="172" w:hanging="172"/>
        <w:spacing w:after="0"/>
        <w:tabs>
          <w:tab w:leader="none" w:pos="17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p>
    <w:p>
      <w:pPr>
        <w:spacing w:after="0" w:line="96" w:lineRule="exact"/>
        <w:rPr>
          <w:rFonts w:ascii="Arial" w:cs="Arial" w:eastAsia="Arial" w:hAnsi="Arial"/>
          <w:sz w:val="18"/>
          <w:szCs w:val="18"/>
          <w:b w:val="1"/>
          <w:bCs w:val="1"/>
          <w:color w:val="auto"/>
        </w:rPr>
      </w:pPr>
    </w:p>
    <w:p>
      <w:pPr>
        <w:ind w:left="-8" w:right="60" w:firstLine="464"/>
        <w:spacing w:after="0" w:line="332" w:lineRule="auto"/>
        <w:tabs>
          <w:tab w:leader="none" w:pos="687"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Election</w:t>
      </w:r>
      <w:r>
        <w:rPr>
          <w:rFonts w:ascii="Arial" w:cs="Arial" w:eastAsia="Arial" w:hAnsi="Arial"/>
          <w:sz w:val="16"/>
          <w:szCs w:val="16"/>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85" w:lineRule="exact"/>
        <w:rPr>
          <w:rFonts w:ascii="Arial" w:cs="Arial" w:eastAsia="Arial" w:hAnsi="Arial"/>
          <w:sz w:val="16"/>
          <w:szCs w:val="16"/>
          <w:color w:val="auto"/>
        </w:rPr>
      </w:pPr>
    </w:p>
    <w:p>
      <w:pPr>
        <w:ind w:left="-8" w:right="60" w:firstLine="464"/>
        <w:spacing w:after="0" w:line="298" w:lineRule="auto"/>
        <w:tabs>
          <w:tab w:leader="none" w:pos="697"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12" w:lineRule="exact"/>
        <w:rPr>
          <w:rFonts w:ascii="Arial" w:cs="Arial" w:eastAsia="Arial" w:hAnsi="Arial"/>
          <w:sz w:val="16"/>
          <w:szCs w:val="16"/>
          <w:color w:val="auto"/>
        </w:rPr>
      </w:pPr>
    </w:p>
    <w:p>
      <w:pPr>
        <w:ind w:left="692" w:hanging="236"/>
        <w:spacing w:after="0"/>
        <w:tabs>
          <w:tab w:leader="none" w:pos="6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71" w:lineRule="exact"/>
        <w:rPr>
          <w:rFonts w:ascii="Arial" w:cs="Arial" w:eastAsia="Arial" w:hAnsi="Arial"/>
          <w:sz w:val="18"/>
          <w:szCs w:val="18"/>
          <w:color w:val="auto"/>
        </w:rPr>
      </w:pPr>
    </w:p>
    <w:p>
      <w:pPr>
        <w:ind w:left="-8" w:right="20" w:firstLine="464"/>
        <w:spacing w:after="0" w:line="256" w:lineRule="auto"/>
        <w:tabs>
          <w:tab w:leader="none" w:pos="697"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8" w:right="500" w:firstLine="464"/>
        <w:spacing w:after="0" w:line="268" w:lineRule="auto"/>
        <w:tabs>
          <w:tab w:leader="none" w:pos="687"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1" w:lineRule="exact"/>
        <w:rPr>
          <w:rFonts w:ascii="Arial" w:cs="Arial" w:eastAsia="Arial" w:hAnsi="Arial"/>
          <w:sz w:val="18"/>
          <w:szCs w:val="18"/>
          <w:color w:val="auto"/>
        </w:rPr>
      </w:pPr>
    </w:p>
    <w:p>
      <w:pPr>
        <w:ind w:left="672" w:hanging="216"/>
        <w:spacing w:after="0"/>
        <w:tabs>
          <w:tab w:leader="none" w:pos="67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62"/>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90" w:lineRule="exact"/>
        <w:rPr>
          <w:rFonts w:ascii="Arial" w:cs="Arial" w:eastAsia="Arial" w:hAnsi="Arial"/>
          <w:sz w:val="18"/>
          <w:szCs w:val="18"/>
          <w:color w:val="auto"/>
        </w:rPr>
      </w:pPr>
    </w:p>
    <w:p>
      <w:pPr>
        <w:ind w:left="1912" w:hanging="440"/>
        <w:spacing w:after="0" w:line="298" w:lineRule="auto"/>
        <w:tabs>
          <w:tab w:leader="none" w:pos="1912" w:val="left"/>
        </w:tabs>
        <w:numPr>
          <w:ilvl w:val="3"/>
          <w:numId w:val="62"/>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Diversification Elections and Special Diversification Elections made before January 1, 2010 shall be the interest rate that, when compounded annually pursuant to rules established by the Committee from time to time, is mathematically equivalent to 8% per annum, compounded annually, or such other interest rate established by the Committee from time to time, provided that</w:t>
      </w:r>
    </w:p>
    <w:p>
      <w:pPr>
        <w:spacing w:after="0" w:line="31" w:lineRule="exact"/>
        <w:rPr>
          <w:rFonts w:ascii="Arial" w:cs="Arial" w:eastAsia="Arial" w:hAnsi="Arial"/>
          <w:sz w:val="16"/>
          <w:szCs w:val="16"/>
          <w:color w:val="auto"/>
        </w:rPr>
      </w:pPr>
    </w:p>
    <w:p>
      <w:pPr>
        <w:ind w:left="1912" w:hanging="440"/>
        <w:spacing w:after="0" w:line="268" w:lineRule="auto"/>
        <w:tabs>
          <w:tab w:leader="none" w:pos="1912" w:val="left"/>
        </w:tabs>
        <w:numPr>
          <w:ilvl w:val="3"/>
          <w:numId w:val="62"/>
        </w:numPr>
        <w:rPr>
          <w:rFonts w:ascii="Arial" w:cs="Arial" w:eastAsia="Arial" w:hAnsi="Arial"/>
          <w:sz w:val="18"/>
          <w:szCs w:val="18"/>
          <w:color w:val="auto"/>
        </w:rPr>
      </w:pPr>
      <w:r>
        <w:rPr>
          <w:rFonts w:ascii="Arial" w:cs="Arial" w:eastAsia="Arial" w:hAnsi="Arial"/>
          <w:sz w:val="18"/>
          <w:szCs w:val="18"/>
          <w:color w:val="auto"/>
        </w:rPr>
        <w:t>the Applicable Interest Rate with respect to amounts credited to the Income Fund that are attributable to Diversification Elections and Special Diversification</w:t>
      </w:r>
    </w:p>
    <w:p>
      <w:pPr>
        <w:spacing w:after="0" w:line="1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274" w:right="339" w:bottom="1440" w:gutter="0" w:footer="0" w:header="0"/>
        </w:sectPr>
      </w:pPr>
    </w:p>
    <w:bookmarkStart w:id="69" w:name="page70"/>
    <w:bookmarkEnd w:id="69"/>
    <w:p>
      <w:pPr>
        <w:ind w:left="1476"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Elections made after December 31, 2009 shall be the “Applicable Interest Rate” under the Comcast Corporation 2005 Deferred Compensation Plan as in effect for active participants in such Plan from time to time.</w:t>
      </w:r>
    </w:p>
    <w:p>
      <w:pPr>
        <w:spacing w:after="0" w:line="51" w:lineRule="exact"/>
        <w:rPr>
          <w:sz w:val="20"/>
          <w:szCs w:val="20"/>
          <w:color w:val="auto"/>
        </w:rPr>
      </w:pPr>
    </w:p>
    <w:p>
      <w:pPr>
        <w:ind w:left="1036"/>
        <w:spacing w:after="0" w:line="259" w:lineRule="auto"/>
        <w:rPr>
          <w:sz w:val="20"/>
          <w:szCs w:val="20"/>
          <w:color w:val="auto"/>
        </w:rPr>
      </w:pPr>
      <w:r>
        <w:rPr>
          <w:rFonts w:ascii="Arial" w:cs="Arial" w:eastAsia="Arial" w:hAnsi="Arial"/>
          <w:sz w:val="18"/>
          <w:szCs w:val="18"/>
          <w:color w:val="auto"/>
        </w:rPr>
        <w:t>The effective date of any reduction in the Applicable Interest Rate shall not precede the later of: (A)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59" w:lineRule="exact"/>
        <w:rPr>
          <w:sz w:val="20"/>
          <w:szCs w:val="20"/>
          <w:color w:val="auto"/>
        </w:rPr>
      </w:pPr>
    </w:p>
    <w:p>
      <w:pPr>
        <w:ind w:left="1016" w:right="40" w:hanging="567"/>
        <w:spacing w:after="0" w:line="291" w:lineRule="auto"/>
        <w:tabs>
          <w:tab w:leader="none" w:pos="1016" w:val="left"/>
        </w:tabs>
        <w:numPr>
          <w:ilvl w:val="1"/>
          <w:numId w:val="63"/>
        </w:numPr>
        <w:rPr>
          <w:rFonts w:ascii="Arial" w:cs="Arial" w:eastAsia="Arial" w:hAnsi="Arial"/>
          <w:sz w:val="16"/>
          <w:szCs w:val="16"/>
          <w:color w:val="auto"/>
        </w:rPr>
      </w:pPr>
      <w:r>
        <w:rPr>
          <w:rFonts w:ascii="Arial" w:cs="Arial" w:eastAsia="Arial" w:hAnsi="Arial"/>
          <w:sz w:val="16"/>
          <w:szCs w:val="16"/>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120" w:lineRule="exact"/>
        <w:rPr>
          <w:rFonts w:ascii="Arial" w:cs="Arial" w:eastAsia="Arial" w:hAnsi="Arial"/>
          <w:sz w:val="16"/>
          <w:szCs w:val="16"/>
          <w:color w:val="auto"/>
        </w:rPr>
      </w:pPr>
    </w:p>
    <w:p>
      <w:pPr>
        <w:ind w:left="-464" w:right="420" w:firstLine="464"/>
        <w:spacing w:after="0" w:line="268" w:lineRule="auto"/>
        <w:tabs>
          <w:tab w:leader="none" w:pos="241"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131" w:lineRule="exact"/>
        <w:rPr>
          <w:rFonts w:ascii="Arial" w:cs="Arial" w:eastAsia="Arial" w:hAnsi="Arial"/>
          <w:sz w:val="18"/>
          <w:szCs w:val="18"/>
          <w:color w:val="auto"/>
        </w:rPr>
      </w:pPr>
    </w:p>
    <w:p>
      <w:pPr>
        <w:ind w:left="256" w:hanging="256"/>
        <w:spacing w:after="0"/>
        <w:tabs>
          <w:tab w:leader="none" w:pos="25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71" w:lineRule="exact"/>
        <w:rPr>
          <w:rFonts w:ascii="Arial" w:cs="Arial" w:eastAsia="Arial" w:hAnsi="Arial"/>
          <w:sz w:val="18"/>
          <w:szCs w:val="18"/>
          <w:color w:val="auto"/>
        </w:rPr>
      </w:pPr>
    </w:p>
    <w:p>
      <w:pPr>
        <w:ind w:left="216" w:hanging="216"/>
        <w:spacing w:after="0"/>
        <w:tabs>
          <w:tab w:leader="none" w:pos="2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216" w:hanging="216"/>
        <w:spacing w:after="0"/>
        <w:tabs>
          <w:tab w:leader="none" w:pos="2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016" w:hanging="567"/>
        <w:spacing w:after="0" w:line="255" w:lineRule="auto"/>
        <w:tabs>
          <w:tab w:leader="none" w:pos="1016" w:val="left"/>
        </w:tabs>
        <w:numPr>
          <w:ilvl w:val="1"/>
          <w:numId w:val="64"/>
        </w:numPr>
        <w:rPr>
          <w:rFonts w:ascii="Arial" w:cs="Arial" w:eastAsia="Arial" w:hAnsi="Arial"/>
          <w:sz w:val="18"/>
          <w:szCs w:val="18"/>
          <w:color w:val="auto"/>
        </w:rPr>
      </w:pPr>
      <w:r>
        <w:rPr>
          <w:rFonts w:ascii="Arial" w:cs="Arial" w:eastAsia="Arial" w:hAnsi="Arial"/>
          <w:sz w:val="18"/>
          <w:szCs w:val="18"/>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62" w:lineRule="exact"/>
        <w:rPr>
          <w:sz w:val="20"/>
          <w:szCs w:val="20"/>
          <w:color w:val="auto"/>
        </w:rPr>
      </w:pPr>
    </w:p>
    <w:p>
      <w:pPr>
        <w:ind w:left="1016" w:hanging="567"/>
        <w:spacing w:after="0"/>
        <w:tabs>
          <w:tab w:leader="none" w:pos="1016"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w:t>
      </w:r>
    </w:p>
    <w:p>
      <w:pPr>
        <w:spacing w:after="0" w:line="180" w:lineRule="exact"/>
        <w:rPr>
          <w:rFonts w:ascii="Arial" w:cs="Arial" w:eastAsia="Arial" w:hAnsi="Arial"/>
          <w:sz w:val="16"/>
          <w:szCs w:val="16"/>
          <w:color w:val="auto"/>
        </w:rPr>
      </w:pPr>
    </w:p>
    <w:p>
      <w:pPr>
        <w:ind w:left="5156"/>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0896"/>
          </w:cols>
          <w:pgMar w:left="704" w:top="280" w:right="299" w:bottom="1440" w:gutter="0" w:footer="0" w:header="0"/>
        </w:sectPr>
      </w:pPr>
    </w:p>
    <w:bookmarkStart w:id="70" w:name="page71"/>
    <w:bookmarkEnd w:id="70"/>
    <w:p>
      <w:pPr>
        <w:ind w:left="1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or a change in the ownership of a substantial portion of the assets of the Company, within the meaning of Section 409A.</w:t>
      </w:r>
    </w:p>
    <w:p>
      <w:pPr>
        <w:spacing w:after="0" w:line="194" w:lineRule="exact"/>
        <w:rPr>
          <w:sz w:val="20"/>
          <w:szCs w:val="20"/>
          <w:color w:val="auto"/>
        </w:rPr>
      </w:pPr>
    </w:p>
    <w:p>
      <w:pPr>
        <w:ind w:left="700" w:hanging="2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20" w:right="160" w:firstLine="464"/>
        <w:spacing w:after="0" w:line="256" w:lineRule="auto"/>
        <w:tabs>
          <w:tab w:leader="none" w:pos="6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43" w:lineRule="exact"/>
        <w:rPr>
          <w:rFonts w:ascii="Arial" w:cs="Arial" w:eastAsia="Arial" w:hAnsi="Arial"/>
          <w:sz w:val="18"/>
          <w:szCs w:val="18"/>
          <w:color w:val="auto"/>
        </w:rPr>
      </w:pPr>
    </w:p>
    <w:p>
      <w:pPr>
        <w:ind w:left="740" w:hanging="296"/>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71" w:lineRule="exact"/>
        <w:rPr>
          <w:rFonts w:ascii="Arial" w:cs="Arial" w:eastAsia="Arial" w:hAnsi="Arial"/>
          <w:sz w:val="18"/>
          <w:szCs w:val="18"/>
          <w:color w:val="auto"/>
        </w:rPr>
      </w:pPr>
    </w:p>
    <w:p>
      <w:pPr>
        <w:ind w:left="-20" w:right="260" w:firstLine="464"/>
        <w:spacing w:after="0" w:line="268" w:lineRule="auto"/>
        <w:tabs>
          <w:tab w:leader="none" w:pos="6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left="-20" w:firstLine="464"/>
        <w:spacing w:after="0" w:line="290" w:lineRule="auto"/>
        <w:tabs>
          <w:tab w:leader="none" w:pos="685" w:val="left"/>
        </w:tabs>
        <w:numPr>
          <w:ilvl w:val="0"/>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18" w:lineRule="exact"/>
        <w:rPr>
          <w:rFonts w:ascii="Arial" w:cs="Arial" w:eastAsia="Arial" w:hAnsi="Arial"/>
          <w:sz w:val="16"/>
          <w:szCs w:val="16"/>
          <w:color w:val="auto"/>
        </w:rPr>
      </w:pPr>
    </w:p>
    <w:p>
      <w:pPr>
        <w:ind w:left="700" w:hanging="256"/>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hanging="567"/>
        <w:spacing w:after="0"/>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90" w:lineRule="exact"/>
        <w:rPr>
          <w:rFonts w:ascii="Arial" w:cs="Arial" w:eastAsia="Arial" w:hAnsi="Arial"/>
          <w:sz w:val="18"/>
          <w:szCs w:val="18"/>
          <w:color w:val="auto"/>
        </w:rPr>
      </w:pPr>
    </w:p>
    <w:p>
      <w:pPr>
        <w:ind w:left="1460" w:hanging="567"/>
        <w:spacing w:after="0"/>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71" w:name="page72"/>
    <w:bookmarkEnd w:id="71"/>
    <w:p>
      <w:pPr>
        <w:ind w:left="1420" w:right="140" w:hanging="567"/>
        <w:spacing w:after="0" w:line="268"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Eligible Employee whose Annual Rate of Pay is $200,000 or more as of both: (A) the date on which an Initial Election is filed with the Committee; and (B) the first day of the calendar year in which such Initial Election filed.</w:t>
      </w:r>
    </w:p>
    <w:p>
      <w:pPr>
        <w:spacing w:after="0" w:line="50" w:lineRule="exact"/>
        <w:rPr>
          <w:rFonts w:ascii="Arial" w:cs="Arial" w:eastAsia="Arial" w:hAnsi="Arial"/>
          <w:sz w:val="18"/>
          <w:szCs w:val="18"/>
          <w:color w:val="auto"/>
        </w:rPr>
      </w:pPr>
    </w:p>
    <w:p>
      <w:pPr>
        <w:ind w:left="1420" w:right="160" w:hanging="567"/>
        <w:spacing w:after="0" w:line="268"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50" w:lineRule="exact"/>
        <w:rPr>
          <w:rFonts w:ascii="Arial" w:cs="Arial" w:eastAsia="Arial" w:hAnsi="Arial"/>
          <w:sz w:val="18"/>
          <w:szCs w:val="18"/>
          <w:color w:val="auto"/>
        </w:rPr>
      </w:pPr>
    </w:p>
    <w:p>
      <w:pPr>
        <w:ind w:left="1420" w:hanging="567"/>
        <w:spacing w:after="0"/>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90" w:lineRule="exact"/>
        <w:rPr>
          <w:rFonts w:ascii="Arial" w:cs="Arial" w:eastAsia="Arial" w:hAnsi="Arial"/>
          <w:sz w:val="18"/>
          <w:szCs w:val="18"/>
          <w:color w:val="auto"/>
        </w:rPr>
      </w:pPr>
    </w:p>
    <w:p>
      <w:pPr>
        <w:ind w:left="1420" w:right="400" w:hanging="567"/>
        <w:spacing w:after="0" w:line="268" w:lineRule="auto"/>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31" w:lineRule="exact"/>
        <w:rPr>
          <w:rFonts w:ascii="Arial" w:cs="Arial" w:eastAsia="Arial" w:hAnsi="Arial"/>
          <w:sz w:val="18"/>
          <w:szCs w:val="18"/>
          <w:color w:val="auto"/>
        </w:rPr>
      </w:pPr>
    </w:p>
    <w:p>
      <w:pPr>
        <w:ind w:left="620" w:hanging="216"/>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660" w:hanging="25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20" w:right="60" w:hanging="567"/>
        <w:spacing w:after="0" w:line="259" w:lineRule="auto"/>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59" w:lineRule="exact"/>
        <w:rPr>
          <w:rFonts w:ascii="Arial" w:cs="Arial" w:eastAsia="Arial" w:hAnsi="Arial"/>
          <w:sz w:val="18"/>
          <w:szCs w:val="18"/>
          <w:color w:val="auto"/>
        </w:rPr>
      </w:pPr>
    </w:p>
    <w:p>
      <w:pPr>
        <w:ind w:left="1420" w:right="500" w:hanging="567"/>
        <w:spacing w:after="0" w:line="268" w:lineRule="auto"/>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131" w:lineRule="exact"/>
        <w:rPr>
          <w:rFonts w:ascii="Arial" w:cs="Arial" w:eastAsia="Arial" w:hAnsi="Arial"/>
          <w:sz w:val="18"/>
          <w:szCs w:val="18"/>
          <w:color w:val="auto"/>
        </w:rPr>
      </w:pPr>
    </w:p>
    <w:p>
      <w:pPr>
        <w:ind w:left="660" w:hanging="25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20" w:hanging="567"/>
        <w:spacing w:after="0"/>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90" w:lineRule="exact"/>
        <w:rPr>
          <w:rFonts w:ascii="Arial" w:cs="Arial" w:eastAsia="Arial" w:hAnsi="Arial"/>
          <w:sz w:val="18"/>
          <w:szCs w:val="18"/>
          <w:color w:val="auto"/>
        </w:rPr>
      </w:pPr>
    </w:p>
    <w:p>
      <w:pPr>
        <w:ind w:left="1420" w:hanging="567"/>
        <w:spacing w:after="0"/>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171" w:lineRule="exact"/>
        <w:rPr>
          <w:rFonts w:ascii="Arial" w:cs="Arial" w:eastAsia="Arial" w:hAnsi="Arial"/>
          <w:sz w:val="18"/>
          <w:szCs w:val="18"/>
          <w:color w:val="auto"/>
        </w:rPr>
      </w:pPr>
    </w:p>
    <w:p>
      <w:pPr>
        <w:ind w:left="-60" w:firstLine="464"/>
        <w:spacing w:after="0" w:line="259" w:lineRule="auto"/>
        <w:tabs>
          <w:tab w:leader="none" w:pos="684"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40" w:lineRule="exact"/>
        <w:rPr>
          <w:rFonts w:ascii="Arial" w:cs="Arial" w:eastAsia="Arial" w:hAnsi="Arial"/>
          <w:sz w:val="18"/>
          <w:szCs w:val="18"/>
          <w:color w:val="auto"/>
        </w:rPr>
      </w:pPr>
    </w:p>
    <w:p>
      <w:pPr>
        <w:ind w:left="660" w:hanging="256"/>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300" w:top="280" w:right="299" w:bottom="1440" w:gutter="0" w:footer="0" w:header="0"/>
        </w:sectPr>
      </w:pPr>
    </w:p>
    <w:bookmarkStart w:id="72" w:name="page73"/>
    <w:bookmarkEnd w:id="72"/>
    <w:p>
      <w:pPr>
        <w:ind w:left="700" w:hanging="25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60" w:right="580" w:hanging="567"/>
        <w:spacing w:after="0" w:line="357" w:lineRule="auto"/>
        <w:tabs>
          <w:tab w:leader="none" w:pos="1460" w:val="left"/>
        </w:tabs>
        <w:numPr>
          <w:ilvl w:val="1"/>
          <w:numId w:val="69"/>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jc w:val="both"/>
        <w:ind w:left="1460" w:right="40" w:hanging="567"/>
        <w:spacing w:after="0" w:line="259"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59" w:lineRule="exact"/>
        <w:rPr>
          <w:rFonts w:ascii="Arial" w:cs="Arial" w:eastAsia="Arial" w:hAnsi="Arial"/>
          <w:sz w:val="18"/>
          <w:szCs w:val="18"/>
          <w:color w:val="auto"/>
        </w:rPr>
      </w:pPr>
    </w:p>
    <w:p>
      <w:pPr>
        <w:ind w:left="1460" w:hanging="567"/>
        <w:spacing w:after="0"/>
        <w:tabs>
          <w:tab w:leader="none" w:pos="14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94" w:lineRule="exact"/>
        <w:rPr>
          <w:sz w:val="20"/>
          <w:szCs w:val="20"/>
          <w:color w:val="auto"/>
        </w:rPr>
      </w:pPr>
    </w:p>
    <w:p>
      <w:pPr>
        <w:ind w:left="-20" w:right="280" w:firstLine="464"/>
        <w:spacing w:after="0" w:line="332" w:lineRule="auto"/>
        <w:tabs>
          <w:tab w:leader="none" w:pos="753"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has the meaning given to such term in General Instructions A.1(a)(5) to Form S-8 under the Securities Act of 1933, as amended, and any successor thereto.</w:t>
      </w:r>
    </w:p>
    <w:p>
      <w:pPr>
        <w:spacing w:after="0" w:line="85" w:lineRule="exact"/>
        <w:rPr>
          <w:rFonts w:ascii="Arial" w:cs="Arial" w:eastAsia="Arial" w:hAnsi="Arial"/>
          <w:sz w:val="16"/>
          <w:szCs w:val="16"/>
          <w:color w:val="auto"/>
        </w:rPr>
      </w:pPr>
    </w:p>
    <w:p>
      <w:pPr>
        <w:ind w:left="-20" w:right="520" w:firstLine="464"/>
        <w:spacing w:after="0" w:line="268" w:lineRule="auto"/>
        <w:tabs>
          <w:tab w:leader="none" w:pos="7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131" w:lineRule="exact"/>
        <w:rPr>
          <w:rFonts w:ascii="Arial" w:cs="Arial" w:eastAsia="Arial" w:hAnsi="Arial"/>
          <w:sz w:val="18"/>
          <w:szCs w:val="18"/>
          <w:color w:val="auto"/>
        </w:rPr>
      </w:pPr>
    </w:p>
    <w:p>
      <w:pPr>
        <w:ind w:left="760" w:hanging="316"/>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71" w:lineRule="exact"/>
        <w:rPr>
          <w:rFonts w:ascii="Arial" w:cs="Arial" w:eastAsia="Arial" w:hAnsi="Arial"/>
          <w:sz w:val="18"/>
          <w:szCs w:val="18"/>
          <w:color w:val="auto"/>
        </w:rPr>
      </w:pPr>
    </w:p>
    <w:p>
      <w:pPr>
        <w:ind w:left="-20" w:firstLine="464"/>
        <w:spacing w:after="0" w:line="291" w:lineRule="auto"/>
        <w:tabs>
          <w:tab w:leader="none" w:pos="773"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20" w:lineRule="exact"/>
        <w:rPr>
          <w:rFonts w:ascii="Arial" w:cs="Arial" w:eastAsia="Arial" w:hAnsi="Arial"/>
          <w:sz w:val="16"/>
          <w:szCs w:val="16"/>
          <w:color w:val="auto"/>
        </w:rPr>
      </w:pPr>
    </w:p>
    <w:p>
      <w:pPr>
        <w:ind w:left="-20" w:firstLine="464"/>
        <w:spacing w:after="0" w:line="298" w:lineRule="auto"/>
        <w:tabs>
          <w:tab w:leader="none" w:pos="753"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Except as otherwise provided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73" w:name="page74"/>
    <w:bookmarkEnd w:id="7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8(l), and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140" w:lineRule="exact"/>
        <w:rPr>
          <w:sz w:val="20"/>
          <w:szCs w:val="20"/>
          <w:color w:val="auto"/>
        </w:rPr>
      </w:pPr>
    </w:p>
    <w:p>
      <w:pPr>
        <w:ind w:right="400" w:firstLine="464"/>
        <w:spacing w:after="0" w:line="259" w:lineRule="auto"/>
        <w:tabs>
          <w:tab w:leader="none" w:pos="7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140" w:lineRule="exact"/>
        <w:rPr>
          <w:rFonts w:ascii="Arial" w:cs="Arial" w:eastAsia="Arial" w:hAnsi="Arial"/>
          <w:sz w:val="18"/>
          <w:szCs w:val="18"/>
          <w:color w:val="auto"/>
        </w:rPr>
      </w:pPr>
    </w:p>
    <w:p>
      <w:pPr>
        <w:ind w:right="140" w:firstLine="464"/>
        <w:spacing w:after="0" w:line="259" w:lineRule="auto"/>
        <w:tabs>
          <w:tab w:leader="none" w:pos="7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40" w:lineRule="exact"/>
        <w:rPr>
          <w:rFonts w:ascii="Arial" w:cs="Arial" w:eastAsia="Arial" w:hAnsi="Arial"/>
          <w:sz w:val="18"/>
          <w:szCs w:val="18"/>
          <w:color w:val="auto"/>
        </w:rPr>
      </w:pPr>
    </w:p>
    <w:p>
      <w:pPr>
        <w:ind w:right="200" w:firstLine="464"/>
        <w:spacing w:after="0" w:line="268" w:lineRule="auto"/>
        <w:tabs>
          <w:tab w:leader="none" w:pos="7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right="100" w:firstLine="464"/>
        <w:spacing w:after="0" w:line="268" w:lineRule="auto"/>
        <w:tabs>
          <w:tab w:leader="none" w:pos="7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90"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90" w:lineRule="exact"/>
        <w:rPr>
          <w:rFonts w:ascii="Arial" w:cs="Arial" w:eastAsia="Arial" w:hAnsi="Arial"/>
          <w:sz w:val="18"/>
          <w:szCs w:val="18"/>
          <w:color w:val="auto"/>
        </w:rPr>
      </w:pPr>
    </w:p>
    <w:p>
      <w:pPr>
        <w:ind w:left="1920" w:right="160" w:hanging="440"/>
        <w:spacing w:after="0" w:line="268" w:lineRule="auto"/>
        <w:tabs>
          <w:tab w:leader="none" w:pos="19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2(jj) (i); over</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3"/>
          <w:numId w:val="71"/>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for less than six months; plus</w:t>
      </w:r>
    </w:p>
    <w:p>
      <w:pPr>
        <w:spacing w:after="0" w:line="113" w:lineRule="exact"/>
        <w:rPr>
          <w:rFonts w:ascii="Arial" w:cs="Arial" w:eastAsia="Arial" w:hAnsi="Arial"/>
          <w:sz w:val="16"/>
          <w:szCs w:val="16"/>
          <w:color w:val="auto"/>
        </w:rPr>
      </w:pPr>
    </w:p>
    <w:p>
      <w:pPr>
        <w:ind w:left="1500" w:right="240" w:firstLine="389"/>
        <w:spacing w:after="0" w:line="268" w:lineRule="auto"/>
        <w:tabs>
          <w:tab w:leader="none" w:pos="2146" w:val="left"/>
        </w:tabs>
        <w:numPr>
          <w:ilvl w:val="3"/>
          <w:numId w:val="71"/>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4" w:name="page75"/>
    <w:bookmarkEnd w:id="74"/>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Paragraph 9(c)(ii) or any similar withholding certification under any other Comcast Plan; plus</w:t>
      </w:r>
    </w:p>
    <w:p>
      <w:pPr>
        <w:spacing w:after="0" w:line="90" w:lineRule="exact"/>
        <w:rPr>
          <w:sz w:val="20"/>
          <w:szCs w:val="20"/>
          <w:color w:val="auto"/>
        </w:rPr>
      </w:pPr>
    </w:p>
    <w:p>
      <w:pPr>
        <w:ind w:left="1500" w:right="120" w:firstLine="389"/>
        <w:spacing w:after="0" w:line="298" w:lineRule="auto"/>
        <w:tabs>
          <w:tab w:leader="none" w:pos="214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1" w:lineRule="exact"/>
        <w:rPr>
          <w:rFonts w:ascii="Arial" w:cs="Arial" w:eastAsia="Arial" w:hAnsi="Arial"/>
          <w:sz w:val="16"/>
          <w:szCs w:val="16"/>
          <w:color w:val="auto"/>
        </w:rPr>
      </w:pPr>
    </w:p>
    <w:p>
      <w:pPr>
        <w:ind w:left="1500" w:firstLine="389"/>
        <w:spacing w:after="0" w:line="306" w:lineRule="auto"/>
        <w:tabs>
          <w:tab w:leader="none" w:pos="214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118" w:lineRule="exact"/>
        <w:rPr>
          <w:sz w:val="20"/>
          <w:szCs w:val="20"/>
          <w:color w:val="auto"/>
        </w:rPr>
      </w:pPr>
    </w:p>
    <w:p>
      <w:pPr>
        <w:ind w:left="800" w:hanging="33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rFonts w:ascii="Arial" w:cs="Arial" w:eastAsia="Arial" w:hAnsi="Arial"/>
          <w:sz w:val="18"/>
          <w:szCs w:val="18"/>
          <w:color w:val="auto"/>
        </w:rPr>
      </w:pPr>
    </w:p>
    <w:p>
      <w:pPr>
        <w:ind w:left="900" w:hanging="43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75" w:name="page76"/>
    <w:bookmarkEnd w:id="75"/>
    <w:p>
      <w:pPr>
        <w:ind w:left="-40" w:right="40" w:firstLine="464"/>
        <w:spacing w:after="0" w:line="256" w:lineRule="auto"/>
        <w:tabs>
          <w:tab w:leader="none" w:pos="753"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43" w:lineRule="exact"/>
        <w:rPr>
          <w:rFonts w:ascii="Arial" w:cs="Arial" w:eastAsia="Arial" w:hAnsi="Arial"/>
          <w:sz w:val="18"/>
          <w:szCs w:val="18"/>
          <w:color w:val="auto"/>
        </w:rPr>
      </w:pPr>
    </w:p>
    <w:p>
      <w:pPr>
        <w:ind w:left="760" w:hanging="336"/>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71" w:lineRule="exact"/>
        <w:rPr>
          <w:rFonts w:ascii="Arial" w:cs="Arial" w:eastAsia="Arial" w:hAnsi="Arial"/>
          <w:sz w:val="18"/>
          <w:szCs w:val="18"/>
          <w:color w:val="auto"/>
        </w:rPr>
      </w:pPr>
    </w:p>
    <w:p>
      <w:pPr>
        <w:ind w:left="700" w:hanging="27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71" w:lineRule="exact"/>
        <w:rPr>
          <w:rFonts w:ascii="Arial" w:cs="Arial" w:eastAsia="Arial" w:hAnsi="Arial"/>
          <w:sz w:val="18"/>
          <w:szCs w:val="18"/>
          <w:color w:val="auto"/>
        </w:rPr>
      </w:pPr>
    </w:p>
    <w:p>
      <w:pPr>
        <w:ind w:left="720" w:hanging="296"/>
        <w:spacing w:after="0"/>
        <w:tabs>
          <w:tab w:leader="none" w:pos="7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94" w:lineRule="exact"/>
        <w:rPr>
          <w:rFonts w:ascii="Arial" w:cs="Arial" w:eastAsia="Arial" w:hAnsi="Arial"/>
          <w:sz w:val="16"/>
          <w:szCs w:val="16"/>
          <w:color w:val="auto"/>
        </w:rPr>
      </w:pPr>
    </w:p>
    <w:p>
      <w:pPr>
        <w:ind w:left="680" w:hanging="256"/>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71" w:lineRule="exact"/>
        <w:rPr>
          <w:rFonts w:ascii="Arial" w:cs="Arial" w:eastAsia="Arial" w:hAnsi="Arial"/>
          <w:sz w:val="18"/>
          <w:szCs w:val="18"/>
          <w:color w:val="auto"/>
        </w:rPr>
      </w:pPr>
    </w:p>
    <w:p>
      <w:pPr>
        <w:ind w:left="760" w:hanging="336"/>
        <w:spacing w:after="0"/>
        <w:tabs>
          <w:tab w:leader="none" w:pos="7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194" w:lineRule="exact"/>
        <w:rPr>
          <w:rFonts w:ascii="Arial" w:cs="Arial" w:eastAsia="Arial" w:hAnsi="Arial"/>
          <w:sz w:val="16"/>
          <w:szCs w:val="16"/>
          <w:color w:val="auto"/>
        </w:rPr>
      </w:pPr>
    </w:p>
    <w:p>
      <w:pPr>
        <w:ind w:left="760" w:hanging="336"/>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90" w:lineRule="exact"/>
        <w:rPr>
          <w:rFonts w:ascii="Arial" w:cs="Arial" w:eastAsia="Arial" w:hAnsi="Arial"/>
          <w:sz w:val="18"/>
          <w:szCs w:val="18"/>
          <w:color w:val="auto"/>
        </w:rPr>
      </w:pPr>
    </w:p>
    <w:p>
      <w:pPr>
        <w:ind w:left="1440" w:hanging="567"/>
        <w:spacing w:after="0"/>
        <w:tabs>
          <w:tab w:leader="none" w:pos="14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except as provided in Paragraph 2(vv)(ii), a share or shares of Common Stock.</w:t>
      </w:r>
    </w:p>
    <w:p>
      <w:pPr>
        <w:spacing w:after="0" w:line="90" w:lineRule="exact"/>
        <w:rPr>
          <w:rFonts w:ascii="Arial" w:cs="Arial" w:eastAsia="Arial" w:hAnsi="Arial"/>
          <w:sz w:val="18"/>
          <w:szCs w:val="18"/>
          <w:color w:val="auto"/>
        </w:rPr>
      </w:pPr>
    </w:p>
    <w:p>
      <w:pPr>
        <w:ind w:left="1440" w:right="120" w:hanging="567"/>
        <w:spacing w:after="0" w:line="370" w:lineRule="auto"/>
        <w:tabs>
          <w:tab w:leader="none" w:pos="1440" w:val="left"/>
        </w:tabs>
        <w:numPr>
          <w:ilvl w:val="1"/>
          <w:numId w:val="74"/>
        </w:numPr>
        <w:rPr>
          <w:rFonts w:ascii="Arial" w:cs="Arial" w:eastAsia="Arial" w:hAnsi="Arial"/>
          <w:sz w:val="15"/>
          <w:szCs w:val="15"/>
          <w:color w:val="auto"/>
        </w:rPr>
      </w:pPr>
      <w:r>
        <w:rPr>
          <w:rFonts w:ascii="Arial" w:cs="Arial" w:eastAsia="Arial" w:hAnsi="Arial"/>
          <w:sz w:val="15"/>
          <w:szCs w:val="15"/>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62" w:lineRule="exact"/>
        <w:rPr>
          <w:rFonts w:ascii="Arial" w:cs="Arial" w:eastAsia="Arial" w:hAnsi="Arial"/>
          <w:sz w:val="15"/>
          <w:szCs w:val="15"/>
          <w:color w:val="auto"/>
        </w:rPr>
      </w:pPr>
    </w:p>
    <w:p>
      <w:pPr>
        <w:ind w:left="840" w:hanging="416"/>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71" w:lineRule="exact"/>
        <w:rPr>
          <w:rFonts w:ascii="Arial" w:cs="Arial" w:eastAsia="Arial" w:hAnsi="Arial"/>
          <w:sz w:val="18"/>
          <w:szCs w:val="18"/>
          <w:color w:val="auto"/>
        </w:rPr>
      </w:pPr>
    </w:p>
    <w:p>
      <w:pPr>
        <w:ind w:left="-40" w:right="180" w:firstLine="464"/>
        <w:spacing w:after="0" w:line="256" w:lineRule="auto"/>
        <w:tabs>
          <w:tab w:leader="none" w:pos="7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143" w:lineRule="exact"/>
        <w:rPr>
          <w:rFonts w:ascii="Arial" w:cs="Arial" w:eastAsia="Arial" w:hAnsi="Arial"/>
          <w:sz w:val="18"/>
          <w:szCs w:val="18"/>
          <w:color w:val="auto"/>
        </w:rPr>
      </w:pPr>
    </w:p>
    <w:p>
      <w:pPr>
        <w:ind w:left="-40" w:firstLine="464"/>
        <w:spacing w:after="0" w:line="259" w:lineRule="auto"/>
        <w:tabs>
          <w:tab w:leader="none" w:pos="7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80" w:right="259" w:bottom="1440" w:gutter="0" w:footer="0" w:header="0"/>
        </w:sectPr>
      </w:pPr>
    </w:p>
    <w:bookmarkStart w:id="76" w:name="page77"/>
    <w:bookmarkEnd w:id="76"/>
    <w:p>
      <w:pPr>
        <w:ind w:firstLine="464"/>
        <w:spacing w:after="0" w:line="268" w:lineRule="auto"/>
        <w:tabs>
          <w:tab w:leader="none" w:pos="773"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32" w:lineRule="exact"/>
        <w:rPr>
          <w:sz w:val="20"/>
          <w:szCs w:val="20"/>
          <w:color w:val="auto"/>
        </w:rPr>
      </w:pPr>
    </w:p>
    <w:p>
      <w:pPr>
        <w:ind w:right="100" w:firstLine="464"/>
        <w:spacing w:after="0" w:line="332" w:lineRule="auto"/>
        <w:tabs>
          <w:tab w:leader="none" w:pos="851"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85" w:lineRule="exact"/>
        <w:rPr>
          <w:rFonts w:ascii="Arial" w:cs="Arial" w:eastAsia="Arial" w:hAnsi="Arial"/>
          <w:sz w:val="16"/>
          <w:szCs w:val="16"/>
          <w:color w:val="auto"/>
        </w:rPr>
      </w:pPr>
    </w:p>
    <w:p>
      <w:pPr>
        <w:ind w:left="880" w:hanging="416"/>
        <w:spacing w:after="0"/>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280" w:firstLine="464"/>
        <w:spacing w:after="0" w:line="332" w:lineRule="auto"/>
        <w:tabs>
          <w:tab w:leader="none" w:pos="851"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right="100" w:firstLine="464"/>
        <w:spacing w:after="0" w:line="332" w:lineRule="auto"/>
        <w:tabs>
          <w:tab w:leader="none" w:pos="881"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85" w:lineRule="exact"/>
        <w:rPr>
          <w:rFonts w:ascii="Arial" w:cs="Arial" w:eastAsia="Arial" w:hAnsi="Arial"/>
          <w:sz w:val="16"/>
          <w:szCs w:val="16"/>
          <w:color w:val="auto"/>
        </w:rPr>
      </w:pPr>
    </w:p>
    <w:p>
      <w:pPr>
        <w:ind w:left="860" w:hanging="396"/>
        <w:spacing w:after="0"/>
        <w:tabs>
          <w:tab w:leader="none" w:pos="8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RIGHTS TO BE GRANTED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that may be granted under the Plan are:</w:t>
      </w:r>
    </w:p>
    <w:p>
      <w:pPr>
        <w:spacing w:after="0" w:line="171" w:lineRule="exact"/>
        <w:rPr>
          <w:sz w:val="20"/>
          <w:szCs w:val="20"/>
          <w:color w:val="auto"/>
        </w:rPr>
      </w:pPr>
    </w:p>
    <w:p>
      <w:pPr>
        <w:ind w:right="80" w:firstLine="464"/>
        <w:spacing w:after="0" w:line="268" w:lineRule="auto"/>
        <w:tabs>
          <w:tab w:leader="none" w:pos="695" w:val="left"/>
        </w:tabs>
        <w:numPr>
          <w:ilvl w:val="1"/>
          <w:numId w:val="77"/>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31" w:lineRule="exact"/>
        <w:rPr>
          <w:rFonts w:ascii="Arial" w:cs="Arial" w:eastAsia="Arial" w:hAnsi="Arial"/>
          <w:sz w:val="18"/>
          <w:szCs w:val="18"/>
          <w:color w:val="auto"/>
        </w:rPr>
      </w:pPr>
    </w:p>
    <w:p>
      <w:pPr>
        <w:ind w:right="320" w:firstLine="464"/>
        <w:spacing w:after="0" w:line="259" w:lineRule="auto"/>
        <w:tabs>
          <w:tab w:leader="none" w:pos="705" w:val="left"/>
        </w:tabs>
        <w:numPr>
          <w:ilvl w:val="1"/>
          <w:numId w:val="77"/>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215" w:lineRule="exact"/>
        <w:rPr>
          <w:rFonts w:ascii="Arial" w:cs="Arial" w:eastAsia="Arial" w:hAnsi="Arial"/>
          <w:sz w:val="18"/>
          <w:szCs w:val="18"/>
          <w:color w:val="auto"/>
        </w:rPr>
      </w:pPr>
    </w:p>
    <w:p>
      <w:pPr>
        <w:ind w:left="180" w:hanging="172"/>
        <w:spacing w:after="0"/>
        <w:tabs>
          <w:tab w:leader="none" w:pos="1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6" w:lineRule="exact"/>
        <w:rPr>
          <w:rFonts w:ascii="Arial" w:cs="Arial" w:eastAsia="Arial" w:hAnsi="Arial"/>
          <w:sz w:val="18"/>
          <w:szCs w:val="18"/>
          <w:b w:val="1"/>
          <w:bCs w:val="1"/>
          <w:color w:val="auto"/>
        </w:rPr>
      </w:pPr>
    </w:p>
    <w:p>
      <w:pPr>
        <w:ind w:right="40" w:firstLine="464"/>
        <w:spacing w:after="0" w:line="370" w:lineRule="auto"/>
        <w:tabs>
          <w:tab w:leader="none" w:pos="695" w:val="left"/>
        </w:tabs>
        <w:numPr>
          <w:ilvl w:val="1"/>
          <w:numId w:val="78"/>
        </w:numPr>
        <w:rPr>
          <w:rFonts w:ascii="Arial" w:cs="Arial" w:eastAsia="Arial" w:hAnsi="Arial"/>
          <w:sz w:val="15"/>
          <w:szCs w:val="15"/>
          <w:color w:val="auto"/>
        </w:rPr>
      </w:pPr>
      <w:r>
        <w:rPr>
          <w:rFonts w:ascii="Arial" w:cs="Arial" w:eastAsia="Arial" w:hAnsi="Arial"/>
          <w:sz w:val="15"/>
          <w:szCs w:val="15"/>
          <w:color w:val="auto"/>
        </w:rPr>
        <w:t>Subject to adjustment as provided in Paragraph 10, not more than 74 million Shares in the aggregate may be issued under the Plan pursuant to the grant of Awards. The Shares issued under the Plan may, at the Company’s option, be either Shares held in treasury or Shares originally issued for such purpose.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77" w:name="page78"/>
    <w:bookmarkEnd w:id="77"/>
    <w:p>
      <w:pPr>
        <w:ind w:right="60" w:firstLine="464"/>
        <w:spacing w:after="0" w:line="306" w:lineRule="auto"/>
        <w:tabs>
          <w:tab w:leader="none" w:pos="705"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181" w:lineRule="exact"/>
        <w:rPr>
          <w:rFonts w:ascii="Arial" w:cs="Arial" w:eastAsia="Arial" w:hAnsi="Arial"/>
          <w:sz w:val="16"/>
          <w:szCs w:val="16"/>
          <w:color w:val="auto"/>
        </w:rPr>
      </w:pPr>
    </w:p>
    <w:p>
      <w:pPr>
        <w:ind w:left="180" w:hanging="172"/>
        <w:spacing w:after="0"/>
        <w:tabs>
          <w:tab w:leader="none" w:pos="1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firstLine="464"/>
        <w:spacing w:after="0" w:line="370" w:lineRule="auto"/>
        <w:tabs>
          <w:tab w:leader="none" w:pos="695" w:val="left"/>
        </w:tabs>
        <w:numPr>
          <w:ilvl w:val="1"/>
          <w:numId w:val="80"/>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90" w:lineRule="exact"/>
        <w:rPr>
          <w:rFonts w:ascii="Arial" w:cs="Arial" w:eastAsia="Arial" w:hAnsi="Arial"/>
          <w:sz w:val="18"/>
          <w:szCs w:val="18"/>
          <w:color w:val="auto"/>
        </w:rPr>
      </w:pPr>
    </w:p>
    <w:p>
      <w:pPr>
        <w:ind w:left="1480" w:right="140" w:hanging="567"/>
        <w:spacing w:after="0" w:line="256" w:lineRule="auto"/>
        <w:tabs>
          <w:tab w:leader="none" w:pos="14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62" w:lineRule="exact"/>
        <w:rPr>
          <w:rFonts w:ascii="Arial" w:cs="Arial" w:eastAsia="Arial" w:hAnsi="Arial"/>
          <w:sz w:val="18"/>
          <w:szCs w:val="18"/>
          <w:color w:val="auto"/>
        </w:rPr>
      </w:pPr>
    </w:p>
    <w:p>
      <w:pPr>
        <w:ind w:left="1480" w:right="120" w:hanging="567"/>
        <w:spacing w:after="0" w:line="268" w:lineRule="auto"/>
        <w:tabs>
          <w:tab w:leader="none" w:pos="1480" w:val="left"/>
        </w:tabs>
        <w:numPr>
          <w:ilvl w:val="2"/>
          <w:numId w:val="80"/>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71" w:lineRule="exact"/>
        <w:rPr>
          <w:sz w:val="20"/>
          <w:szCs w:val="20"/>
          <w:color w:val="auto"/>
        </w:rPr>
      </w:pPr>
    </w:p>
    <w:p>
      <w:pPr>
        <w:ind w:right="180" w:firstLine="464"/>
        <w:spacing w:after="0" w:line="332"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85"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78" w:name="page79"/>
    <w:bookmarkEnd w:id="78"/>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07" w:lineRule="exact"/>
        <w:rPr>
          <w:sz w:val="20"/>
          <w:szCs w:val="20"/>
          <w:color w:val="auto"/>
        </w:rPr>
      </w:pPr>
    </w:p>
    <w:p>
      <w:pPr>
        <w:ind w:left="680" w:hanging="216"/>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grants and awards of restricted stock and restricted stock units with respect to any Eligible Employee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a Section 16(b) Officer, is reserved to the Committee.</w:t>
      </w:r>
    </w:p>
    <w:p>
      <w:pPr>
        <w:spacing w:after="0" w:line="62" w:lineRule="exact"/>
        <w:rPr>
          <w:rFonts w:ascii="Arial" w:cs="Arial" w:eastAsia="Arial" w:hAnsi="Arial"/>
          <w:sz w:val="18"/>
          <w:szCs w:val="18"/>
          <w:color w:val="auto"/>
        </w:rPr>
      </w:pPr>
    </w:p>
    <w:p>
      <w:pPr>
        <w:ind w:left="1480" w:right="20" w:hanging="567"/>
        <w:spacing w:after="0" w:line="255"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61" w:lineRule="exact"/>
        <w:rPr>
          <w:rFonts w:ascii="Arial" w:cs="Arial" w:eastAsia="Arial" w:hAnsi="Arial"/>
          <w:sz w:val="18"/>
          <w:szCs w:val="18"/>
          <w:color w:val="auto"/>
        </w:rPr>
      </w:pPr>
    </w:p>
    <w:p>
      <w:pPr>
        <w:ind w:left="1480" w:right="80" w:hanging="567"/>
        <w:spacing w:after="0" w:line="306" w:lineRule="auto"/>
        <w:tabs>
          <w:tab w:leader="none" w:pos="1480"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Other Employees</w:t>
      </w:r>
      <w:r>
        <w:rPr>
          <w:rFonts w:ascii="Arial" w:cs="Arial" w:eastAsia="Arial" w:hAnsi="Arial"/>
          <w:sz w:val="16"/>
          <w:szCs w:val="16"/>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Paragraph 5(f)(i) or Paragraph 5(f)(ii).</w:t>
      </w:r>
    </w:p>
    <w:p>
      <w:pPr>
        <w:spacing w:after="0" w:line="25" w:lineRule="exact"/>
        <w:rPr>
          <w:rFonts w:ascii="Arial" w:cs="Arial" w:eastAsia="Arial" w:hAnsi="Arial"/>
          <w:sz w:val="16"/>
          <w:szCs w:val="16"/>
          <w:color w:val="auto"/>
        </w:rPr>
      </w:pPr>
    </w:p>
    <w:p>
      <w:pPr>
        <w:jc w:val="both"/>
        <w:ind w:left="1480" w:right="180" w:hanging="567"/>
        <w:spacing w:after="0" w:line="259"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Special Diversification Elections</w:t>
      </w:r>
      <w:r>
        <w:rPr>
          <w:rFonts w:ascii="Arial" w:cs="Arial" w:eastAsia="Arial" w:hAnsi="Arial"/>
          <w:sz w:val="18"/>
          <w:szCs w:val="18"/>
          <w:color w:val="auto"/>
        </w:rPr>
        <w:t>. Notwithstanding Paragraph 5(f)(i) or Paragraph 5(f)(ii), the Committee may delegate to an officer of the Company, or a committee of two or more officers of the Company, discretion under the Plan to authorize Special Diversification Elections made after December 31, 2009.</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in the case of delegation under Paragraph 5(f)(ii), the delegate shall cease to serve as Chairman of the Committee or serve as 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79" w:name="page80"/>
    <w:bookmarkEnd w:id="79"/>
    <w:p>
      <w:pPr>
        <w:ind w:left="148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of the Company for any reason, as the case may be and in the case of delegation under Paragraph 5(f)(iii), the delegate shall cease to serve as an employee of the Company for any reason; or</w:t>
      </w:r>
    </w:p>
    <w:p>
      <w:pPr>
        <w:spacing w:after="0" w:line="51" w:lineRule="exact"/>
        <w:rPr>
          <w:sz w:val="20"/>
          <w:szCs w:val="20"/>
          <w:color w:val="auto"/>
        </w:rPr>
      </w:pPr>
    </w:p>
    <w:p>
      <w:pPr>
        <w:ind w:left="1480" w:hanging="567"/>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to exercise such authority.</w:t>
      </w:r>
    </w:p>
    <w:p>
      <w:pPr>
        <w:spacing w:after="0" w:line="246" w:lineRule="exact"/>
        <w:rPr>
          <w:rFonts w:ascii="Arial" w:cs="Arial" w:eastAsia="Arial" w:hAnsi="Arial"/>
          <w:sz w:val="18"/>
          <w:szCs w:val="18"/>
          <w:color w:val="auto"/>
        </w:rPr>
      </w:pPr>
    </w:p>
    <w:p>
      <w:pPr>
        <w:ind w:left="180" w:hanging="172"/>
        <w:spacing w:after="0"/>
        <w:tabs>
          <w:tab w:leader="none" w:pos="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Awards may be granted only to Eligible Employees and Non-Employee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RESTRICTED STOCK AND RESTRICTED STOCK UNIT AWARDS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4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12, 2019.</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31" w:lineRule="exact"/>
        <w:rPr>
          <w:rFonts w:ascii="Arial" w:cs="Arial" w:eastAsia="Arial" w:hAnsi="Arial"/>
          <w:sz w:val="18"/>
          <w:szCs w:val="18"/>
          <w:color w:val="auto"/>
        </w:rPr>
      </w:pPr>
    </w:p>
    <w:p>
      <w:pPr>
        <w:ind w:right="140" w:firstLine="464"/>
        <w:spacing w:after="0" w:line="298"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Stock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12" w:lineRule="exact"/>
        <w:rPr>
          <w:rFonts w:ascii="Arial" w:cs="Arial" w:eastAsia="Arial" w:hAnsi="Arial"/>
          <w:sz w:val="16"/>
          <w:szCs w:val="16"/>
          <w:color w:val="auto"/>
        </w:rPr>
      </w:pPr>
    </w:p>
    <w:p>
      <w:pPr>
        <w:ind w:right="340" w:firstLine="464"/>
        <w:spacing w:after="0" w:line="332"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85" w:lineRule="exact"/>
        <w:rPr>
          <w:rFonts w:ascii="Arial" w:cs="Arial" w:eastAsia="Arial" w:hAnsi="Arial"/>
          <w:sz w:val="16"/>
          <w:szCs w:val="16"/>
          <w:color w:val="auto"/>
        </w:rPr>
      </w:pPr>
    </w:p>
    <w:p>
      <w:pPr>
        <w:ind w:right="20" w:firstLine="464"/>
        <w:spacing w:after="0" w:line="259"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Vesting/Lapse of Restrictions</w:t>
      </w:r>
      <w:r>
        <w:rPr>
          <w:rFonts w:ascii="Arial" w:cs="Arial" w:eastAsia="Arial" w:hAnsi="Arial"/>
          <w:sz w:val="18"/>
          <w:szCs w:val="18"/>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80" w:name="page81"/>
    <w:bookmarkEnd w:id="8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120" w:lineRule="exact"/>
        <w:rPr>
          <w:sz w:val="20"/>
          <w:szCs w:val="20"/>
          <w:color w:val="auto"/>
        </w:rPr>
      </w:pPr>
    </w:p>
    <w:p>
      <w:pPr>
        <w:ind w:right="140" w:firstLine="464"/>
        <w:spacing w:after="0" w:line="306" w:lineRule="auto"/>
        <w:tabs>
          <w:tab w:leader="none" w:pos="676"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06" w:lineRule="exact"/>
        <w:rPr>
          <w:rFonts w:ascii="Arial" w:cs="Arial" w:eastAsia="Arial" w:hAnsi="Arial"/>
          <w:sz w:val="16"/>
          <w:szCs w:val="16"/>
          <w:color w:val="auto"/>
        </w:rPr>
      </w:pPr>
    </w:p>
    <w:p>
      <w:pPr>
        <w:ind w:right="20" w:firstLine="464"/>
        <w:spacing w:after="0" w:line="306"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06" w:lineRule="exact"/>
        <w:rPr>
          <w:rFonts w:ascii="Arial" w:cs="Arial" w:eastAsia="Arial" w:hAnsi="Arial"/>
          <w:sz w:val="16"/>
          <w:szCs w:val="16"/>
          <w:color w:val="auto"/>
        </w:rPr>
      </w:pPr>
    </w:p>
    <w:p>
      <w:pPr>
        <w:ind w:right="20" w:firstLine="464"/>
        <w:spacing w:after="0" w:line="289" w:lineRule="auto"/>
        <w:tabs>
          <w:tab w:leader="none" w:pos="70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DEFERRAL ELECTIONS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or Restricted Stock Units as to which a Vesting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has occurred, as provided by the Committee in the Award, consistent, however, with the following:</w:t>
      </w:r>
    </w:p>
    <w:p>
      <w:pPr>
        <w:spacing w:after="0" w:line="90" w:lineRule="exact"/>
        <w:rPr>
          <w:sz w:val="20"/>
          <w:szCs w:val="20"/>
          <w:color w:val="auto"/>
        </w:rPr>
      </w:pPr>
    </w:p>
    <w:p>
      <w:pPr>
        <w:ind w:left="1480" w:hanging="567"/>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200" w:hanging="440"/>
        <w:spacing w:after="0" w:line="306" w:lineRule="auto"/>
        <w:tabs>
          <w:tab w:leader="none" w:pos="1920" w:val="left"/>
        </w:tabs>
        <w:numPr>
          <w:ilvl w:val="2"/>
          <w:numId w:val="87"/>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25" w:lineRule="exact"/>
        <w:rPr>
          <w:rFonts w:ascii="Arial" w:cs="Arial" w:eastAsia="Arial" w:hAnsi="Arial"/>
          <w:sz w:val="16"/>
          <w:szCs w:val="16"/>
          <w:color w:val="auto"/>
        </w:rPr>
      </w:pPr>
    </w:p>
    <w:p>
      <w:pPr>
        <w:ind w:left="1920" w:hanging="440"/>
        <w:spacing w:after="0" w:line="291" w:lineRule="auto"/>
        <w:tabs>
          <w:tab w:leader="none" w:pos="1920" w:val="left"/>
        </w:tabs>
        <w:numPr>
          <w:ilvl w:val="2"/>
          <w:numId w:val="87"/>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or Restricted Stock Units that are not Performance-Based Compensation shall be effective unless it is filed with the Committee on or before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20" w:lineRule="exact"/>
        <w:rPr>
          <w:rFonts w:ascii="Arial" w:cs="Arial" w:eastAsia="Arial" w:hAnsi="Arial"/>
          <w:sz w:val="16"/>
          <w:szCs w:val="16"/>
          <w:color w:val="auto"/>
        </w:rPr>
      </w:pPr>
    </w:p>
    <w:p>
      <w:pPr>
        <w:ind w:right="60" w:firstLine="464"/>
        <w:spacing w:after="0" w:line="332"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Effect of Failure of Vesting Date to Occur</w:t>
      </w:r>
      <w:r>
        <w:rPr>
          <w:rFonts w:ascii="Arial" w:cs="Arial" w:eastAsia="Arial" w:hAnsi="Arial"/>
          <w:sz w:val="16"/>
          <w:szCs w:val="16"/>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85" w:lineRule="exact"/>
        <w:rPr>
          <w:rFonts w:ascii="Arial" w:cs="Arial" w:eastAsia="Arial" w:hAnsi="Arial"/>
          <w:sz w:val="16"/>
          <w:szCs w:val="16"/>
          <w:color w:val="auto"/>
        </w:rPr>
      </w:pPr>
    </w:p>
    <w:p>
      <w:pPr>
        <w:ind w:right="100" w:firstLine="464"/>
        <w:spacing w:after="0" w:line="254"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Deferral Period</w:t>
      </w:r>
      <w:r>
        <w:rPr>
          <w:rFonts w:ascii="Arial" w:cs="Arial" w:eastAsia="Arial" w:hAnsi="Arial"/>
          <w:sz w:val="18"/>
          <w:szCs w:val="18"/>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144"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82" w:name="page83"/>
    <w:bookmarkEnd w:id="82"/>
    <w:p>
      <w:pPr>
        <w:jc w:val="both"/>
        <w:ind w:left="1440" w:right="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7" w:lineRule="exact"/>
        <w:rPr>
          <w:sz w:val="20"/>
          <w:szCs w:val="20"/>
          <w:color w:val="auto"/>
        </w:rPr>
      </w:pPr>
    </w:p>
    <w:p>
      <w:pPr>
        <w:ind w:left="1440" w:right="60" w:hanging="567"/>
        <w:spacing w:after="0" w:line="289" w:lineRule="auto"/>
        <w:tabs>
          <w:tab w:leader="none" w:pos="14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37" w:lineRule="exact"/>
        <w:rPr>
          <w:rFonts w:ascii="Arial" w:cs="Arial" w:eastAsia="Arial" w:hAnsi="Arial"/>
          <w:sz w:val="16"/>
          <w:szCs w:val="16"/>
          <w:color w:val="auto"/>
        </w:rPr>
      </w:pPr>
    </w:p>
    <w:p>
      <w:pPr>
        <w:ind w:left="1440" w:hanging="567"/>
        <w:spacing w:after="0" w:line="298" w:lineRule="auto"/>
        <w:tabs>
          <w:tab w:leader="none" w:pos="14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31" w:lineRule="exact"/>
        <w:rPr>
          <w:rFonts w:ascii="Arial" w:cs="Arial" w:eastAsia="Arial" w:hAnsi="Arial"/>
          <w:sz w:val="16"/>
          <w:szCs w:val="16"/>
          <w:color w:val="auto"/>
        </w:rPr>
      </w:pPr>
    </w:p>
    <w:p>
      <w:pPr>
        <w:ind w:left="1440" w:right="40" w:hanging="567"/>
        <w:spacing w:after="0" w:line="256" w:lineRule="auto"/>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43" w:lineRule="exact"/>
        <w:rPr>
          <w:sz w:val="20"/>
          <w:szCs w:val="20"/>
          <w:color w:val="auto"/>
        </w:rPr>
      </w:pPr>
    </w:p>
    <w:p>
      <w:pPr>
        <w:ind w:left="-40" w:right="220" w:firstLine="464"/>
        <w:spacing w:after="0" w:line="268"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Discretion to Provide for Distribution in Full Upon or Following a Change of Control</w:t>
      </w:r>
      <w:r>
        <w:rPr>
          <w:rFonts w:ascii="Arial" w:cs="Arial" w:eastAsia="Arial" w:hAnsi="Arial"/>
          <w:sz w:val="18"/>
          <w:szCs w:val="18"/>
          <w:color w:val="auto"/>
        </w:rPr>
        <w:t>. To the extent permitted by Section 409A, in connection with a Change of Control, and for the 12-month period following a Change of Control, the Committee may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80" w:right="259" w:bottom="1440" w:gutter="0" w:footer="0" w:header="0"/>
        </w:sectPr>
      </w:pPr>
    </w:p>
    <w:bookmarkStart w:id="83" w:name="page84"/>
    <w:bookmarkEnd w:id="83"/>
    <w:p>
      <w:pPr>
        <w:ind w:right="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62" w:lineRule="exact"/>
        <w:rPr>
          <w:sz w:val="20"/>
          <w:szCs w:val="20"/>
          <w:color w:val="auto"/>
        </w:rPr>
      </w:pPr>
    </w:p>
    <w:p>
      <w:pPr>
        <w:jc w:val="both"/>
        <w:ind w:right="500" w:firstLine="464"/>
        <w:spacing w:after="0" w:line="370" w:lineRule="auto"/>
        <w:tabs>
          <w:tab w:leader="none" w:pos="676"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Hardship</w:t>
      </w:r>
      <w:r>
        <w:rPr>
          <w:rFonts w:ascii="Arial" w:cs="Arial" w:eastAsia="Arial" w:hAnsi="Arial"/>
          <w:sz w:val="15"/>
          <w:szCs w:val="15"/>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62" w:lineRule="exact"/>
        <w:rPr>
          <w:rFonts w:ascii="Arial" w:cs="Arial" w:eastAsia="Arial" w:hAnsi="Arial"/>
          <w:sz w:val="15"/>
          <w:szCs w:val="15"/>
          <w:color w:val="auto"/>
        </w:rPr>
      </w:pPr>
    </w:p>
    <w:p>
      <w:pPr>
        <w:ind w:right="740" w:firstLine="464"/>
        <w:spacing w:after="0" w:line="268"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50"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50" w:lineRule="exact"/>
        <w:rPr>
          <w:rFonts w:ascii="Arial" w:cs="Arial" w:eastAsia="Arial" w:hAnsi="Arial"/>
          <w:sz w:val="18"/>
          <w:szCs w:val="18"/>
          <w:color w:val="auto"/>
        </w:rPr>
      </w:pPr>
    </w:p>
    <w:p>
      <w:pPr>
        <w:ind w:left="1480" w:right="580" w:hanging="567"/>
        <w:spacing w:after="0" w:line="268"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113" w:lineRule="exact"/>
        <w:rPr>
          <w:rFonts w:ascii="Arial" w:cs="Arial" w:eastAsia="Arial" w:hAnsi="Arial"/>
          <w:sz w:val="16"/>
          <w:szCs w:val="16"/>
          <w:color w:val="auto"/>
        </w:rPr>
      </w:pPr>
    </w:p>
    <w:p>
      <w:pPr>
        <w:ind w:left="1480" w:right="360" w:hanging="567"/>
        <w:spacing w:after="0" w:line="268"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5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50"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connection with a bona fide dispute as to a Grantee’s right to payment, to the extent permitted by Treasury Regulation section 1.409A-3(j)</w:t>
      </w:r>
    </w:p>
    <w:p>
      <w:pPr>
        <w:spacing w:after="0" w:line="3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Book Accounts</w:t>
      </w:r>
      <w:r>
        <w:rPr>
          <w:rFonts w:ascii="Arial" w:cs="Arial" w:eastAsia="Arial" w:hAnsi="Arial"/>
          <w:sz w:val="16"/>
          <w:szCs w:val="16"/>
          <w:color w:val="auto"/>
        </w:rPr>
        <w:t>. An Account shall be established for each Grantee who makes an Election. Deferred Stock Units shall be credited to the Account as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date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84" w:name="page85"/>
    <w:bookmarkEnd w:id="84"/>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107" w:lineRule="exact"/>
        <w:rPr>
          <w:sz w:val="20"/>
          <w:szCs w:val="20"/>
          <w:color w:val="auto"/>
        </w:rPr>
      </w:pPr>
    </w:p>
    <w:p>
      <w:pPr>
        <w:ind w:firstLine="464"/>
        <w:spacing w:after="0" w:line="268" w:lineRule="auto"/>
        <w:tabs>
          <w:tab w:leader="none" w:pos="66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50" w:lineRule="exact"/>
        <w:rPr>
          <w:rFonts w:ascii="Arial" w:cs="Arial" w:eastAsia="Arial" w:hAnsi="Arial"/>
          <w:sz w:val="18"/>
          <w:szCs w:val="18"/>
          <w:color w:val="auto"/>
        </w:rPr>
      </w:pPr>
    </w:p>
    <w:p>
      <w:pPr>
        <w:ind w:left="1480" w:right="80" w:hanging="567"/>
        <w:spacing w:after="0" w:line="294" w:lineRule="auto"/>
        <w:tabs>
          <w:tab w:leader="none" w:pos="14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34" w:lineRule="exact"/>
        <w:rPr>
          <w:rFonts w:ascii="Arial" w:cs="Arial" w:eastAsia="Arial" w:hAnsi="Arial"/>
          <w:sz w:val="16"/>
          <w:szCs w:val="16"/>
          <w:color w:val="auto"/>
        </w:rPr>
      </w:pPr>
    </w:p>
    <w:p>
      <w:pPr>
        <w:ind w:left="1480" w:right="200" w:hanging="567"/>
        <w:spacing w:after="0" w:line="291" w:lineRule="auto"/>
        <w:tabs>
          <w:tab w:leader="none" w:pos="14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39" w:lineRule="exact"/>
        <w:rPr>
          <w:rFonts w:ascii="Arial" w:cs="Arial" w:eastAsia="Arial" w:hAnsi="Arial"/>
          <w:sz w:val="16"/>
          <w:szCs w:val="16"/>
          <w:color w:val="auto"/>
        </w:rPr>
      </w:pPr>
    </w:p>
    <w:p>
      <w:pPr>
        <w:ind w:left="1480" w:right="180" w:hanging="567"/>
        <w:spacing w:after="0" w:line="303" w:lineRule="auto"/>
        <w:tabs>
          <w:tab w:leader="none" w:pos="1480" w:val="left"/>
        </w:tabs>
        <w:numPr>
          <w:ilvl w:val="1"/>
          <w:numId w:val="92"/>
        </w:numPr>
        <w:rPr>
          <w:rFonts w:ascii="Arial" w:cs="Arial" w:eastAsia="Arial" w:hAnsi="Arial"/>
          <w:sz w:val="15"/>
          <w:szCs w:val="15"/>
          <w:color w:val="auto"/>
        </w:rPr>
      </w:pPr>
      <w:r>
        <w:rPr>
          <w:rFonts w:ascii="Arial" w:cs="Arial" w:eastAsia="Arial" w:hAnsi="Arial"/>
          <w:sz w:val="15"/>
          <w:szCs w:val="15"/>
          <w:color w:val="auto"/>
        </w:rPr>
        <w:t>Pursuant to rules established under Section 409A relating to certain “Transition Elections,” to the extent provided by the Committee or its delegate, a Grantee may, on or before December 31, 2008, (A) with respect to all or any portion of his or her Grandfathered Amount under the Plan as in effect on December 31, 2004 that is scheduled to commence to be distributed under the Plan after December 31, 2008, and</w:t>
      </w:r>
    </w:p>
    <w:p>
      <w:pPr>
        <w:spacing w:after="0" w:line="1" w:lineRule="exact"/>
        <w:rPr>
          <w:rFonts w:ascii="Arial" w:cs="Arial" w:eastAsia="Arial" w:hAnsi="Arial"/>
          <w:sz w:val="15"/>
          <w:szCs w:val="15"/>
          <w:color w:val="auto"/>
        </w:rPr>
      </w:pPr>
    </w:p>
    <w:p>
      <w:pPr>
        <w:ind w:left="1480" w:right="260"/>
        <w:spacing w:after="0" w:line="302" w:lineRule="auto"/>
        <w:rPr>
          <w:rFonts w:ascii="Arial" w:cs="Arial" w:eastAsia="Arial" w:hAnsi="Arial"/>
          <w:sz w:val="15"/>
          <w:szCs w:val="15"/>
          <w:color w:val="auto"/>
        </w:rPr>
      </w:pPr>
      <w:r>
        <w:rPr>
          <w:rFonts w:ascii="Arial" w:cs="Arial" w:eastAsia="Arial" w:hAnsi="Arial"/>
          <w:sz w:val="16"/>
          <w:szCs w:val="16"/>
          <w:color w:val="auto"/>
        </w:rPr>
        <w:t>(B) with respect to any other amount credited to a Grantee’s Account that is scheduled to commence to be distributed under the Plan after December 31, 2008, make new payment elections as to the form and timing of payment of such amounts as may be permitted under this Plan, provided that (C) commencement of any distribution under such new payment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85" w:name="page86"/>
    <w:bookmarkEnd w:id="85"/>
    <w:p>
      <w:pPr>
        <w:ind w:left="1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may not occur before January 1, 2009 and (D) with respect to any Grandfathered Amount, following the completion of such new payment election, such amounts shall not be treated as a Grandfathered Amount, but instead shall be treated as a non-Grandfathered Amount, subject to the rules of this Plan.</w:t>
      </w:r>
    </w:p>
    <w:p>
      <w:pPr>
        <w:spacing w:after="0" w:line="140" w:lineRule="exact"/>
        <w:rPr>
          <w:sz w:val="20"/>
          <w:szCs w:val="20"/>
          <w:color w:val="auto"/>
        </w:rPr>
      </w:pPr>
    </w:p>
    <w:p>
      <w:pPr>
        <w:ind w:left="-20" w:right="240" w:firstLine="464"/>
        <w:spacing w:after="0" w:line="268" w:lineRule="auto"/>
        <w:tabs>
          <w:tab w:leader="none" w:pos="64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0" w:right="100" w:hanging="567"/>
        <w:spacing w:after="0" w:line="298" w:lineRule="auto"/>
        <w:tabs>
          <w:tab w:leader="none" w:pos="146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or its delegate. No approval is required for a Diversification Election other than a Special Diversification Election.</w:t>
      </w:r>
    </w:p>
    <w:p>
      <w:pPr>
        <w:spacing w:after="0" w:line="31" w:lineRule="exact"/>
        <w:rPr>
          <w:rFonts w:ascii="Arial" w:cs="Arial" w:eastAsia="Arial" w:hAnsi="Arial"/>
          <w:sz w:val="16"/>
          <w:szCs w:val="16"/>
          <w:color w:val="auto"/>
        </w:rPr>
      </w:pPr>
    </w:p>
    <w:p>
      <w:pPr>
        <w:ind w:left="1460" w:right="180" w:hanging="567"/>
        <w:spacing w:after="0" w:line="256" w:lineRule="auto"/>
        <w:tabs>
          <w:tab w:leader="none" w:pos="146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62" w:lineRule="exact"/>
        <w:rPr>
          <w:rFonts w:ascii="Arial" w:cs="Arial" w:eastAsia="Arial" w:hAnsi="Arial"/>
          <w:sz w:val="18"/>
          <w:szCs w:val="18"/>
          <w:color w:val="auto"/>
        </w:rPr>
      </w:pPr>
    </w:p>
    <w:p>
      <w:pPr>
        <w:ind w:left="1460" w:right="80" w:hanging="567"/>
        <w:spacing w:after="0" w:line="283" w:lineRule="auto"/>
        <w:tabs>
          <w:tab w:leader="none" w:pos="146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w:t>
      </w:r>
    </w:p>
    <w:p>
      <w:pPr>
        <w:spacing w:after="0" w:line="2" w:lineRule="exact"/>
        <w:rPr>
          <w:rFonts w:ascii="Arial" w:cs="Arial" w:eastAsia="Arial" w:hAnsi="Arial"/>
          <w:sz w:val="16"/>
          <w:szCs w:val="16"/>
          <w:color w:val="auto"/>
        </w:rPr>
      </w:pPr>
    </w:p>
    <w:p>
      <w:pPr>
        <w:jc w:val="both"/>
        <w:ind w:left="1460" w:right="280"/>
        <w:spacing w:after="0" w:line="255" w:lineRule="auto"/>
        <w:rPr>
          <w:rFonts w:ascii="Arial" w:cs="Arial" w:eastAsia="Arial" w:hAnsi="Arial"/>
          <w:sz w:val="16"/>
          <w:szCs w:val="16"/>
          <w:color w:val="auto"/>
        </w:rPr>
      </w:pPr>
      <w:r>
        <w:rPr>
          <w:rFonts w:ascii="Arial" w:cs="Arial" w:eastAsia="Arial" w:hAnsi="Arial"/>
          <w:sz w:val="18"/>
          <w:szCs w:val="18"/>
          <w:color w:val="auto"/>
        </w:rPr>
        <w:t>(B)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80" w:right="239" w:bottom="1440" w:gutter="0" w:footer="0" w:header="0"/>
        </w:sectPr>
      </w:pPr>
    </w:p>
    <w:bookmarkStart w:id="86" w:name="page87"/>
    <w:bookmarkEnd w:id="86"/>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Account following the lapse of restrictions with respect to an Award.</w:t>
      </w:r>
    </w:p>
    <w:p>
      <w:pPr>
        <w:spacing w:after="0" w:line="90" w:lineRule="exact"/>
        <w:rPr>
          <w:sz w:val="20"/>
          <w:szCs w:val="20"/>
          <w:color w:val="auto"/>
        </w:rPr>
      </w:pPr>
    </w:p>
    <w:p>
      <w:pPr>
        <w:ind w:left="1480" w:right="40" w:hanging="567"/>
        <w:spacing w:after="0" w:line="294" w:lineRule="auto"/>
        <w:tabs>
          <w:tab w:leader="none" w:pos="148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15" w:lineRule="exact"/>
        <w:rPr>
          <w:rFonts w:ascii="Arial" w:cs="Arial" w:eastAsia="Arial" w:hAnsi="Arial"/>
          <w:sz w:val="16"/>
          <w:szCs w:val="16"/>
          <w:color w:val="auto"/>
        </w:rPr>
      </w:pPr>
    </w:p>
    <w:p>
      <w:pPr>
        <w:ind w:firstLine="464"/>
        <w:spacing w:after="0" w:line="290" w:lineRule="auto"/>
        <w:tabs>
          <w:tab w:leader="none" w:pos="666"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to the extent such distribution would constitute an impermissible acceleration of the time of payment under Section 409A, or as may otherwise be provided by the Committee or its delegate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320" w:type="dxa"/>
            <w:vAlign w:val="bottom"/>
          </w:tcPr>
          <w:p>
            <w:pPr>
              <w:jc w:val="right"/>
              <w:ind w:right="312"/>
              <w:spacing w:after="0"/>
              <w:rPr>
                <w:sz w:val="20"/>
                <w:szCs w:val="20"/>
                <w:color w:val="auto"/>
              </w:rPr>
            </w:pPr>
            <w:r>
              <w:rPr>
                <w:rFonts w:ascii="Arial" w:cs="Arial" w:eastAsia="Arial" w:hAnsi="Arial"/>
                <w:sz w:val="14"/>
                <w:szCs w:val="14"/>
                <w:b w:val="1"/>
                <w:bCs w:val="1"/>
                <w:color w:val="auto"/>
              </w:rPr>
              <w:t>Distributable Percentage of</w:t>
            </w:r>
          </w:p>
        </w:tc>
      </w:tr>
      <w:tr>
        <w:trPr>
          <w:trHeight w:val="181"/>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Time that Shares are Distributable</w:t>
            </w:r>
          </w:p>
        </w:tc>
        <w:tc>
          <w:tcPr>
            <w:tcW w:w="34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3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Corresponding Income Fund Amount</w:t>
            </w:r>
          </w:p>
        </w:tc>
      </w:tr>
      <w:tr>
        <w:trPr>
          <w:trHeight w:val="209"/>
        </w:trPr>
        <w:tc>
          <w:tcPr>
            <w:tcW w:w="5520" w:type="dxa"/>
            <w:vAlign w:val="bottom"/>
            <w:gridSpan w:val="2"/>
          </w:tcPr>
          <w:p>
            <w:pPr>
              <w:spacing w:after="0"/>
              <w:rPr>
                <w:sz w:val="20"/>
                <w:szCs w:val="20"/>
                <w:color w:val="auto"/>
              </w:rPr>
            </w:pPr>
            <w:r>
              <w:rPr>
                <w:rFonts w:ascii="Arial" w:cs="Arial" w:eastAsia="Arial" w:hAnsi="Arial"/>
                <w:sz w:val="18"/>
                <w:szCs w:val="18"/>
                <w:color w:val="auto"/>
              </w:rPr>
              <w:t>On or before the third anniversary of a Diversification Election</w:t>
            </w:r>
          </w:p>
        </w:tc>
        <w:tc>
          <w:tcPr>
            <w:tcW w:w="4340" w:type="dxa"/>
            <w:vAlign w:val="bottom"/>
            <w:gridSpan w:val="2"/>
          </w:tcPr>
          <w:p>
            <w:pPr>
              <w:jc w:val="right"/>
              <w:ind w:right="952"/>
              <w:spacing w:after="0" w:line="202" w:lineRule="exact"/>
              <w:rPr>
                <w:sz w:val="20"/>
                <w:szCs w:val="20"/>
                <w:color w:val="auto"/>
              </w:rPr>
            </w:pPr>
            <w:r>
              <w:rPr>
                <w:rFonts w:ascii="Arial" w:cs="Arial" w:eastAsia="Arial" w:hAnsi="Arial"/>
                <w:sz w:val="18"/>
                <w:szCs w:val="18"/>
                <w:color w:val="auto"/>
              </w:rPr>
              <w:t>60%</w:t>
            </w:r>
          </w:p>
        </w:tc>
      </w:tr>
      <w:tr>
        <w:trPr>
          <w:trHeight w:val="309"/>
        </w:trPr>
        <w:tc>
          <w:tcPr>
            <w:tcW w:w="5520" w:type="dxa"/>
            <w:vAlign w:val="bottom"/>
            <w:gridSpan w:val="2"/>
          </w:tcPr>
          <w:p>
            <w:pPr>
              <w:spacing w:after="0"/>
              <w:rPr>
                <w:sz w:val="20"/>
                <w:szCs w:val="20"/>
                <w:color w:val="auto"/>
              </w:rPr>
            </w:pPr>
            <w:r>
              <w:rPr>
                <w:rFonts w:ascii="Arial" w:cs="Arial" w:eastAsia="Arial" w:hAnsi="Arial"/>
                <w:sz w:val="18"/>
                <w:szCs w:val="18"/>
                <w:color w:val="auto"/>
                <w:w w:val="92"/>
              </w:rPr>
              <w:t>After the third anniversary of a Diversification Election and on or before the</w:t>
            </w:r>
          </w:p>
        </w:tc>
        <w:tc>
          <w:tcPr>
            <w:tcW w:w="4340" w:type="dxa"/>
            <w:vAlign w:val="bottom"/>
            <w:gridSpan w:val="2"/>
          </w:tcPr>
          <w:p>
            <w:pPr>
              <w:jc w:val="right"/>
              <w:ind w:right="952"/>
              <w:spacing w:after="0"/>
              <w:rPr>
                <w:sz w:val="20"/>
                <w:szCs w:val="20"/>
                <w:color w:val="auto"/>
              </w:rPr>
            </w:pPr>
            <w:r>
              <w:rPr>
                <w:rFonts w:ascii="Arial" w:cs="Arial" w:eastAsia="Arial" w:hAnsi="Arial"/>
                <w:sz w:val="18"/>
                <w:szCs w:val="18"/>
                <w:color w:val="auto"/>
              </w:rPr>
              <w:t>40%</w:t>
            </w:r>
          </w:p>
        </w:tc>
      </w:tr>
      <w:tr>
        <w:trPr>
          <w:trHeight w:val="222"/>
        </w:trPr>
        <w:tc>
          <w:tcPr>
            <w:tcW w:w="5520" w:type="dxa"/>
            <w:vAlign w:val="bottom"/>
            <w:gridSpan w:val="2"/>
          </w:tcPr>
          <w:p>
            <w:pPr>
              <w:ind w:left="220"/>
              <w:spacing w:after="0"/>
              <w:rPr>
                <w:sz w:val="20"/>
                <w:szCs w:val="20"/>
                <w:color w:val="auto"/>
              </w:rPr>
            </w:pPr>
            <w:r>
              <w:rPr>
                <w:rFonts w:ascii="Arial" w:cs="Arial" w:eastAsia="Arial" w:hAnsi="Arial"/>
                <w:sz w:val="18"/>
                <w:szCs w:val="18"/>
                <w:color w:val="auto"/>
              </w:rPr>
              <w:t>fourth anniversary of a Diversification Election</w:t>
            </w:r>
          </w:p>
        </w:tc>
        <w:tc>
          <w:tcPr>
            <w:tcW w:w="20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18"/>
        </w:trPr>
        <w:tc>
          <w:tcPr>
            <w:tcW w:w="5520" w:type="dxa"/>
            <w:vAlign w:val="bottom"/>
            <w:gridSpan w:val="2"/>
          </w:tcPr>
          <w:p>
            <w:pPr>
              <w:spacing w:after="0"/>
              <w:rPr>
                <w:sz w:val="20"/>
                <w:szCs w:val="20"/>
                <w:color w:val="auto"/>
              </w:rPr>
            </w:pPr>
            <w:r>
              <w:rPr>
                <w:rFonts w:ascii="Arial" w:cs="Arial" w:eastAsia="Arial" w:hAnsi="Arial"/>
                <w:sz w:val="18"/>
                <w:szCs w:val="18"/>
                <w:color w:val="auto"/>
                <w:w w:val="90"/>
              </w:rPr>
              <w:t>After the fourth anniversary of a Diversification Election and on or before the</w:t>
            </w:r>
          </w:p>
        </w:tc>
        <w:tc>
          <w:tcPr>
            <w:tcW w:w="4340" w:type="dxa"/>
            <w:vAlign w:val="bottom"/>
            <w:gridSpan w:val="2"/>
          </w:tcPr>
          <w:p>
            <w:pPr>
              <w:jc w:val="right"/>
              <w:ind w:right="952"/>
              <w:spacing w:after="0"/>
              <w:rPr>
                <w:sz w:val="20"/>
                <w:szCs w:val="20"/>
                <w:color w:val="auto"/>
              </w:rPr>
            </w:pPr>
            <w:r>
              <w:rPr>
                <w:rFonts w:ascii="Arial" w:cs="Arial" w:eastAsia="Arial" w:hAnsi="Arial"/>
                <w:sz w:val="18"/>
                <w:szCs w:val="18"/>
                <w:color w:val="auto"/>
              </w:rPr>
              <w:t>20%</w:t>
            </w:r>
          </w:p>
        </w:tc>
      </w:tr>
      <w:tr>
        <w:trPr>
          <w:trHeight w:val="222"/>
        </w:trPr>
        <w:tc>
          <w:tcPr>
            <w:tcW w:w="5520" w:type="dxa"/>
            <w:vAlign w:val="bottom"/>
            <w:gridSpan w:val="2"/>
          </w:tcPr>
          <w:p>
            <w:pPr>
              <w:ind w:left="220"/>
              <w:spacing w:after="0"/>
              <w:rPr>
                <w:sz w:val="20"/>
                <w:szCs w:val="20"/>
                <w:color w:val="auto"/>
              </w:rPr>
            </w:pPr>
            <w:r>
              <w:rPr>
                <w:rFonts w:ascii="Arial" w:cs="Arial" w:eastAsia="Arial" w:hAnsi="Arial"/>
                <w:sz w:val="18"/>
                <w:szCs w:val="18"/>
                <w:color w:val="auto"/>
              </w:rPr>
              <w:t>fifth anniversary of a Diversification Election</w:t>
            </w:r>
          </w:p>
        </w:tc>
        <w:tc>
          <w:tcPr>
            <w:tcW w:w="202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4340" w:type="dxa"/>
            <w:vAlign w:val="bottom"/>
            <w:gridSpan w:val="2"/>
          </w:tcPr>
          <w:p>
            <w:pPr>
              <w:jc w:val="right"/>
              <w:ind w:right="952"/>
              <w:spacing w:after="0"/>
              <w:rPr>
                <w:sz w:val="20"/>
                <w:szCs w:val="20"/>
                <w:color w:val="auto"/>
              </w:rPr>
            </w:pPr>
            <w:r>
              <w:rPr>
                <w:rFonts w:ascii="Arial" w:cs="Arial" w:eastAsia="Arial" w:hAnsi="Arial"/>
                <w:sz w:val="18"/>
                <w:szCs w:val="18"/>
                <w:color w:val="auto"/>
              </w:rPr>
              <w:t>0%</w:t>
            </w:r>
          </w:p>
        </w:tc>
      </w:tr>
      <w:tr>
        <w:trPr>
          <w:trHeight w:val="365"/>
        </w:trPr>
        <w:tc>
          <w:tcPr>
            <w:tcW w:w="2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20" w:type="dxa"/>
            <w:vAlign w:val="bottom"/>
          </w:tcPr>
          <w:p>
            <w:pPr>
              <w:jc w:val="right"/>
              <w:ind w:right="1592"/>
              <w:spacing w:after="0"/>
              <w:rPr>
                <w:sz w:val="20"/>
                <w:szCs w:val="20"/>
                <w:color w:val="auto"/>
              </w:rPr>
            </w:pPr>
            <w:r>
              <w:rPr>
                <w:rFonts w:ascii="Arial" w:cs="Arial" w:eastAsia="Arial" w:hAnsi="Arial"/>
                <w:sz w:val="18"/>
                <w:szCs w:val="18"/>
                <w:color w:val="auto"/>
                <w:w w:val="99"/>
              </w:rPr>
              <w:t>-20-</w:t>
            </w:r>
          </w:p>
        </w:tc>
        <w:tc>
          <w:tcPr>
            <w:tcW w:w="2320" w:type="dxa"/>
            <w:vAlign w:val="bottom"/>
          </w:tcPr>
          <w:p>
            <w:pPr>
              <w:spacing w:after="0"/>
              <w:rPr>
                <w:sz w:val="24"/>
                <w:szCs w:val="24"/>
                <w:color w:val="auto"/>
              </w:rPr>
            </w:pPr>
          </w:p>
        </w:tc>
      </w:tr>
    </w:tbl>
    <w:p>
      <w:pPr>
        <w:sectPr>
          <w:pgSz w:w="11900" w:h="16838" w:orient="portrait"/>
          <w:cols w:equalWidth="0" w:num="1">
            <w:col w:w="11340"/>
          </w:cols>
          <w:pgMar w:left="240" w:top="280" w:right="319" w:bottom="1440" w:gutter="0" w:footer="0" w:header="0"/>
        </w:sectPr>
      </w:pPr>
    </w:p>
    <w:bookmarkStart w:id="87" w:name="page88"/>
    <w:bookmarkEnd w:id="87"/>
    <w:p>
      <w:pPr>
        <w:ind w:left="-8" w:right="300" w:firstLine="464"/>
        <w:spacing w:after="0" w:line="318" w:lineRule="auto"/>
        <w:tabs>
          <w:tab w:leader="none" w:pos="746" w:val="left"/>
        </w:tabs>
        <w:numPr>
          <w:ilvl w:val="1"/>
          <w:numId w:val="9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99" w:lineRule="exact"/>
        <w:rPr>
          <w:rFonts w:ascii="Arial" w:cs="Arial" w:eastAsia="Arial" w:hAnsi="Arial"/>
          <w:sz w:val="15"/>
          <w:szCs w:val="15"/>
          <w:color w:val="auto"/>
        </w:rPr>
      </w:pPr>
    </w:p>
    <w:p>
      <w:pPr>
        <w:ind w:left="-8" w:right="80" w:firstLine="464"/>
        <w:spacing w:after="0" w:line="306" w:lineRule="auto"/>
        <w:tabs>
          <w:tab w:leader="none" w:pos="697"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left="-8" w:firstLine="464"/>
        <w:spacing w:after="0" w:line="294" w:lineRule="auto"/>
        <w:tabs>
          <w:tab w:leader="none" w:pos="697"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90" w:lineRule="exact"/>
        <w:rPr>
          <w:rFonts w:ascii="Arial" w:cs="Arial" w:eastAsia="Arial" w:hAnsi="Arial"/>
          <w:sz w:val="16"/>
          <w:szCs w:val="16"/>
          <w:color w:val="auto"/>
        </w:rPr>
      </w:pPr>
    </w:p>
    <w:p>
      <w:pPr>
        <w:ind w:left="172" w:hanging="172"/>
        <w:spacing w:after="0"/>
        <w:tabs>
          <w:tab w:leader="none" w:pos="17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96" w:lineRule="exact"/>
        <w:rPr>
          <w:rFonts w:ascii="Arial" w:cs="Arial" w:eastAsia="Arial" w:hAnsi="Arial"/>
          <w:sz w:val="18"/>
          <w:szCs w:val="18"/>
          <w:b w:val="1"/>
          <w:bCs w:val="1"/>
          <w:color w:val="auto"/>
        </w:rPr>
      </w:pPr>
    </w:p>
    <w:p>
      <w:pPr>
        <w:jc w:val="both"/>
        <w:ind w:left="-8" w:right="80" w:firstLine="464"/>
        <w:spacing w:after="0" w:line="255" w:lineRule="auto"/>
        <w:tabs>
          <w:tab w:leader="none" w:pos="687"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42" w:lineRule="exact"/>
        <w:rPr>
          <w:rFonts w:ascii="Arial" w:cs="Arial" w:eastAsia="Arial" w:hAnsi="Arial"/>
          <w:sz w:val="18"/>
          <w:szCs w:val="18"/>
          <w:color w:val="auto"/>
        </w:rPr>
      </w:pPr>
    </w:p>
    <w:p>
      <w:pPr>
        <w:ind w:left="-8" w:right="180" w:firstLine="464"/>
        <w:spacing w:after="0" w:line="256" w:lineRule="auto"/>
        <w:tabs>
          <w:tab w:leader="none" w:pos="697"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72"/>
          </w:cols>
          <w:pgMar w:left="248" w:top="280" w:right="279" w:bottom="1440" w:gutter="0" w:footer="0" w:header="0"/>
        </w:sectPr>
      </w:pPr>
    </w:p>
    <w:bookmarkStart w:id="88" w:name="page89"/>
    <w:bookmarkEnd w:id="88"/>
    <w:p>
      <w:pPr>
        <w:ind w:left="240" w:hanging="236"/>
        <w:spacing w:after="0"/>
        <w:tabs>
          <w:tab w:leader="none" w:pos="2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Tax Liabilities; Election to Withhold Shares or Pay Cash to Satisfy Tax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0" w:right="20" w:hanging="567"/>
        <w:spacing w:after="0" w:line="303" w:lineRule="auto"/>
        <w:tabs>
          <w:tab w:leader="none" w:pos="1020" w:val="left"/>
        </w:tabs>
        <w:numPr>
          <w:ilvl w:val="1"/>
          <w:numId w:val="98"/>
        </w:numPr>
        <w:rPr>
          <w:rFonts w:ascii="Arial" w:cs="Arial" w:eastAsia="Arial" w:hAnsi="Arial"/>
          <w:sz w:val="15"/>
          <w:szCs w:val="15"/>
          <w:color w:val="auto"/>
        </w:rPr>
      </w:pPr>
      <w:r>
        <w:rPr>
          <w:rFonts w:ascii="Arial" w:cs="Arial" w:eastAsia="Arial" w:hAnsi="Arial"/>
          <w:sz w:val="15"/>
          <w:szCs w:val="15"/>
          <w:color w:val="auto"/>
        </w:rPr>
        <w:t>In connection with the grant of any Award, the occurrence of a Vesting Date under any Award or the distribution of a Grantee’s Account, the Company shall have the right to (A) require the Grantee to remit to the Company an amount sufficient to satisfy any federal, state and/or local withholding tax requirements prior to the delivery or transfer of any certificate or certificates for Shares subject to such Award, or</w:t>
      </w:r>
    </w:p>
    <w:p>
      <w:pPr>
        <w:spacing w:after="0" w:line="1" w:lineRule="exact"/>
        <w:rPr>
          <w:rFonts w:ascii="Arial" w:cs="Arial" w:eastAsia="Arial" w:hAnsi="Arial"/>
          <w:sz w:val="15"/>
          <w:szCs w:val="15"/>
          <w:color w:val="auto"/>
        </w:rPr>
      </w:pPr>
    </w:p>
    <w:p>
      <w:pPr>
        <w:ind w:left="1020" w:right="40"/>
        <w:spacing w:after="0" w:line="255" w:lineRule="auto"/>
        <w:rPr>
          <w:rFonts w:ascii="Arial" w:cs="Arial" w:eastAsia="Arial" w:hAnsi="Arial"/>
          <w:sz w:val="15"/>
          <w:szCs w:val="15"/>
          <w:color w:val="auto"/>
        </w:rPr>
      </w:pPr>
      <w:r>
        <w:rPr>
          <w:rFonts w:ascii="Arial" w:cs="Arial" w:eastAsia="Arial" w:hAnsi="Arial"/>
          <w:sz w:val="18"/>
          <w:szCs w:val="18"/>
          <w:color w:val="auto"/>
        </w:rPr>
        <w:t>(B)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63" w:lineRule="exact"/>
        <w:rPr>
          <w:rFonts w:ascii="Arial" w:cs="Arial" w:eastAsia="Arial" w:hAnsi="Arial"/>
          <w:sz w:val="15"/>
          <w:szCs w:val="15"/>
          <w:color w:val="auto"/>
        </w:rPr>
      </w:pPr>
    </w:p>
    <w:p>
      <w:pPr>
        <w:ind w:left="1020" w:hanging="567"/>
        <w:spacing w:after="0" w:line="285" w:lineRule="auto"/>
        <w:tabs>
          <w:tab w:leader="none" w:pos="10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Except as otherwise provided in this Paragraph 9(c)(ii), any tax liabilities incurred in connection with grant of any Award, the 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700" w:top="280" w:right="299" w:bottom="1440" w:gutter="0" w:footer="0" w:header="0"/>
        </w:sectPr>
      </w:pPr>
    </w:p>
    <w:bookmarkStart w:id="89" w:name="page90"/>
    <w:bookmarkEnd w:id="89"/>
    <w:p>
      <w:pPr>
        <w:ind w:left="148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available for subsequent grants under the Plan. The Committee may add such other requirements and limitations regarding elections pursuant to this Paragraph 9(c)(ii) as it deems appropriate.</w:t>
      </w:r>
    </w:p>
    <w:p>
      <w:pPr>
        <w:spacing w:after="0" w:line="51" w:lineRule="exact"/>
        <w:rPr>
          <w:sz w:val="20"/>
          <w:szCs w:val="20"/>
          <w:color w:val="auto"/>
        </w:rPr>
      </w:pPr>
    </w:p>
    <w:p>
      <w:pPr>
        <w:ind w:left="1480" w:hanging="567"/>
        <w:spacing w:after="0" w:line="287" w:lineRule="auto"/>
        <w:tabs>
          <w:tab w:leader="none" w:pos="14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then, pursuant to Paragraph 8(g)(iii), Shares subject to such Award shall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197" w:lineRule="exact"/>
        <w:rPr>
          <w:rFonts w:ascii="Arial" w:cs="Arial" w:eastAsia="Arial" w:hAnsi="Arial"/>
          <w:sz w:val="16"/>
          <w:szCs w:val="16"/>
          <w:color w:val="auto"/>
        </w:rPr>
      </w:pPr>
    </w:p>
    <w:p>
      <w:pPr>
        <w:ind w:left="280" w:hanging="272"/>
        <w:spacing w:after="0"/>
        <w:tabs>
          <w:tab w:leader="none" w:pos="2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TERMINATING EVENTS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Committee shall give Grantees at least thirty (30) days’ notice (or, if not practicable, such shorter notice as may be reasonably practicable) prior to the anticipated date of the consummation of a Terminating Event. The Committee may, in its discretion,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90" w:name="page91"/>
    <w:bookmarkEnd w:id="90"/>
    <w:p>
      <w:pPr>
        <w:ind w:right="6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CLAIMS PROCEDURE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132" w:lineRule="exact"/>
        <w:rPr>
          <w:sz w:val="20"/>
          <w:szCs w:val="20"/>
          <w:color w:val="auto"/>
        </w:rPr>
      </w:pPr>
    </w:p>
    <w:p>
      <w:pPr>
        <w:ind w:left="700" w:hanging="23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171" w:lineRule="exact"/>
        <w:rPr>
          <w:rFonts w:ascii="Arial" w:cs="Arial" w:eastAsia="Arial" w:hAnsi="Arial"/>
          <w:sz w:val="18"/>
          <w:szCs w:val="18"/>
          <w:color w:val="auto"/>
        </w:rPr>
      </w:pPr>
    </w:p>
    <w:p>
      <w:pPr>
        <w:ind w:right="640" w:firstLine="464"/>
        <w:spacing w:after="0" w:line="268"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an additional period of up to 60 days shall be required to process the Applicant’s request for review.</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REPAYMENT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1" w:lineRule="exact"/>
        <w:rPr>
          <w:sz w:val="20"/>
          <w:szCs w:val="20"/>
          <w:color w:val="auto"/>
        </w:rPr>
      </w:pPr>
    </w:p>
    <w:p>
      <w:pPr>
        <w:ind w:right="100" w:firstLine="8"/>
        <w:spacing w:after="0" w:line="302" w:lineRule="auto"/>
        <w:tabs>
          <w:tab w:leader="none" w:pos="25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AMENDMENT AND TERMINATION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EFFECTIVE DATE AND TERM OF PLAN</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amendment and restatement of the Plan shall be effective July 23, 2010. The Plan shall expire on May 12, 2019, unless sooner terminated by the Board.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280"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 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Plan and all determinations made and actions taken pursuant to the Plan shall be governed in accordance with Pennsylvania law.</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as of the 23</w:t>
      </w:r>
      <w:r>
        <w:rPr>
          <w:rFonts w:ascii="Arial" w:cs="Arial" w:eastAsia="Arial" w:hAnsi="Arial"/>
          <w:sz w:val="11"/>
          <w:szCs w:val="11"/>
          <w:color w:val="auto"/>
        </w:rPr>
        <w:t>nd</w:t>
      </w:r>
      <w:r>
        <w:rPr>
          <w:rFonts w:ascii="Arial" w:cs="Arial" w:eastAsia="Arial" w:hAnsi="Arial"/>
          <w:sz w:val="18"/>
          <w:szCs w:val="18"/>
          <w:color w:val="auto"/>
        </w:rPr>
        <w:t xml:space="preserve"> day of July, 2010.</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COMCAST CORPORATION</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David L. Cohen</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ATTEST: /s/ Arthur R. Block</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274"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27, 2010</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1)"/>
      <w:numFmt w:val="lowerLetter"/>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1)"/>
      <w:numFmt w:val="lowerLetter"/>
      <w:start w:val="1"/>
    </w:lvl>
  </w:abstractNum>
  <w:abstractNum w:abstractNumId="8">
    <w:nsid w:val="1CF10FD8"/>
    <w:multiLevelType w:val="hybridMultilevel"/>
    <w:lvl w:ilvl="0">
      <w:lvlJc w:val="left"/>
      <w:lvlText w:val="(%1)"/>
      <w:numFmt w:val="lowerLetter"/>
      <w:start w:val="2"/>
    </w:lvl>
  </w:abstractNum>
  <w:abstractNum w:abstractNumId="9">
    <w:nsid w:val="180115BE"/>
    <w:multiLevelType w:val="hybridMultilevel"/>
    <w:lvl w:ilvl="0">
      <w:lvlJc w:val="left"/>
      <w:lvlText w:val="(%1)"/>
      <w:numFmt w:val="lowerLetter"/>
      <w:start w:val="4"/>
    </w:lvl>
    <w:lvl w:ilvl="1">
      <w:lvlJc w:val="left"/>
      <w:lvlText w:val="•"/>
      <w:numFmt w:val="bullet"/>
      <w:start w:val="1"/>
    </w:lvl>
  </w:abstractNum>
  <w:abstractNum w:abstractNumId="10">
    <w:nsid w:val="235BA861"/>
    <w:multiLevelType w:val="hybridMultilevel"/>
    <w:lvl w:ilvl="0">
      <w:lvlJc w:val="left"/>
      <w:lvlText w:val="(%1)"/>
      <w:numFmt w:val="lowerLetter"/>
      <w:start w:val="10"/>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1)"/>
      <w:numFmt w:val="lowerLetter"/>
      <w:start w:val="1"/>
    </w:lvl>
  </w:abstractNum>
  <w:abstractNum w:abstractNumId="13">
    <w:nsid w:val="15B5AF5C"/>
    <w:multiLevelType w:val="hybridMultilevel"/>
    <w:lvl w:ilvl="0">
      <w:lvlJc w:val="left"/>
      <w:lvlText w:val="(%1)"/>
      <w:numFmt w:val="lowerLetter"/>
      <w:start w:val="1"/>
    </w:lvl>
  </w:abstractNum>
  <w:abstractNum w:abstractNumId="14">
    <w:nsid w:val="741226BB"/>
    <w:multiLevelType w:val="hybridMultilevel"/>
    <w:lvl w:ilvl="0">
      <w:lvlJc w:val="left"/>
      <w:lvlText w:val="(%1)"/>
      <w:numFmt w:val="lowerLetter"/>
      <w:start w:val="1"/>
    </w:lvl>
  </w:abstractNum>
  <w:abstractNum w:abstractNumId="15">
    <w:nsid w:val="D34B6A8"/>
    <w:multiLevelType w:val="hybridMultilevel"/>
    <w:lvl w:ilvl="0">
      <w:lvlJc w:val="left"/>
      <w:lvlText w:val="%1"/>
      <w:numFmt w:val="decimal"/>
      <w:start w:val="31"/>
    </w:lvl>
  </w:abstractNum>
  <w:abstractNum w:abstractNumId="16">
    <w:nsid w:val="10233C99"/>
    <w:multiLevelType w:val="hybridMultilevel"/>
    <w:lvl w:ilvl="0">
      <w:lvlJc w:val="left"/>
      <w:lvlText w:val="%1"/>
      <w:numFmt w:val="decimal"/>
      <w:start w:val="10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1."/>
      <w:numFmt w:val="decimal"/>
      <w:start w:val="1"/>
    </w:lvl>
    <w:lvl w:ilvl="1">
      <w:lvlJc w:val="left"/>
      <w:lvlText w:val="%2."/>
      <w:numFmt w:val="lowerLetter"/>
      <w:start w:val="1"/>
    </w:lvl>
  </w:abstractNum>
  <w:abstractNum w:abstractNumId="19">
    <w:nsid w:val="7E0C57B1"/>
    <w:multiLevelType w:val="hybridMultilevel"/>
    <w:lvl w:ilvl="0">
      <w:lvlJc w:val="left"/>
      <w:lvlText w:val="(%1)"/>
      <w:numFmt w:val="decimal"/>
      <w:start w:val="6"/>
    </w:lvl>
    <w:lvl w:ilvl="1">
      <w:lvlJc w:val="left"/>
      <w:lvlText w:val="%2."/>
      <w:numFmt w:val="lowerLetter"/>
      <w:start w:val="10"/>
    </w:lvl>
  </w:abstractNum>
  <w:abstractNum w:abstractNumId="20">
    <w:nsid w:val="77AE35E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1">
    <w:nsid w:val="579BE4F1"/>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2">
    <w:nsid w:val="310C50B3"/>
    <w:multiLevelType w:val="hybridMultilevel"/>
    <w:lvl w:ilvl="0">
      <w:lvlJc w:val="left"/>
      <w:lvlText w:val="(%1)"/>
      <w:numFmt w:val="decimal"/>
      <w:start w:val="3"/>
    </w:lvl>
  </w:abstractNum>
  <w:abstractNum w:abstractNumId="23">
    <w:nsid w:val="5FF87E05"/>
    <w:multiLevelType w:val="hybridMultilevel"/>
    <w:lvl w:ilvl="0">
      <w:lvlJc w:val="left"/>
      <w:lvlText w:val="(%1)"/>
      <w:numFmt w:val="lowerRoman"/>
      <w:start w:val="1"/>
    </w:lvl>
  </w:abstractNum>
  <w:abstractNum w:abstractNumId="24">
    <w:nsid w:val="2F305DE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24"/>
    </w:lvl>
  </w:abstractNum>
  <w:abstractNum w:abstractNumId="25">
    <w:nsid w:val="25A70BF7"/>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1"/>
      <w:numFmt w:val="lowerLetter"/>
      <w:start w:val="1"/>
    </w:lvl>
    <w:lvl w:ilvl="1">
      <w:lvlJc w:val="left"/>
      <w:lvlText w:val="(%2)"/>
      <w:numFmt w:val="decimal"/>
      <w:start w:val="1"/>
    </w:lvl>
  </w:abstractNum>
  <w:abstractNum w:abstractNumId="28">
    <w:nsid w:val="1F48EAA1"/>
    <w:multiLevelType w:val="hybridMultilevel"/>
    <w:lvl w:ilvl="0">
      <w:lvlJc w:val="left"/>
      <w:lvlText w:val="%1."/>
      <w:numFmt w:val="lowerLetter"/>
      <w:start w:val="3"/>
    </w:lvl>
    <w:lvl w:ilvl="1">
      <w:lvlJc w:val="left"/>
      <w:lvlText w:val="%2"/>
      <w:numFmt w:val="decimal"/>
      <w:start w:val="1"/>
    </w:lvl>
  </w:abstractNum>
  <w:abstractNum w:abstractNumId="29">
    <w:nsid w:val="1381823A"/>
    <w:multiLevelType w:val="hybridMultilevel"/>
    <w:lvl w:ilvl="0">
      <w:lvlJc w:val="left"/>
      <w:lvlText w:val="%1."/>
      <w:numFmt w:val="decimal"/>
      <w:start w:val="6"/>
    </w:lvl>
    <w:lvl w:ilvl="1">
      <w:lvlJc w:val="left"/>
      <w:lvlText w:val="%2."/>
      <w:numFmt w:val="lowerLetter"/>
      <w:start w:val="1"/>
    </w:lvl>
  </w:abstractNum>
  <w:abstractNum w:abstractNumId="30">
    <w:nsid w:val="5DB70AE5"/>
    <w:multiLevelType w:val="hybridMultilevel"/>
    <w:lvl w:ilvl="0">
      <w:lvlJc w:val="left"/>
      <w:lvlText w:val="%1."/>
      <w:numFmt w:val="decimal"/>
      <w:start w:val="7"/>
    </w:lvl>
    <w:lvl w:ilvl="1">
      <w:lvlJc w:val="left"/>
      <w:lvlText w:val="%2."/>
      <w:numFmt w:val="lowerLetter"/>
      <w:start w:val="1"/>
    </w:lvl>
  </w:abstractNum>
  <w:abstractNum w:abstractNumId="31">
    <w:nsid w:val="100F8FCA"/>
    <w:multiLevelType w:val="hybridMultilevel"/>
    <w:lvl w:ilvl="0">
      <w:lvlJc w:val="left"/>
      <w:lvlText w:val="%1."/>
      <w:numFmt w:val="decimal"/>
      <w:start w:val="1"/>
    </w:lvl>
    <w:lvl w:ilvl="1">
      <w:lvlJc w:val="left"/>
      <w:lvlText w:val="(%2)"/>
      <w:numFmt w:val="lowerLetter"/>
      <w:start w:val="1"/>
    </w:lvl>
  </w:abstractNum>
  <w:abstractNum w:abstractNumId="32">
    <w:nsid w:val="6590700B"/>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33">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4">
    <w:nsid w:val="5F5E7FD0"/>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35">
    <w:nsid w:val="98A3148"/>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6">
    <w:nsid w:val="799D0247"/>
    <w:multiLevelType w:val="hybridMultilevel"/>
    <w:lvl w:ilvl="0">
      <w:lvlJc w:val="left"/>
      <w:lvlText w:val="(%1)"/>
      <w:numFmt w:val="lowerLetter"/>
      <w:start w:val="23"/>
    </w:lvl>
    <w:lvl w:ilvl="1">
      <w:lvlJc w:val="left"/>
      <w:lvlText w:val="(%2)"/>
      <w:numFmt w:val="lowerRoman"/>
      <w:start w:val="1"/>
    </w:lvl>
  </w:abstractNum>
  <w:abstractNum w:abstractNumId="37">
    <w:nsid w:val="6B94764"/>
    <w:multiLevelType w:val="hybridMultilevel"/>
    <w:lvl w:ilvl="0">
      <w:lvlJc w:val="left"/>
      <w:lvlText w:val="(%1)"/>
      <w:numFmt w:val="lowerLetter"/>
      <w:start w:val="27"/>
    </w:lvl>
  </w:abstractNum>
  <w:abstractNum w:abstractNumId="38">
    <w:nsid w:val="42C296BD"/>
    <w:multiLevelType w:val="hybridMultilevel"/>
    <w:lvl w:ilvl="0">
      <w:lvlJc w:val="left"/>
      <w:lvlText w:val="%1"/>
      <w:numFmt w:val="decimal"/>
      <w:start w:val="1"/>
    </w:lvl>
    <w:lvl w:ilvl="1">
      <w:lvlJc w:val="left"/>
      <w:lvlText w:val="(%2)"/>
      <w:numFmt w:val="lowerLetter"/>
      <w:start w:val="29"/>
    </w:lvl>
    <w:lvl w:ilvl="2">
      <w:lvlJc w:val="left"/>
      <w:lvlText w:val="(%3)"/>
      <w:numFmt w:val="lowerRoman"/>
      <w:start w:val="1"/>
    </w:lvl>
  </w:abstractNum>
  <w:abstractNum w:abstractNumId="39">
    <w:nsid w:val="168E121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
    <w:nsid w:val="1EBA5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1">
    <w:nsid w:val="661E3F1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
    <w:nsid w:val="5DC79EA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3">
    <w:nsid w:val="540A471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4">
    <w:nsid w:val="7BD3EE7B"/>
    <w:multiLevelType w:val="hybridMultilevel"/>
    <w:lvl w:ilvl="0">
      <w:lvlJc w:val="left"/>
      <w:lvlText w:val="%1"/>
      <w:numFmt w:val="decimal"/>
      <w:start w:val="1"/>
    </w:lvl>
    <w:lvl w:ilvl="1">
      <w:lvlJc w:val="left"/>
      <w:lvlText w:val="(%2)"/>
      <w:numFmt w:val="lowerLetter"/>
      <w:start w:val="5"/>
    </w:lvl>
  </w:abstractNum>
  <w:abstractNum w:abstractNumId="45">
    <w:nsid w:val="51D9C564"/>
    <w:multiLevelType w:val="hybridMultilevel"/>
    <w:lvl w:ilvl="0">
      <w:lvlJc w:val="left"/>
      <w:lvlText w:val="%1."/>
      <w:numFmt w:val="decimal"/>
      <w:start w:val="6"/>
    </w:lvl>
    <w:lvl w:ilvl="1">
      <w:lvlJc w:val="left"/>
      <w:lvlText w:val="(%2)"/>
      <w:numFmt w:val="lowerLetter"/>
      <w:start w:val="1"/>
    </w:lvl>
  </w:abstractNum>
  <w:abstractNum w:abstractNumId="46">
    <w:nsid w:val="613EFDC5"/>
    <w:multiLevelType w:val="hybridMultilevel"/>
    <w:lvl w:ilvl="0">
      <w:lvlJc w:val="left"/>
      <w:lvlText w:val="(%1)"/>
      <w:numFmt w:val="lowerLetter"/>
      <w:start w:val="1"/>
    </w:lvl>
  </w:abstractNum>
  <w:abstractNum w:abstractNumId="47">
    <w:nsid w:val="BF72B14"/>
    <w:multiLevelType w:val="hybridMultilevel"/>
    <w:lvl w:ilvl="0">
      <w:lvlJc w:val="left"/>
      <w:lvlText w:val="(%1)"/>
      <w:numFmt w:val="lowerLetter"/>
      <w:start w:val="3"/>
    </w:lvl>
    <w:lvl w:ilvl="1">
      <w:lvlJc w:val="left"/>
      <w:lvlText w:val="(%2)"/>
      <w:numFmt w:val="lowerRoman"/>
      <w:start w:val="1"/>
    </w:lvl>
  </w:abstractNum>
  <w:abstractNum w:abstractNumId="48">
    <w:nsid w:val="11447B73"/>
    <w:multiLevelType w:val="hybridMultilevel"/>
    <w:lvl w:ilvl="0">
      <w:lvlJc w:val="left"/>
      <w:lvlText w:val="(%1)"/>
      <w:numFmt w:val="lowerRoman"/>
      <w:start w:val="4"/>
    </w:lvl>
  </w:abstractNum>
  <w:abstractNum w:abstractNumId="49">
    <w:nsid w:val="42963E5A"/>
    <w:multiLevelType w:val="hybridMultilevel"/>
    <w:lvl w:ilvl="0">
      <w:lvlJc w:val="left"/>
      <w:lvlText w:val="(%1)"/>
      <w:numFmt w:val="lowerLetter"/>
      <w:start w:val="5"/>
    </w:lvl>
    <w:lvl w:ilvl="1">
      <w:lvlJc w:val="left"/>
      <w:lvlText w:val="(%2)"/>
      <w:numFmt w:val="lowerRoman"/>
      <w:start w:val="1"/>
    </w:lvl>
  </w:abstractNum>
  <w:abstractNum w:abstractNumId="50">
    <w:nsid w:val="A0382C5"/>
    <w:multiLevelType w:val="hybridMultilevel"/>
    <w:lvl w:ilvl="0">
      <w:lvlJc w:val="left"/>
      <w:lvlText w:val="%1"/>
      <w:numFmt w:val="lowerLetter"/>
      <w:start w:val="1"/>
    </w:lvl>
    <w:lvl w:ilvl="1">
      <w:lvlJc w:val="left"/>
      <w:lvlText w:val="(%2)"/>
      <w:numFmt w:val="lowerRoman"/>
      <w:start w:val="2"/>
    </w:lvl>
  </w:abstractNum>
  <w:abstractNum w:abstractNumId="51">
    <w:nsid w:val="8F2B15E"/>
    <w:multiLevelType w:val="hybridMultilevel"/>
    <w:lvl w:ilvl="0">
      <w:lvlJc w:val="left"/>
      <w:lvlText w:val="(%1)"/>
      <w:numFmt w:val="lowerLetter"/>
      <w:start w:val="8"/>
    </w:lvl>
    <w:lvl w:ilvl="1">
      <w:lvlJc w:val="left"/>
      <w:lvlText w:val="%2"/>
      <w:numFmt w:val="lowerRoman"/>
      <w:start w:val="1"/>
    </w:lvl>
  </w:abstractNum>
  <w:abstractNum w:abstractNumId="52">
    <w:nsid w:val="1A32234B"/>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53">
    <w:nsid w:val="3B0FD379"/>
    <w:multiLevelType w:val="hybridMultilevel"/>
    <w:lvl w:ilvl="0">
      <w:lvlJc w:val="left"/>
      <w:lvlText w:val="%1."/>
      <w:numFmt w:val="decimal"/>
      <w:start w:val="8"/>
    </w:lvl>
    <w:lvl w:ilvl="1">
      <w:lvlJc w:val="left"/>
      <w:lvlText w:val="%2"/>
      <w:numFmt w:val="lowerRoman"/>
      <w:start w:val="1"/>
    </w:lvl>
    <w:lvl w:ilvl="2">
      <w:lvlJc w:val="left"/>
      <w:lvlText w:val="%3"/>
      <w:numFmt w:val="lowerRoman"/>
      <w:start w:val="1"/>
    </w:lvl>
  </w:abstractNum>
  <w:abstractNum w:abstractNumId="54">
    <w:nsid w:val="68EB2F63"/>
    <w:multiLevelType w:val="hybridMultilevel"/>
    <w:lvl w:ilvl="0">
      <w:lvlJc w:val="left"/>
      <w:lvlText w:val="%1."/>
      <w:numFmt w:val="decimal"/>
      <w:start w:val="11"/>
    </w:lvl>
    <w:lvl w:ilvl="1">
      <w:lvlJc w:val="left"/>
      <w:lvlText w:val="(%2)"/>
      <w:numFmt w:val="lowerLetter"/>
      <w:start w:val="1"/>
    </w:lvl>
  </w:abstractNum>
  <w:abstractNum w:abstractNumId="55">
    <w:nsid w:val="4962813B"/>
    <w:multiLevelType w:val="hybridMultilevel"/>
    <w:lvl w:ilvl="0">
      <w:lvlJc w:val="left"/>
      <w:lvlText w:val="%1."/>
      <w:numFmt w:val="decimal"/>
      <w:start w:val="13"/>
    </w:lvl>
    <w:lvl w:ilvl="1">
      <w:lvlJc w:val="left"/>
      <w:lvlText w:val="(%2)"/>
      <w:numFmt w:val="lowerLetter"/>
      <w:start w:val="1"/>
    </w:lvl>
  </w:abstractNum>
  <w:abstractNum w:abstractNumId="56">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
    <w:nsid w:val="6A5EE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8">
    <w:nsid w:val="14330624"/>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59">
    <w:nsid w:val="7FFFCA11"/>
    <w:multiLevelType w:val="hybridMultilevel"/>
    <w:lvl w:ilvl="0">
      <w:lvlJc w:val="left"/>
      <w:lvlText w:val="(%1)"/>
      <w:numFmt w:val="lowerLetter"/>
      <w:start w:val="2"/>
    </w:lvl>
  </w:abstractNum>
  <w:abstractNum w:abstractNumId="60">
    <w:nsid w:val="1A27709E"/>
    <w:multiLevelType w:val="hybridMultilevel"/>
    <w:lvl w:ilvl="0">
      <w:lvlJc w:val="left"/>
      <w:lvlText w:val="%1."/>
      <w:numFmt w:val="decimal"/>
      <w:start w:val="1"/>
    </w:lvl>
    <w:lvl w:ilvl="1">
      <w:lvlJc w:val="left"/>
      <w:lvlText w:val="(%2)"/>
      <w:numFmt w:val="lowerLetter"/>
      <w:start w:val="1"/>
    </w:lvl>
  </w:abstractNum>
  <w:abstractNum w:abstractNumId="61">
    <w:nsid w:val="71EA110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2">
    <w:nsid w:val="100F59DC"/>
    <w:multiLevelType w:val="hybridMultilevel"/>
    <w:lvl w:ilvl="0">
      <w:lvlJc w:val="left"/>
      <w:lvlText w:val="%1"/>
      <w:numFmt w:val="lowerLetter"/>
      <w:start w:val="1"/>
    </w:lvl>
    <w:lvl w:ilvl="1">
      <w:lvlJc w:val="left"/>
      <w:lvlText w:val="(%2)"/>
      <w:numFmt w:val="lowerLetter"/>
      <w:start w:val="35"/>
    </w:lvl>
  </w:abstractNum>
  <w:abstractNum w:abstractNumId="63">
    <w:nsid w:val="7FB7E0AA"/>
    <w:multiLevelType w:val="hybridMultilevel"/>
    <w:lvl w:ilvl="0">
      <w:lvlJc w:val="left"/>
      <w:lvlText w:val="(%1)"/>
      <w:numFmt w:val="lowerLetter"/>
      <w:start w:val="7"/>
    </w:lvl>
    <w:lvl w:ilvl="1">
      <w:lvlJc w:val="left"/>
      <w:lvlText w:val="(%2)"/>
      <w:numFmt w:val="lowerLetter"/>
      <w:start w:val="9"/>
    </w:lvl>
  </w:abstractNum>
  <w:abstractNum w:abstractNumId="64">
    <w:nsid w:val="6EB5BD4"/>
    <w:multiLevelType w:val="hybridMultilevel"/>
    <w:lvl w:ilvl="0">
      <w:lvlJc w:val="left"/>
      <w:lvlText w:val="(%1)"/>
      <w:numFmt w:val="lowerRoman"/>
      <w:start w:val="2"/>
    </w:lvl>
  </w:abstractNum>
  <w:abstractNum w:abstractNumId="65">
    <w:nsid w:val="6F6DD9AC"/>
    <w:multiLevelType w:val="hybridMultilevel"/>
    <w:lvl w:ilvl="0">
      <w:lvlJc w:val="left"/>
      <w:lvlText w:val="(%1)"/>
      <w:numFmt w:val="lowerLetter"/>
      <w:start w:val="11"/>
    </w:lvl>
    <w:lvl w:ilvl="1">
      <w:lvlJc w:val="left"/>
      <w:lvlText w:val="(%2)"/>
      <w:numFmt w:val="lowerRoman"/>
      <w:start w:val="1"/>
    </w:lvl>
  </w:abstractNum>
  <w:abstractNum w:abstractNumId="66">
    <w:nsid w:val="94211F2"/>
    <w:multiLevelType w:val="hybridMultilevel"/>
    <w:lvl w:ilvl="0">
      <w:lvlJc w:val="left"/>
      <w:lvlText w:val="%1"/>
      <w:numFmt w:val="lowerLetter"/>
      <w:start w:val="1"/>
    </w:lvl>
    <w:lvl w:ilvl="1">
      <w:lvlJc w:val="left"/>
      <w:lvlText w:val="(%2)"/>
      <w:numFmt w:val="lowerRoman"/>
      <w:start w:val="1"/>
    </w:lvl>
  </w:abstractNum>
  <w:abstractNum w:abstractNumId="67">
    <w:nsid w:val="885E1B"/>
    <w:multiLevelType w:val="hybridMultilevel"/>
    <w:lvl w:ilvl="0">
      <w:lvlJc w:val="left"/>
      <w:lvlText w:val="(%1)"/>
      <w:numFmt w:val="lowerLetter"/>
      <w:start w:val="20"/>
    </w:lvl>
    <w:lvl w:ilvl="1">
      <w:lvlJc w:val="left"/>
      <w:lvlText w:val="(%2)"/>
      <w:numFmt w:val="lowerRoman"/>
      <w:start w:val="1"/>
    </w:lvl>
  </w:abstractNum>
  <w:abstractNum w:abstractNumId="68">
    <w:nsid w:val="76272110"/>
    <w:multiLevelType w:val="hybridMultilevel"/>
    <w:lvl w:ilvl="0">
      <w:lvlJc w:val="left"/>
      <w:lvlText w:val="(%1)"/>
      <w:numFmt w:val="lowerLetter"/>
      <w:start w:val="25"/>
    </w:lvl>
    <w:lvl w:ilvl="1">
      <w:lvlJc w:val="left"/>
      <w:lvlText w:val="(%2)"/>
      <w:numFmt w:val="lowerRoman"/>
      <w:start w:val="1"/>
    </w:lvl>
  </w:abstractNum>
  <w:abstractNum w:abstractNumId="69">
    <w:nsid w:val="4C04A8AF"/>
    <w:multiLevelType w:val="hybridMultilevel"/>
    <w:lvl w:ilvl="0">
      <w:lvlJc w:val="left"/>
      <w:lvlText w:val="(%1)"/>
      <w:numFmt w:val="lowerLetter"/>
      <w:start w:val="27"/>
    </w:lvl>
  </w:abstractNum>
  <w:abstractNum w:abstractNumId="70">
    <w:nsid w:val="1716703B"/>
    <w:multiLevelType w:val="hybridMultilevel"/>
    <w:lvl w:ilvl="0">
      <w:lvlJc w:val="left"/>
      <w:lvlText w:val="(%1)"/>
      <w:numFmt w:val="lowerLetter"/>
      <w:start w:val="3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1">
    <w:nsid w:val="14E17E33"/>
    <w:multiLevelType w:val="hybridMultilevel"/>
    <w:lvl w:ilvl="0">
      <w:lvlJc w:val="left"/>
      <w:lvlText w:val="(%1)"/>
      <w:numFmt w:val="decimal"/>
      <w:start w:val="3"/>
    </w:lvl>
  </w:abstractNum>
  <w:abstractNum w:abstractNumId="72">
    <w:nsid w:val="3222E7CD"/>
    <w:multiLevelType w:val="hybridMultilevel"/>
    <w:lvl w:ilvl="0">
      <w:lvlJc w:val="left"/>
      <w:lvlText w:val="(%1)"/>
      <w:numFmt w:val="lowerLetter"/>
      <w:start w:val="37"/>
    </w:lvl>
  </w:abstractNum>
  <w:abstractNum w:abstractNumId="73">
    <w:nsid w:val="74DE0EE3"/>
    <w:multiLevelType w:val="hybridMultilevel"/>
    <w:lvl w:ilvl="0">
      <w:lvlJc w:val="left"/>
      <w:lvlText w:val="(%1)"/>
      <w:numFmt w:val="lowerLetter"/>
      <w:start w:val="42"/>
    </w:lvl>
    <w:lvl w:ilvl="1">
      <w:lvlJc w:val="left"/>
      <w:lvlText w:val="(%2)"/>
      <w:numFmt w:val="lowerRoman"/>
      <w:start w:val="1"/>
    </w:lvl>
  </w:abstractNum>
  <w:abstractNum w:abstractNumId="74">
    <w:nsid w:val="68EBC550"/>
    <w:multiLevelType w:val="hybridMultilevel"/>
    <w:lvl w:ilvl="0">
      <w:lvlJc w:val="left"/>
      <w:lvlText w:val="(%1)"/>
      <w:numFmt w:val="lowerLetter"/>
      <w:start w:val="52"/>
    </w:lvl>
  </w:abstractNum>
  <w:abstractNum w:abstractNumId="75">
    <w:nsid w:val="2DF6D648"/>
    <w:multiLevelType w:val="hybridMultilevel"/>
    <w:lvl w:ilvl="0">
      <w:lvlJc w:val="left"/>
      <w:lvlText w:val="(%1)"/>
      <w:numFmt w:val="lowerLetter"/>
      <w:start w:val="53"/>
    </w:lvl>
    <w:lvl w:ilvl="1">
      <w:lvlJc w:val="left"/>
      <w:lvlText w:val="(%2)"/>
      <w:numFmt w:val="lowerRoman"/>
      <w:start w:val="1"/>
    </w:lvl>
  </w:abstractNum>
  <w:abstractNum w:abstractNumId="76">
    <w:nsid w:val="46B7D447"/>
    <w:multiLevelType w:val="hybridMultilevel"/>
    <w:lvl w:ilvl="0">
      <w:lvlJc w:val="left"/>
      <w:lvlText w:val="%1"/>
      <w:numFmt w:val="decimal"/>
      <w:start w:val="1"/>
    </w:lvl>
    <w:lvl w:ilvl="1">
      <w:lvlJc w:val="left"/>
      <w:lvlText w:val="(%2)"/>
      <w:numFmt w:val="lowerLetter"/>
      <w:start w:val="1"/>
    </w:lvl>
  </w:abstractNum>
  <w:abstractNum w:abstractNumId="77">
    <w:nsid w:val="4A2AC315"/>
    <w:multiLevelType w:val="hybridMultilevel"/>
    <w:lvl w:ilvl="0">
      <w:lvlJc w:val="left"/>
      <w:lvlText w:val="%1."/>
      <w:numFmt w:val="decimal"/>
      <w:start w:val="4"/>
    </w:lvl>
    <w:lvl w:ilvl="1">
      <w:lvlJc w:val="left"/>
      <w:lvlText w:val="(%2)"/>
      <w:numFmt w:val="lowerLetter"/>
      <w:start w:val="1"/>
    </w:lvl>
  </w:abstractNum>
  <w:abstractNum w:abstractNumId="78">
    <w:nsid w:val="39EE01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9">
    <w:nsid w:val="57FC4FB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0">
    <w:nsid w:val="CC1016F"/>
    <w:multiLevelType w:val="hybridMultilevel"/>
    <w:lvl w:ilvl="0">
      <w:lvlJc w:val="left"/>
      <w:lvlText w:val="(%1)"/>
      <w:numFmt w:val="lowerLetter"/>
      <w:start w:val="3"/>
    </w:lvl>
  </w:abstractNum>
  <w:abstractNum w:abstractNumId="81">
    <w:nsid w:val="43F18422"/>
    <w:multiLevelType w:val="hybridMultilevel"/>
    <w:lvl w:ilvl="0">
      <w:lvlJc w:val="left"/>
      <w:lvlText w:val="(%1)"/>
      <w:numFmt w:val="lowerLetter"/>
      <w:start w:val="6"/>
    </w:lvl>
    <w:lvl w:ilvl="1">
      <w:lvlJc w:val="left"/>
      <w:lvlText w:val="(%2)"/>
      <w:numFmt w:val="lowerRoman"/>
      <w:start w:val="1"/>
    </w:lvl>
  </w:abstractNum>
  <w:abstractNum w:abstractNumId="82">
    <w:nsid w:val="60EF0119"/>
    <w:multiLevelType w:val="hybridMultilevel"/>
    <w:lvl w:ilvl="0">
      <w:lvlJc w:val="left"/>
      <w:lvlText w:val="%1"/>
      <w:numFmt w:val="decimal"/>
      <w:start w:val="1"/>
    </w:lvl>
    <w:lvl w:ilvl="1">
      <w:lvlJc w:val="left"/>
      <w:lvlText w:val="(%2)"/>
      <w:numFmt w:val="lowerRoman"/>
      <w:start w:val="3"/>
    </w:lvl>
  </w:abstractNum>
  <w:abstractNum w:abstractNumId="83">
    <w:nsid w:val="26F324BA"/>
    <w:multiLevelType w:val="hybridMultilevel"/>
    <w:lvl w:ilvl="0">
      <w:lvlJc w:val="left"/>
      <w:lvlText w:val="%1."/>
      <w:numFmt w:val="decimal"/>
      <w:start w:val="6"/>
    </w:lvl>
    <w:lvl w:ilvl="1">
      <w:lvlJc w:val="left"/>
      <w:lvlText w:val="%2"/>
      <w:numFmt w:val="lowerRoman"/>
      <w:start w:val="1"/>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lowerLetter"/>
      <w:start w:val="6"/>
    </w:lvl>
  </w:abstractNum>
  <w:abstractNum w:abstractNumId="86">
    <w:nsid w:val="7055A5F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7">
    <w:nsid w:val="5FB8370B"/>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abstractNum>
  <w:abstractNum w:abstractNumId="88">
    <w:nsid w:val="50801EE1"/>
    <w:multiLevelType w:val="hybridMultilevel"/>
    <w:lvl w:ilvl="0">
      <w:lvlJc w:val="left"/>
      <w:lvlText w:val="(%1)"/>
      <w:numFmt w:val="lowerRoman"/>
      <w:start w:val="2"/>
    </w:lvl>
  </w:abstractNum>
  <w:abstractNum w:abstractNumId="89">
    <w:nsid w:val="488AC1A"/>
    <w:multiLevelType w:val="hybridMultilevel"/>
    <w:lvl w:ilvl="0">
      <w:lvlJc w:val="left"/>
      <w:lvlText w:val="(%1)"/>
      <w:numFmt w:val="lowerLetter"/>
      <w:start w:val="5"/>
    </w:lvl>
  </w:abstractNum>
  <w:abstractNum w:abstractNumId="90">
    <w:nsid w:val="5FB8011C"/>
    <w:multiLevelType w:val="hybridMultilevel"/>
    <w:lvl w:ilvl="0">
      <w:lvlJc w:val="left"/>
      <w:lvlText w:val="(%1)"/>
      <w:numFmt w:val="lowerLetter"/>
      <w:start w:val="6"/>
    </w:lvl>
    <w:lvl w:ilvl="1">
      <w:lvlJc w:val="left"/>
      <w:lvlText w:val="(%2)"/>
      <w:numFmt w:val="lowerRoman"/>
      <w:start w:val="1"/>
    </w:lvl>
  </w:abstractNum>
  <w:abstractNum w:abstractNumId="91">
    <w:nsid w:val="6AA78F7F"/>
    <w:multiLevelType w:val="hybridMultilevel"/>
    <w:lvl w:ilvl="0">
      <w:lvlJc w:val="left"/>
      <w:lvlText w:val="(%1)"/>
      <w:numFmt w:val="lowerRoman"/>
      <w:start w:val="1"/>
    </w:lvl>
    <w:lvl w:ilvl="1">
      <w:lvlJc w:val="left"/>
      <w:lvlText w:val="(%2)"/>
      <w:numFmt w:val="lowerRoman"/>
      <w:start w:val="1"/>
    </w:lvl>
  </w:abstractNum>
  <w:abstractNum w:abstractNumId="92">
    <w:nsid w:val="7672BD23"/>
    <w:multiLevelType w:val="hybridMultilevel"/>
    <w:lvl w:ilvl="0">
      <w:lvlJc w:val="left"/>
      <w:lvlText w:val="(%1)"/>
      <w:numFmt w:val="lowerLetter"/>
      <w:start w:val="10"/>
    </w:lvl>
    <w:lvl w:ilvl="1">
      <w:lvlJc w:val="left"/>
      <w:lvlText w:val="(%2)"/>
      <w:numFmt w:val="lowerRoman"/>
      <w:start w:val="1"/>
    </w:lvl>
  </w:abstractNum>
  <w:abstractNum w:abstractNumId="93">
    <w:nsid w:val="6FC75AF8"/>
    <w:multiLevelType w:val="hybridMultilevel"/>
    <w:lvl w:ilvl="0">
      <w:lvlJc w:val="left"/>
      <w:lvlText w:val="%1"/>
      <w:numFmt w:val="lowerLetter"/>
      <w:start w:val="1"/>
    </w:lvl>
    <w:lvl w:ilvl="1">
      <w:lvlJc w:val="left"/>
      <w:lvlText w:val="(%2)"/>
      <w:numFmt w:val="lowerRoman"/>
      <w:start w:val="4"/>
    </w:lvl>
  </w:abstractNum>
  <w:abstractNum w:abstractNumId="94">
    <w:nsid w:val="6A5F7029"/>
    <w:multiLevelType w:val="hybridMultilevel"/>
    <w:lvl w:ilvl="0">
      <w:lvlJc w:val="left"/>
      <w:lvlText w:val="(%1)"/>
      <w:numFmt w:val="lowerLetter"/>
      <w:start w:val="12"/>
    </w:lvl>
    <w:lvl w:ilvl="1">
      <w:lvlJc w:val="left"/>
      <w:lvlText w:val="%2"/>
      <w:numFmt w:val="lowerRoman"/>
      <w:start w:val="1"/>
    </w:lvl>
  </w:abstractNum>
  <w:abstractNum w:abstractNumId="95">
    <w:nsid w:val="7D5E18F8"/>
    <w:multiLevelType w:val="hybridMultilevel"/>
    <w:lvl w:ilvl="0">
      <w:lvlJc w:val="left"/>
      <w:lvlText w:val="%1"/>
      <w:numFmt w:val="decimal"/>
      <w:start w:val="1"/>
    </w:lvl>
    <w:lvl w:ilvl="1">
      <w:lvlJc w:val="left"/>
      <w:lvlText w:val="(%2)"/>
      <w:numFmt w:val="lowerLetter"/>
      <w:start w:val="13"/>
    </w:lvl>
  </w:abstractNum>
  <w:abstractNum w:abstractNumId="96">
    <w:nsid w:val="5F3534A4"/>
    <w:multiLevelType w:val="hybridMultilevel"/>
    <w:lvl w:ilvl="0">
      <w:lvlJc w:val="left"/>
      <w:lvlText w:val="%1."/>
      <w:numFmt w:val="decimal"/>
      <w:start w:val="9"/>
    </w:lvl>
    <w:lvl w:ilvl="1">
      <w:lvlJc w:val="left"/>
      <w:lvlText w:val="(%2)"/>
      <w:numFmt w:val="lowerLetter"/>
      <w:start w:val="1"/>
    </w:lvl>
  </w:abstractNum>
  <w:abstractNum w:abstractNumId="97">
    <w:nsid w:val="73A1821B"/>
    <w:multiLevelType w:val="hybridMultilevel"/>
    <w:lvl w:ilvl="0">
      <w:lvlJc w:val="left"/>
      <w:lvlText w:val="(%1)"/>
      <w:numFmt w:val="lowerLetter"/>
      <w:start w:val="3"/>
    </w:lvl>
    <w:lvl w:ilvl="1">
      <w:lvlJc w:val="left"/>
      <w:lvlText w:val="(%2)"/>
      <w:numFmt w:val="lowerRoman"/>
      <w:start w:val="1"/>
    </w:lvl>
  </w:abstractNum>
  <w:abstractNum w:abstractNumId="98">
    <w:nsid w:val="7DE67713"/>
    <w:multiLevelType w:val="hybridMultilevel"/>
    <w:lvl w:ilvl="0">
      <w:lvlJc w:val="left"/>
      <w:lvlText w:val="%1"/>
      <w:numFmt w:val="decimal"/>
      <w:start w:val="1"/>
    </w:lvl>
    <w:lvl w:ilvl="1">
      <w:lvlJc w:val="left"/>
      <w:lvlText w:val="(%2)"/>
      <w:numFmt w:val="lowerRoman"/>
      <w:start w:val="3"/>
    </w:lvl>
  </w:abstractNum>
  <w:abstractNum w:abstractNumId="99">
    <w:nsid w:val="555C55B5"/>
    <w:multiLevelType w:val="hybridMultilevel"/>
    <w:lvl w:ilvl="0">
      <w:lvlJc w:val="left"/>
      <w:lvlText w:val="%1."/>
      <w:numFmt w:val="decimal"/>
      <w:start w:val="10"/>
    </w:lvl>
    <w:lvl w:ilvl="1">
      <w:lvlJc w:val="left"/>
      <w:lvlText w:val="%2"/>
      <w:numFmt w:val="lowerRoman"/>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lowerRoman"/>
      <w:start w:val="2"/>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2019-12-10T22:01:02Z</dcterms:created>
  <dcterms:modified xsi:type="dcterms:W3CDTF">2019-12-10T22:01:02Z</dcterms:modified>
</cp:coreProperties>
</file>