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October 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NBCUniversal Media, LLC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500" w:type="dxa"/>
            <w:vAlign w:val="bottom"/>
          </w:tcPr>
          <w:p>
            <w:pPr>
              <w:spacing w:after="0"/>
              <w:rPr>
                <w:sz w:val="18"/>
                <w:szCs w:val="18"/>
                <w:color w:val="auto"/>
              </w:rPr>
            </w:pPr>
          </w:p>
        </w:tc>
        <w:tc>
          <w:tcPr>
            <w:tcW w:w="5360" w:type="dxa"/>
            <w:vAlign w:val="bottom"/>
          </w:tcPr>
          <w:p>
            <w:pPr>
              <w:jc w:val="center"/>
              <w:ind w:right="2342"/>
              <w:spacing w:after="0"/>
              <w:rPr>
                <w:sz w:val="20"/>
                <w:szCs w:val="20"/>
                <w:color w:val="auto"/>
              </w:rPr>
            </w:pPr>
            <w:r>
              <w:rPr>
                <w:rFonts w:ascii="Arial" w:cs="Arial" w:eastAsia="Arial" w:hAnsi="Arial"/>
                <w:sz w:val="18"/>
                <w:szCs w:val="18"/>
                <w:b w:val="1"/>
                <w:bCs w:val="1"/>
                <w:color w:val="auto"/>
                <w:w w:val="88"/>
              </w:rPr>
              <w:t>Delaware</w:t>
            </w:r>
          </w:p>
        </w:tc>
      </w:tr>
      <w:tr>
        <w:trPr>
          <w:trHeight w:val="174"/>
        </w:trPr>
        <w:tc>
          <w:tcPr>
            <w:tcW w:w="2500" w:type="dxa"/>
            <w:vAlign w:val="bottom"/>
          </w:tcPr>
          <w:p>
            <w:pPr>
              <w:spacing w:after="0"/>
              <w:rPr>
                <w:sz w:val="15"/>
                <w:szCs w:val="15"/>
                <w:color w:val="auto"/>
              </w:rPr>
            </w:pPr>
          </w:p>
        </w:tc>
        <w:tc>
          <w:tcPr>
            <w:tcW w:w="5360" w:type="dxa"/>
            <w:vAlign w:val="bottom"/>
          </w:tcPr>
          <w:p>
            <w:pPr>
              <w:jc w:val="center"/>
              <w:ind w:right="2322"/>
              <w:spacing w:after="0"/>
              <w:rPr>
                <w:sz w:val="20"/>
                <w:szCs w:val="20"/>
                <w:color w:val="auto"/>
              </w:rPr>
            </w:pPr>
            <w:r>
              <w:rPr>
                <w:rFonts w:ascii="Arial" w:cs="Arial" w:eastAsia="Arial" w:hAnsi="Arial"/>
                <w:sz w:val="14"/>
                <w:szCs w:val="14"/>
                <w:b w:val="1"/>
                <w:bCs w:val="1"/>
                <w:color w:val="auto"/>
                <w:w w:val="87"/>
              </w:rPr>
              <w:t>(State or other jurisdiction of incorporation)</w:t>
            </w:r>
          </w:p>
        </w:tc>
      </w:tr>
      <w:tr>
        <w:trPr>
          <w:trHeight w:val="393"/>
        </w:trPr>
        <w:tc>
          <w:tcPr>
            <w:tcW w:w="2500" w:type="dxa"/>
            <w:vAlign w:val="bottom"/>
          </w:tcPr>
          <w:p>
            <w:pPr>
              <w:jc w:val="right"/>
              <w:ind w:right="880"/>
              <w:spacing w:after="0"/>
              <w:rPr>
                <w:sz w:val="20"/>
                <w:szCs w:val="20"/>
                <w:color w:val="auto"/>
              </w:rPr>
            </w:pPr>
            <w:r>
              <w:rPr>
                <w:rFonts w:ascii="Arial" w:cs="Arial" w:eastAsia="Arial" w:hAnsi="Arial"/>
                <w:sz w:val="18"/>
                <w:szCs w:val="18"/>
                <w:b w:val="1"/>
                <w:bCs w:val="1"/>
                <w:color w:val="auto"/>
              </w:rPr>
              <w:t>333-174175</w:t>
            </w:r>
          </w:p>
        </w:tc>
        <w:tc>
          <w:tcPr>
            <w:tcW w:w="5360" w:type="dxa"/>
            <w:vAlign w:val="bottom"/>
          </w:tcPr>
          <w:p>
            <w:pPr>
              <w:jc w:val="right"/>
              <w:ind w:right="482"/>
              <w:spacing w:after="0"/>
              <w:rPr>
                <w:sz w:val="20"/>
                <w:szCs w:val="20"/>
                <w:color w:val="auto"/>
              </w:rPr>
            </w:pPr>
            <w:r>
              <w:rPr>
                <w:rFonts w:ascii="Arial" w:cs="Arial" w:eastAsia="Arial" w:hAnsi="Arial"/>
                <w:sz w:val="18"/>
                <w:szCs w:val="18"/>
                <w:b w:val="1"/>
                <w:bCs w:val="1"/>
                <w:color w:val="auto"/>
              </w:rPr>
              <w:t>14-1682529</w:t>
            </w:r>
          </w:p>
        </w:tc>
      </w:tr>
      <w:tr>
        <w:trPr>
          <w:trHeight w:val="174"/>
        </w:trPr>
        <w:tc>
          <w:tcPr>
            <w:tcW w:w="2500" w:type="dxa"/>
            <w:vAlign w:val="bottom"/>
          </w:tcPr>
          <w:p>
            <w:pPr>
              <w:jc w:val="center"/>
              <w:ind w:right="180"/>
              <w:spacing w:after="0"/>
              <w:rPr>
                <w:sz w:val="20"/>
                <w:szCs w:val="20"/>
                <w:color w:val="auto"/>
              </w:rPr>
            </w:pPr>
            <w:r>
              <w:rPr>
                <w:rFonts w:ascii="Arial" w:cs="Arial" w:eastAsia="Arial" w:hAnsi="Arial"/>
                <w:sz w:val="14"/>
                <w:szCs w:val="14"/>
                <w:b w:val="1"/>
                <w:bCs w:val="1"/>
                <w:color w:val="auto"/>
                <w:w w:val="87"/>
              </w:rPr>
              <w:t>(Commission File Number)</w:t>
            </w:r>
          </w:p>
        </w:tc>
        <w:tc>
          <w:tcPr>
            <w:tcW w:w="5360" w:type="dxa"/>
            <w:vAlign w:val="bottom"/>
          </w:tcPr>
          <w:p>
            <w:pPr>
              <w:jc w:val="center"/>
              <w:ind w:left="33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1"/>
        </w:trPr>
        <w:tc>
          <w:tcPr>
            <w:tcW w:w="2500" w:type="dxa"/>
            <w:vAlign w:val="bottom"/>
          </w:tcPr>
          <w:p>
            <w:pPr>
              <w:jc w:val="center"/>
              <w:ind w:right="120"/>
              <w:spacing w:after="0"/>
              <w:rPr>
                <w:sz w:val="20"/>
                <w:szCs w:val="20"/>
                <w:color w:val="auto"/>
              </w:rPr>
            </w:pPr>
            <w:r>
              <w:rPr>
                <w:rFonts w:ascii="Arial" w:cs="Arial" w:eastAsia="Arial" w:hAnsi="Arial"/>
                <w:sz w:val="18"/>
                <w:szCs w:val="18"/>
                <w:b w:val="1"/>
                <w:bCs w:val="1"/>
                <w:color w:val="auto"/>
                <w:w w:val="88"/>
              </w:rPr>
              <w:t>30 Rockefeller Plaza</w:t>
            </w:r>
          </w:p>
        </w:tc>
        <w:tc>
          <w:tcPr>
            <w:tcW w:w="5360" w:type="dxa"/>
            <w:vAlign w:val="bottom"/>
          </w:tcPr>
          <w:p>
            <w:pPr>
              <w:spacing w:after="0"/>
              <w:rPr>
                <w:sz w:val="24"/>
                <w:szCs w:val="24"/>
                <w:color w:val="auto"/>
              </w:rPr>
            </w:pPr>
          </w:p>
        </w:tc>
      </w:tr>
      <w:tr>
        <w:trPr>
          <w:trHeight w:val="231"/>
        </w:trPr>
        <w:tc>
          <w:tcPr>
            <w:tcW w:w="2500" w:type="dxa"/>
            <w:vAlign w:val="bottom"/>
          </w:tcPr>
          <w:p>
            <w:pPr>
              <w:jc w:val="center"/>
              <w:ind w:right="120"/>
              <w:spacing w:after="0"/>
              <w:rPr>
                <w:sz w:val="20"/>
                <w:szCs w:val="20"/>
                <w:color w:val="auto"/>
              </w:rPr>
            </w:pPr>
            <w:r>
              <w:rPr>
                <w:rFonts w:ascii="Arial" w:cs="Arial" w:eastAsia="Arial" w:hAnsi="Arial"/>
                <w:sz w:val="18"/>
                <w:szCs w:val="18"/>
                <w:b w:val="1"/>
                <w:bCs w:val="1"/>
                <w:color w:val="auto"/>
                <w:w w:val="90"/>
              </w:rPr>
              <w:t>New York, New York</w:t>
            </w:r>
          </w:p>
        </w:tc>
        <w:tc>
          <w:tcPr>
            <w:tcW w:w="5360" w:type="dxa"/>
            <w:vAlign w:val="bottom"/>
          </w:tcPr>
          <w:p>
            <w:pPr>
              <w:jc w:val="right"/>
              <w:ind w:right="442"/>
              <w:spacing w:after="0"/>
              <w:rPr>
                <w:sz w:val="20"/>
                <w:szCs w:val="20"/>
                <w:color w:val="auto"/>
              </w:rPr>
            </w:pPr>
            <w:r>
              <w:rPr>
                <w:rFonts w:ascii="Arial" w:cs="Arial" w:eastAsia="Arial" w:hAnsi="Arial"/>
                <w:sz w:val="18"/>
                <w:szCs w:val="18"/>
                <w:b w:val="1"/>
                <w:bCs w:val="1"/>
                <w:color w:val="auto"/>
              </w:rPr>
              <w:t>10112-0015</w:t>
            </w:r>
          </w:p>
        </w:tc>
      </w:tr>
      <w:tr>
        <w:trPr>
          <w:trHeight w:val="174"/>
        </w:trPr>
        <w:tc>
          <w:tcPr>
            <w:tcW w:w="2500" w:type="dxa"/>
            <w:vAlign w:val="bottom"/>
          </w:tcPr>
          <w:p>
            <w:pPr>
              <w:jc w:val="center"/>
              <w:ind w:right="12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360" w:type="dxa"/>
            <w:vAlign w:val="bottom"/>
          </w:tcPr>
          <w:p>
            <w:pPr>
              <w:jc w:val="center"/>
              <w:ind w:left="338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(212) 664-4444</w:t>
      </w:r>
    </w:p>
    <w:p>
      <w:pPr>
        <w:spacing w:after="0" w:line="33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41" w:right="899" w:bottom="1440" w:gutter="0" w:footer="0" w:header="0"/>
        </w:sectPr>
      </w:pPr>
    </w:p>
    <w:bookmarkStart w:id="1" w:name="page2"/>
    <w:bookmarkEnd w:id="1"/>
    <w:p>
      <w:pPr>
        <w:ind w:lef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October 5, 2012, NBCUniversal Media, LLC (the “Company”) expects to consummate the issuance and sale of $1,000,000,000 principal amount of its 2.875% Senior Notes due 2023 and $1,000,000,000 principal amount of its 4.450% Senior Notes due 2043 (collectively, the “Notes”), pursuant to an underwriting agreement dated September 28, 2012 among the Company and Credit Suisse Securities (USA) LLC; J.P. Morgan Securities LLC; Morgan Stanley &amp; Co. LLC and RBC Capital Markets, LLC as representatives of the several underwriters named therein. The Notes will be issued pursuant to an Indenture dated as of April 30, 2010 (the “Indenture”) between the Company and The Bank of New York Mellon, as trustee (the “Trustee”) and an officer’s certificate issued pursuant thereto.</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Notes are being offered pursuant to the Company’s Registration Statement on Form S-3 filed on September 28, 2012 (Reg. No. 333-184145), including the prospectus contained therein, and a related prospectus supplement dated September 28, 2012.</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material terms and conditions of the Notes are set forth in the Form of Officer’s Certificate filed herewith as Exhibit 4.1 and incorporated by reference herein and in the Indenture filed as Exhibit 4 to the Company’s Registration Statement on Form S-4 filed May 13, 2011.</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9.01(d)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980" w:type="dxa"/>
            <w:vAlign w:val="bottom"/>
          </w:tcPr>
          <w:p>
            <w:pPr>
              <w:spacing w:after="0"/>
              <w:rPr>
                <w:sz w:val="14"/>
                <w:szCs w:val="14"/>
                <w:color w:val="auto"/>
              </w:rPr>
            </w:pPr>
          </w:p>
        </w:tc>
      </w:tr>
      <w:tr>
        <w:trPr>
          <w:trHeight w:val="316"/>
        </w:trPr>
        <w:tc>
          <w:tcPr>
            <w:tcW w:w="520" w:type="dxa"/>
            <w:vAlign w:val="bottom"/>
          </w:tcPr>
          <w:p>
            <w:pPr>
              <w:jc w:val="right"/>
              <w:ind w:right="120"/>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3"/>
              </w:rPr>
              <w:t>Form of Officer’s Certificate setting forth the terms of the Notes</w:t>
            </w:r>
          </w:p>
        </w:tc>
      </w:tr>
      <w:tr>
        <w:trPr>
          <w:trHeight w:val="324"/>
        </w:trPr>
        <w:tc>
          <w:tcPr>
            <w:tcW w:w="520" w:type="dxa"/>
            <w:vAlign w:val="bottom"/>
          </w:tcPr>
          <w:p>
            <w:pPr>
              <w:jc w:val="right"/>
              <w:ind w:right="120"/>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Opinion of Davis Polk &amp; Wardwell LLP</w:t>
            </w:r>
          </w:p>
        </w:tc>
      </w:tr>
      <w:tr>
        <w:trPr>
          <w:trHeight w:val="324"/>
        </w:trPr>
        <w:tc>
          <w:tcPr>
            <w:tcW w:w="520" w:type="dxa"/>
            <w:vAlign w:val="bottom"/>
          </w:tcPr>
          <w:p>
            <w:pPr>
              <w:jc w:val="right"/>
              <w:ind w:right="120"/>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0"/>
              </w:rPr>
              <w:t>Consent of Davis Polk &amp; Wardwell LLP (contained in Exhibit 5.1)</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NBCUNIVERSAL MEDIA, LLC</w:t>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NBCUniversal, LLC, its sole member</w:t>
      </w:r>
    </w:p>
    <w:p>
      <w:pPr>
        <w:spacing w:after="0" w:line="23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October 3, 2012</w:t>
      </w:r>
      <w:r>
        <w:rPr>
          <w:sz w:val="20"/>
          <w:szCs w:val="20"/>
          <w:color w:val="auto"/>
        </w:rPr>
        <w:tab/>
      </w:r>
      <w:r>
        <w:rPr>
          <w:rFonts w:ascii="Arial" w:cs="Arial" w:eastAsia="Arial" w:hAnsi="Arial"/>
          <w:sz w:val="16"/>
          <w:szCs w:val="16"/>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Arthur R. Block</w:t>
      </w:r>
    </w:p>
    <w:p>
      <w:pPr>
        <w:spacing w:after="0" w:line="9" w:lineRule="exact"/>
        <w:rPr>
          <w:sz w:val="20"/>
          <w:szCs w:val="20"/>
          <w:color w:val="auto"/>
        </w:rPr>
      </w:pPr>
    </w:p>
    <w:p>
      <w:pPr>
        <w:ind w:left="596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NBCUNIVERSAL MEDIA,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5, 2012</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Pursuant to Section 2.01, Section 2.03 and Section 7.01 of the Indenture dated as of April 30, 2010 (the “</w:t>
      </w:r>
      <w:r>
        <w:rPr>
          <w:rFonts w:ascii="Arial" w:cs="Arial" w:eastAsia="Arial" w:hAnsi="Arial"/>
          <w:sz w:val="18"/>
          <w:szCs w:val="18"/>
          <w:b w:val="1"/>
          <w:bCs w:val="1"/>
          <w:color w:val="auto"/>
        </w:rPr>
        <w:t>Indenture</w:t>
      </w:r>
      <w:r>
        <w:rPr>
          <w:rFonts w:ascii="Arial" w:cs="Arial" w:eastAsia="Arial" w:hAnsi="Arial"/>
          <w:sz w:val="18"/>
          <w:szCs w:val="18"/>
          <w:color w:val="auto"/>
        </w:rPr>
        <w:t>”) between NBCUniversal Media, LLC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company under the Indenture)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the undersigned officer does hereby certify, in connection with the issuance of (i) $1,000,000,000 aggregate principal amount of 2.875% Senior Notes due 2023 (the “</w:t>
      </w:r>
      <w:r>
        <w:rPr>
          <w:rFonts w:ascii="Arial" w:cs="Arial" w:eastAsia="Arial" w:hAnsi="Arial"/>
          <w:sz w:val="18"/>
          <w:szCs w:val="18"/>
          <w:b w:val="1"/>
          <w:bCs w:val="1"/>
          <w:color w:val="auto"/>
        </w:rPr>
        <w:t>2023</w:t>
      </w:r>
      <w:r>
        <w:rPr>
          <w:rFonts w:ascii="Arial" w:cs="Arial" w:eastAsia="Arial" w:hAnsi="Arial"/>
          <w:sz w:val="18"/>
          <w:szCs w:val="18"/>
          <w:color w:val="auto"/>
        </w:rPr>
        <w:t xml:space="preserve"> </w:t>
      </w:r>
      <w:r>
        <w:rPr>
          <w:rFonts w:ascii="Arial" w:cs="Arial" w:eastAsia="Arial" w:hAnsi="Arial"/>
          <w:sz w:val="18"/>
          <w:szCs w:val="18"/>
          <w:b w:val="1"/>
          <w:bCs w:val="1"/>
          <w:color w:val="auto"/>
        </w:rPr>
        <w:t>Notes</w:t>
      </w:r>
      <w:r>
        <w:rPr>
          <w:rFonts w:ascii="Arial" w:cs="Arial" w:eastAsia="Arial" w:hAnsi="Arial"/>
          <w:sz w:val="18"/>
          <w:szCs w:val="18"/>
          <w:color w:val="auto"/>
        </w:rPr>
        <w:t>”) and (ii) $1,000,000,000 aggregate principal amount of 4.450% Senior Notes due 2043 (the “</w:t>
      </w:r>
      <w:r>
        <w:rPr>
          <w:rFonts w:ascii="Arial" w:cs="Arial" w:eastAsia="Arial" w:hAnsi="Arial"/>
          <w:sz w:val="18"/>
          <w:szCs w:val="18"/>
          <w:b w:val="1"/>
          <w:bCs w:val="1"/>
          <w:color w:val="auto"/>
        </w:rPr>
        <w:t>2043 Notes</w:t>
      </w:r>
      <w:r>
        <w:rPr>
          <w:rFonts w:ascii="Arial" w:cs="Arial" w:eastAsia="Arial" w:hAnsi="Arial"/>
          <w:sz w:val="18"/>
          <w:szCs w:val="18"/>
          <w:color w:val="auto"/>
        </w:rPr>
        <w:t>” and, together with the 2023 Notes,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that the terms of the Notes are as follows: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otherwise defined herein shall have the meanings specified in the Indenture.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2023 Notes</w:t>
            </w:r>
          </w:p>
        </w:tc>
        <w:tc>
          <w:tcPr>
            <w:tcW w:w="5680" w:type="dxa"/>
            <w:vAlign w:val="bottom"/>
          </w:tcPr>
          <w:p>
            <w:pPr>
              <w:spacing w:after="0"/>
              <w:rPr>
                <w:sz w:val="17"/>
                <w:szCs w:val="17"/>
                <w:color w:val="auto"/>
              </w:rPr>
            </w:pPr>
          </w:p>
        </w:tc>
      </w:tr>
      <w:tr>
        <w:trPr>
          <w:trHeight w:val="316"/>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Title:</w:t>
            </w:r>
          </w:p>
        </w:tc>
        <w:tc>
          <w:tcPr>
            <w:tcW w:w="2820" w:type="dxa"/>
            <w:vAlign w:val="bottom"/>
          </w:tcPr>
          <w:p>
            <w:pPr>
              <w:spacing w:after="0"/>
              <w:rPr>
                <w:sz w:val="24"/>
                <w:szCs w:val="24"/>
                <w:color w:val="auto"/>
              </w:rPr>
            </w:pPr>
          </w:p>
        </w:tc>
        <w:tc>
          <w:tcPr>
            <w:tcW w:w="5680" w:type="dxa"/>
            <w:vAlign w:val="bottom"/>
          </w:tcPr>
          <w:p>
            <w:pPr>
              <w:ind w:left="700"/>
              <w:spacing w:after="0"/>
              <w:rPr>
                <w:sz w:val="20"/>
                <w:szCs w:val="20"/>
                <w:color w:val="auto"/>
              </w:rPr>
            </w:pPr>
            <w:r>
              <w:rPr>
                <w:rFonts w:ascii="Arial" w:cs="Arial" w:eastAsia="Arial" w:hAnsi="Arial"/>
                <w:sz w:val="18"/>
                <w:szCs w:val="18"/>
                <w:color w:val="auto"/>
              </w:rPr>
              <w:t>2.875% Senior Notes due 2023</w:t>
            </w: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i w:val="1"/>
                <w:iCs w:val="1"/>
                <w:color w:val="auto"/>
              </w:rPr>
              <w:t>Issuer:</w:t>
            </w:r>
          </w:p>
        </w:tc>
        <w:tc>
          <w:tcPr>
            <w:tcW w:w="5680" w:type="dxa"/>
            <w:vAlign w:val="bottom"/>
          </w:tcPr>
          <w:p>
            <w:pPr>
              <w:ind w:left="700"/>
              <w:spacing w:after="0"/>
              <w:rPr>
                <w:sz w:val="20"/>
                <w:szCs w:val="20"/>
                <w:color w:val="auto"/>
              </w:rPr>
            </w:pPr>
            <w:r>
              <w:rPr>
                <w:rFonts w:ascii="Arial" w:cs="Arial" w:eastAsia="Arial" w:hAnsi="Arial"/>
                <w:sz w:val="18"/>
                <w:szCs w:val="18"/>
                <w:color w:val="auto"/>
              </w:rPr>
              <w:t>NBCUniversal Media, LLC</w:t>
            </w: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i w:val="1"/>
                <w:iCs w:val="1"/>
                <w:color w:val="auto"/>
              </w:rPr>
              <w:t>Trustee, Paying Agent and Registrar:</w:t>
            </w:r>
          </w:p>
        </w:tc>
        <w:tc>
          <w:tcPr>
            <w:tcW w:w="5680" w:type="dxa"/>
            <w:vAlign w:val="bottom"/>
          </w:tcPr>
          <w:p>
            <w:pPr>
              <w:ind w:left="700"/>
              <w:spacing w:after="0"/>
              <w:rPr>
                <w:sz w:val="20"/>
                <w:szCs w:val="20"/>
                <w:color w:val="auto"/>
              </w:rPr>
            </w:pPr>
            <w:r>
              <w:rPr>
                <w:rFonts w:ascii="Arial" w:cs="Arial" w:eastAsia="Arial" w:hAnsi="Arial"/>
                <w:sz w:val="18"/>
                <w:szCs w:val="18"/>
                <w:color w:val="auto"/>
              </w:rPr>
              <w:t>The Bank of New York Mellon</w:t>
            </w: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5680" w:type="dxa"/>
            <w:vAlign w:val="bottom"/>
          </w:tcPr>
          <w:p>
            <w:pPr>
              <w:ind w:left="700"/>
              <w:spacing w:after="0"/>
              <w:rPr>
                <w:sz w:val="20"/>
                <w:szCs w:val="20"/>
                <w:color w:val="auto"/>
              </w:rPr>
            </w:pPr>
            <w:r>
              <w:rPr>
                <w:rFonts w:ascii="Arial" w:cs="Arial" w:eastAsia="Arial" w:hAnsi="Arial"/>
                <w:sz w:val="18"/>
                <w:szCs w:val="18"/>
                <w:color w:val="auto"/>
              </w:rPr>
              <w:t>$1,000,000,000</w:t>
            </w: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i w:val="1"/>
                <w:iCs w:val="1"/>
                <w:color w:val="auto"/>
              </w:rPr>
              <w:t>Issue Price:</w:t>
            </w:r>
          </w:p>
        </w:tc>
        <w:tc>
          <w:tcPr>
            <w:tcW w:w="5680" w:type="dxa"/>
            <w:vAlign w:val="bottom"/>
          </w:tcPr>
          <w:p>
            <w:pPr>
              <w:ind w:left="700"/>
              <w:spacing w:after="0"/>
              <w:rPr>
                <w:sz w:val="20"/>
                <w:szCs w:val="20"/>
                <w:color w:val="auto"/>
              </w:rPr>
            </w:pPr>
            <w:r>
              <w:rPr>
                <w:rFonts w:ascii="Arial" w:cs="Arial" w:eastAsia="Arial" w:hAnsi="Arial"/>
                <w:sz w:val="18"/>
                <w:szCs w:val="18"/>
                <w:color w:val="auto"/>
              </w:rPr>
              <w:t>99.817%</w:t>
            </w: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i w:val="1"/>
                <w:iCs w:val="1"/>
                <w:color w:val="auto"/>
              </w:rPr>
              <w:t>Maturity Date:</w:t>
            </w:r>
          </w:p>
        </w:tc>
        <w:tc>
          <w:tcPr>
            <w:tcW w:w="5680" w:type="dxa"/>
            <w:vAlign w:val="bottom"/>
          </w:tcPr>
          <w:p>
            <w:pPr>
              <w:ind w:left="700"/>
              <w:spacing w:after="0"/>
              <w:rPr>
                <w:sz w:val="20"/>
                <w:szCs w:val="20"/>
                <w:color w:val="auto"/>
              </w:rPr>
            </w:pPr>
            <w:r>
              <w:rPr>
                <w:rFonts w:ascii="Arial" w:cs="Arial" w:eastAsia="Arial" w:hAnsi="Arial"/>
                <w:sz w:val="18"/>
                <w:szCs w:val="18"/>
                <w:color w:val="auto"/>
              </w:rPr>
              <w:t>January 15, 2023</w:t>
            </w: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i w:val="1"/>
                <w:iCs w:val="1"/>
                <w:color w:val="auto"/>
              </w:rPr>
              <w:t>Interest Rate:</w:t>
            </w:r>
          </w:p>
        </w:tc>
        <w:tc>
          <w:tcPr>
            <w:tcW w:w="5680" w:type="dxa"/>
            <w:vAlign w:val="bottom"/>
          </w:tcPr>
          <w:p>
            <w:pPr>
              <w:ind w:left="700"/>
              <w:spacing w:after="0"/>
              <w:rPr>
                <w:sz w:val="20"/>
                <w:szCs w:val="20"/>
                <w:color w:val="auto"/>
              </w:rPr>
            </w:pPr>
            <w:r>
              <w:rPr>
                <w:rFonts w:ascii="Arial" w:cs="Arial" w:eastAsia="Arial" w:hAnsi="Arial"/>
                <w:sz w:val="18"/>
                <w:szCs w:val="18"/>
                <w:color w:val="auto"/>
              </w:rPr>
              <w:t>2.875% per annum</w:t>
            </w: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i w:val="1"/>
                <w:iCs w:val="1"/>
                <w:color w:val="auto"/>
              </w:rPr>
              <w:t>Date from which Interest will Accrue:</w:t>
            </w:r>
          </w:p>
        </w:tc>
        <w:tc>
          <w:tcPr>
            <w:tcW w:w="5680" w:type="dxa"/>
            <w:vAlign w:val="bottom"/>
          </w:tcPr>
          <w:p>
            <w:pPr>
              <w:ind w:left="700"/>
              <w:spacing w:after="0"/>
              <w:rPr>
                <w:sz w:val="20"/>
                <w:szCs w:val="20"/>
                <w:color w:val="auto"/>
              </w:rPr>
            </w:pPr>
            <w:r>
              <w:rPr>
                <w:rFonts w:ascii="Arial" w:cs="Arial" w:eastAsia="Arial" w:hAnsi="Arial"/>
                <w:sz w:val="18"/>
                <w:szCs w:val="18"/>
                <w:color w:val="auto"/>
              </w:rPr>
              <w:t>October 5, 2012</w:t>
            </w: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i w:val="1"/>
                <w:iCs w:val="1"/>
                <w:color w:val="auto"/>
              </w:rPr>
              <w:t>Interest Payment Dates:</w:t>
            </w:r>
          </w:p>
        </w:tc>
        <w:tc>
          <w:tcPr>
            <w:tcW w:w="5680" w:type="dxa"/>
            <w:vAlign w:val="bottom"/>
          </w:tcPr>
          <w:p>
            <w:pPr>
              <w:ind w:left="700"/>
              <w:spacing w:after="0"/>
              <w:rPr>
                <w:sz w:val="20"/>
                <w:szCs w:val="20"/>
                <w:color w:val="auto"/>
              </w:rPr>
            </w:pPr>
            <w:r>
              <w:rPr>
                <w:rFonts w:ascii="Arial" w:cs="Arial" w:eastAsia="Arial" w:hAnsi="Arial"/>
                <w:sz w:val="18"/>
                <w:szCs w:val="18"/>
                <w:color w:val="auto"/>
                <w:w w:val="86"/>
              </w:rPr>
              <w:t>January 15 and July 15 of each year, commencing on January 15, 2013</w:t>
            </w: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i w:val="1"/>
                <w:iCs w:val="1"/>
                <w:color w:val="auto"/>
              </w:rPr>
              <w:t>Optional Redemption:</w:t>
            </w:r>
          </w:p>
        </w:tc>
        <w:tc>
          <w:tcPr>
            <w:tcW w:w="5680" w:type="dxa"/>
            <w:vAlign w:val="bottom"/>
          </w:tcPr>
          <w:p>
            <w:pPr>
              <w:ind w:left="700"/>
              <w:spacing w:after="0"/>
              <w:rPr>
                <w:sz w:val="20"/>
                <w:szCs w:val="20"/>
                <w:color w:val="auto"/>
              </w:rPr>
            </w:pPr>
            <w:r>
              <w:rPr>
                <w:rFonts w:ascii="Arial" w:cs="Arial" w:eastAsia="Arial" w:hAnsi="Arial"/>
                <w:sz w:val="18"/>
                <w:szCs w:val="18"/>
                <w:color w:val="auto"/>
              </w:rPr>
              <w:t>The Issuer may at its option redeem the 2023 Notes in whole</w:t>
            </w:r>
          </w:p>
        </w:tc>
      </w:tr>
      <w:tr>
        <w:trPr>
          <w:trHeight w:val="378"/>
        </w:trPr>
        <w:tc>
          <w:tcPr>
            <w:tcW w:w="8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680" w:type="dxa"/>
            <w:vAlign w:val="bottom"/>
          </w:tcPr>
          <w:p>
            <w:pPr>
              <w:ind w:left="204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125" w:right="239" w:bottom="1440" w:gutter="0" w:footer="0" w:header="0"/>
        </w:sectPr>
      </w:pPr>
    </w:p>
    <w:bookmarkStart w:id="4" w:name="page5"/>
    <w:bookmarkEnd w:id="4"/>
    <w:p>
      <w:pPr>
        <w:ind w:left="43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in part, at any time or from time to time, prior to their maturity, on at least 30 days’, but not more than 60 days’, prior notice mailed to the registered address of each holder of 2023 Notes to be redeemed, at a redemption price, calculated by the Issuer, equal to the greater of:</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20" w:type="dxa"/>
            <w:vAlign w:val="bottom"/>
          </w:tcPr>
          <w:p>
            <w:pPr>
              <w:spacing w:after="0"/>
              <w:rPr>
                <w:sz w:val="19"/>
                <w:szCs w:val="19"/>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rPr>
              <w:t>(i) 100% of the principal amount of the 2023 Notes being redeemed; and</w:t>
            </w:r>
          </w:p>
        </w:tc>
      </w:tr>
      <w:tr>
        <w:trPr>
          <w:trHeight w:val="412"/>
        </w:trPr>
        <w:tc>
          <w:tcPr>
            <w:tcW w:w="2720" w:type="dxa"/>
            <w:vAlign w:val="bottom"/>
          </w:tcPr>
          <w:p>
            <w:pPr>
              <w:spacing w:after="0"/>
              <w:rPr>
                <w:sz w:val="24"/>
                <w:szCs w:val="24"/>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w w:val="92"/>
              </w:rPr>
              <w:t>(ii) the sum of the present values of the remaining scheduled payments of principal and interest</w:t>
            </w:r>
          </w:p>
        </w:tc>
      </w:tr>
      <w:tr>
        <w:trPr>
          <w:trHeight w:val="216"/>
        </w:trPr>
        <w:tc>
          <w:tcPr>
            <w:tcW w:w="2720" w:type="dxa"/>
            <w:vAlign w:val="bottom"/>
          </w:tcPr>
          <w:p>
            <w:pPr>
              <w:spacing w:after="0"/>
              <w:rPr>
                <w:sz w:val="18"/>
                <w:szCs w:val="18"/>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w w:val="99"/>
              </w:rPr>
              <w:t>thereon (not including any portion of such payments of interest accrued as of the date of</w:t>
            </w:r>
          </w:p>
        </w:tc>
      </w:tr>
      <w:tr>
        <w:trPr>
          <w:trHeight w:val="216"/>
        </w:trPr>
        <w:tc>
          <w:tcPr>
            <w:tcW w:w="2720" w:type="dxa"/>
            <w:vAlign w:val="bottom"/>
          </w:tcPr>
          <w:p>
            <w:pPr>
              <w:spacing w:after="0"/>
              <w:rPr>
                <w:sz w:val="18"/>
                <w:szCs w:val="18"/>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w w:val="90"/>
              </w:rPr>
              <w:t>redemption), discounted to the redemption date on a semiannual basis (assuming a 360-day year</w:t>
            </w:r>
          </w:p>
        </w:tc>
      </w:tr>
      <w:tr>
        <w:trPr>
          <w:trHeight w:val="216"/>
        </w:trPr>
        <w:tc>
          <w:tcPr>
            <w:tcW w:w="2720" w:type="dxa"/>
            <w:vAlign w:val="bottom"/>
          </w:tcPr>
          <w:p>
            <w:pPr>
              <w:spacing w:after="0"/>
              <w:rPr>
                <w:sz w:val="18"/>
                <w:szCs w:val="18"/>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w w:val="91"/>
              </w:rPr>
              <w:t>consisting of twelve 30-day months) at the Treasury Rate (as defined in the 2023 Notes) plus 20</w:t>
            </w:r>
          </w:p>
        </w:tc>
      </w:tr>
      <w:tr>
        <w:trPr>
          <w:trHeight w:val="222"/>
        </w:trPr>
        <w:tc>
          <w:tcPr>
            <w:tcW w:w="2720" w:type="dxa"/>
            <w:vAlign w:val="bottom"/>
          </w:tcPr>
          <w:p>
            <w:pPr>
              <w:spacing w:after="0"/>
              <w:rPr>
                <w:sz w:val="19"/>
                <w:szCs w:val="19"/>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rPr>
              <w:t>basis points,</w:t>
            </w:r>
          </w:p>
        </w:tc>
      </w:tr>
      <w:tr>
        <w:trPr>
          <w:trHeight w:val="412"/>
        </w:trPr>
        <w:tc>
          <w:tcPr>
            <w:tcW w:w="2720" w:type="dxa"/>
            <w:vAlign w:val="bottom"/>
          </w:tcPr>
          <w:p>
            <w:pPr>
              <w:spacing w:after="0"/>
              <w:rPr>
                <w:sz w:val="24"/>
                <w:szCs w:val="24"/>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w w:val="97"/>
              </w:rPr>
              <w:t>plus, in each case, accrued interest thereon to the date of redemption. Notwithstanding the</w:t>
            </w:r>
          </w:p>
        </w:tc>
      </w:tr>
      <w:tr>
        <w:trPr>
          <w:trHeight w:val="216"/>
        </w:trPr>
        <w:tc>
          <w:tcPr>
            <w:tcW w:w="2720" w:type="dxa"/>
            <w:vAlign w:val="bottom"/>
          </w:tcPr>
          <w:p>
            <w:pPr>
              <w:spacing w:after="0"/>
              <w:rPr>
                <w:sz w:val="18"/>
                <w:szCs w:val="18"/>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w w:val="92"/>
              </w:rPr>
              <w:t>foregoing, installments of interest on 2023 Notes that are due and payable on Interest Payment</w:t>
            </w:r>
          </w:p>
        </w:tc>
      </w:tr>
      <w:tr>
        <w:trPr>
          <w:trHeight w:val="216"/>
        </w:trPr>
        <w:tc>
          <w:tcPr>
            <w:tcW w:w="2720" w:type="dxa"/>
            <w:vAlign w:val="bottom"/>
          </w:tcPr>
          <w:p>
            <w:pPr>
              <w:spacing w:after="0"/>
              <w:rPr>
                <w:sz w:val="18"/>
                <w:szCs w:val="18"/>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w w:val="93"/>
              </w:rPr>
              <w:t>Dates falling on or prior to a redemption date for the 2023 Notes will be payable on the Interest</w:t>
            </w:r>
          </w:p>
        </w:tc>
      </w:tr>
      <w:tr>
        <w:trPr>
          <w:trHeight w:val="216"/>
        </w:trPr>
        <w:tc>
          <w:tcPr>
            <w:tcW w:w="2720" w:type="dxa"/>
            <w:vAlign w:val="bottom"/>
          </w:tcPr>
          <w:p>
            <w:pPr>
              <w:spacing w:after="0"/>
              <w:rPr>
                <w:sz w:val="18"/>
                <w:szCs w:val="18"/>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w w:val="92"/>
              </w:rPr>
              <w:t>Payment Date to the registered Holders as of the close of business on the relevant record date</w:t>
            </w:r>
          </w:p>
        </w:tc>
      </w:tr>
      <w:tr>
        <w:trPr>
          <w:trHeight w:val="222"/>
        </w:trPr>
        <w:tc>
          <w:tcPr>
            <w:tcW w:w="2720" w:type="dxa"/>
            <w:vAlign w:val="bottom"/>
          </w:tcPr>
          <w:p>
            <w:pPr>
              <w:spacing w:after="0"/>
              <w:rPr>
                <w:sz w:val="19"/>
                <w:szCs w:val="19"/>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rPr>
              <w:t>according to the 2023 Notes and the Indenture.</w:t>
            </w:r>
          </w:p>
        </w:tc>
      </w:tr>
      <w:tr>
        <w:trPr>
          <w:trHeight w:val="412"/>
        </w:trPr>
        <w:tc>
          <w:tcPr>
            <w:tcW w:w="2720" w:type="dxa"/>
            <w:vAlign w:val="bottom"/>
          </w:tcPr>
          <w:p>
            <w:pPr>
              <w:spacing w:after="0"/>
              <w:rPr>
                <w:sz w:val="24"/>
                <w:szCs w:val="24"/>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w w:val="94"/>
              </w:rPr>
              <w:t>The Issuer agrees to give the Trustee prompt written notice of the foregoing redemption price</w:t>
            </w:r>
          </w:p>
        </w:tc>
      </w:tr>
      <w:tr>
        <w:trPr>
          <w:trHeight w:val="216"/>
        </w:trPr>
        <w:tc>
          <w:tcPr>
            <w:tcW w:w="2720" w:type="dxa"/>
            <w:vAlign w:val="bottom"/>
          </w:tcPr>
          <w:p>
            <w:pPr>
              <w:spacing w:after="0"/>
              <w:rPr>
                <w:sz w:val="18"/>
                <w:szCs w:val="18"/>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w w:val="98"/>
              </w:rPr>
              <w:t>promptly after the calculation thereof and the Trustee shall have no responsibility for such</w:t>
            </w:r>
          </w:p>
        </w:tc>
      </w:tr>
      <w:tr>
        <w:trPr>
          <w:trHeight w:val="222"/>
        </w:trPr>
        <w:tc>
          <w:tcPr>
            <w:tcW w:w="2720" w:type="dxa"/>
            <w:vAlign w:val="bottom"/>
          </w:tcPr>
          <w:p>
            <w:pPr>
              <w:spacing w:after="0"/>
              <w:rPr>
                <w:sz w:val="19"/>
                <w:szCs w:val="19"/>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rPr>
              <w:t>calculation.</w:t>
            </w:r>
          </w:p>
        </w:tc>
      </w:tr>
      <w:tr>
        <w:trPr>
          <w:trHeight w:val="419"/>
        </w:trPr>
        <w:tc>
          <w:tcPr>
            <w:tcW w:w="272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rPr>
              <w:t>None</w:t>
            </w:r>
          </w:p>
        </w:tc>
      </w:tr>
      <w:tr>
        <w:trPr>
          <w:trHeight w:val="432"/>
        </w:trPr>
        <w:tc>
          <w:tcPr>
            <w:tcW w:w="272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rPr>
              <w:t>None</w:t>
            </w:r>
          </w:p>
        </w:tc>
      </w:tr>
      <w:tr>
        <w:trPr>
          <w:trHeight w:val="420"/>
        </w:trPr>
        <w:tc>
          <w:tcPr>
            <w:tcW w:w="2720" w:type="dxa"/>
            <w:vAlign w:val="bottom"/>
          </w:tcPr>
          <w:p>
            <w:pPr>
              <w:spacing w:after="0"/>
              <w:rPr>
                <w:sz w:val="20"/>
                <w:szCs w:val="20"/>
                <w:color w:val="auto"/>
              </w:rPr>
            </w:pPr>
            <w:r>
              <w:rPr>
                <w:rFonts w:ascii="Arial" w:cs="Arial" w:eastAsia="Arial" w:hAnsi="Arial"/>
                <w:sz w:val="18"/>
                <w:szCs w:val="18"/>
                <w:i w:val="1"/>
                <w:iCs w:val="1"/>
                <w:color w:val="auto"/>
              </w:rPr>
              <w:t>Information:</w:t>
            </w: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w w:val="87"/>
              </w:rPr>
              <w:t>The Issuer shall provide such information to the Trustee and registered holders of the 2023 Notes as</w:t>
            </w:r>
          </w:p>
        </w:tc>
      </w:tr>
      <w:tr>
        <w:trPr>
          <w:trHeight w:val="190"/>
        </w:trPr>
        <w:tc>
          <w:tcPr>
            <w:tcW w:w="2720" w:type="dxa"/>
            <w:vAlign w:val="bottom"/>
          </w:tcPr>
          <w:p>
            <w:pPr>
              <w:spacing w:after="0"/>
              <w:rPr>
                <w:sz w:val="16"/>
                <w:szCs w:val="16"/>
                <w:color w:val="auto"/>
              </w:rPr>
            </w:pPr>
          </w:p>
        </w:tc>
        <w:tc>
          <w:tcPr>
            <w:tcW w:w="8640" w:type="dxa"/>
            <w:vAlign w:val="bottom"/>
            <w:gridSpan w:val="5"/>
          </w:tcPr>
          <w:p>
            <w:pPr>
              <w:ind w:left="1620"/>
              <w:spacing w:after="0" w:line="190" w:lineRule="exact"/>
              <w:rPr>
                <w:sz w:val="20"/>
                <w:szCs w:val="20"/>
                <w:color w:val="auto"/>
              </w:rPr>
            </w:pPr>
            <w:r>
              <w:rPr>
                <w:rFonts w:ascii="Arial" w:cs="Arial" w:eastAsia="Arial" w:hAnsi="Arial"/>
                <w:sz w:val="18"/>
                <w:szCs w:val="18"/>
                <w:color w:val="auto"/>
              </w:rPr>
              <w:t xml:space="preserve">set forth in paragraph 9 of the form of 2023 Notes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2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25"/>
        </w:trPr>
        <w:tc>
          <w:tcPr>
            <w:tcW w:w="272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w w:val="93"/>
              </w:rPr>
              <w:t>The terms of the 2023 Notes shall include such other terms as are set forth in the form of 2023</w:t>
            </w:r>
          </w:p>
        </w:tc>
      </w:tr>
      <w:tr>
        <w:trPr>
          <w:trHeight w:val="190"/>
        </w:trPr>
        <w:tc>
          <w:tcPr>
            <w:tcW w:w="2720" w:type="dxa"/>
            <w:vAlign w:val="bottom"/>
          </w:tcPr>
          <w:p>
            <w:pPr>
              <w:spacing w:after="0"/>
              <w:rPr>
                <w:sz w:val="16"/>
                <w:szCs w:val="16"/>
                <w:color w:val="auto"/>
              </w:rPr>
            </w:pPr>
          </w:p>
        </w:tc>
        <w:tc>
          <w:tcPr>
            <w:tcW w:w="8640" w:type="dxa"/>
            <w:vAlign w:val="bottom"/>
            <w:gridSpan w:val="5"/>
          </w:tcPr>
          <w:p>
            <w:pPr>
              <w:ind w:left="1620"/>
              <w:spacing w:after="0" w:line="190" w:lineRule="exact"/>
              <w:rPr>
                <w:sz w:val="20"/>
                <w:szCs w:val="20"/>
                <w:color w:val="auto"/>
              </w:rPr>
            </w:pPr>
            <w:r>
              <w:rPr>
                <w:rFonts w:ascii="Arial" w:cs="Arial" w:eastAsia="Arial" w:hAnsi="Arial"/>
                <w:sz w:val="18"/>
                <w:szCs w:val="18"/>
                <w:color w:val="auto"/>
                <w:w w:val="97"/>
              </w:rPr>
              <w:t xml:space="preserve">Notes attached hereto as </w:t>
            </w:r>
            <w:r>
              <w:rPr>
                <w:rFonts w:ascii="Arial" w:cs="Arial" w:eastAsia="Arial" w:hAnsi="Arial"/>
                <w:sz w:val="18"/>
                <w:szCs w:val="18"/>
                <w:b w:val="1"/>
                <w:bCs w:val="1"/>
                <w:color w:val="auto"/>
                <w:w w:val="97"/>
              </w:rPr>
              <w:t>Exhibit A</w:t>
            </w:r>
            <w:r>
              <w:rPr>
                <w:rFonts w:ascii="Arial" w:cs="Arial" w:eastAsia="Arial" w:hAnsi="Arial"/>
                <w:sz w:val="18"/>
                <w:szCs w:val="18"/>
                <w:color w:val="auto"/>
                <w:w w:val="97"/>
              </w:rPr>
              <w:t>, which form is hereby approved, and in the Indenture.</w:t>
            </w:r>
          </w:p>
        </w:tc>
      </w:tr>
      <w:tr>
        <w:trPr>
          <w:trHeight w:val="383"/>
        </w:trPr>
        <w:tc>
          <w:tcPr>
            <w:tcW w:w="2720" w:type="dxa"/>
            <w:vAlign w:val="bottom"/>
          </w:tcPr>
          <w:p>
            <w:pPr>
              <w:spacing w:after="0"/>
              <w:rPr>
                <w:sz w:val="24"/>
                <w:szCs w:val="24"/>
                <w:color w:val="auto"/>
              </w:rPr>
            </w:pPr>
          </w:p>
        </w:tc>
        <w:tc>
          <w:tcPr>
            <w:tcW w:w="3380" w:type="dxa"/>
            <w:vAlign w:val="bottom"/>
          </w:tcPr>
          <w:p>
            <w:pPr>
              <w:ind w:left="2960"/>
              <w:spacing w:after="0"/>
              <w:rPr>
                <w:sz w:val="20"/>
                <w:szCs w:val="20"/>
                <w:color w:val="auto"/>
              </w:rPr>
            </w:pPr>
            <w:r>
              <w:rPr>
                <w:rFonts w:ascii="Arial" w:cs="Arial" w:eastAsia="Arial" w:hAnsi="Arial"/>
                <w:sz w:val="18"/>
                <w:szCs w:val="18"/>
                <w:color w:val="auto"/>
              </w:rPr>
              <w:t>2</w:t>
            </w:r>
          </w:p>
        </w:tc>
        <w:tc>
          <w:tcPr>
            <w:tcW w:w="72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360"/>
          </w:cols>
          <w:pgMar w:left="240" w:top="280"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2043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Trustee, Paying Agent and Registrar: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from which Interest will Accrue: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Redemption:</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4.450% Senior Notes due 2043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-408305</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99.659%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15, 2043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4.450% per annum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5,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15 and July 15 of each year, commencing on January 15, 2013</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Issuer may at its option redeem the 2043 Notes in whole or in part, at any time or from time to time, prior to their maturity, on at least 30 days’, but not more than 60 days’, prior notice mailed to the registered address of each holder of 2043 Notes to be redeemed, at a redemption price, calculated by the Issuer, equal to the greater of:</w:t>
      </w:r>
    </w:p>
    <w:p>
      <w:pPr>
        <w:spacing w:after="0" w:line="184" w:lineRule="exact"/>
        <w:rPr>
          <w:sz w:val="20"/>
          <w:szCs w:val="20"/>
          <w:color w:val="auto"/>
        </w:rPr>
      </w:pPr>
    </w:p>
    <w:p>
      <w:pPr>
        <w:ind w:left="220" w:hanging="217"/>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 of the principal amount of the 2043 Notes being redeemed; and</w:t>
      </w:r>
    </w:p>
    <w:p>
      <w:pPr>
        <w:spacing w:after="0" w:line="211" w:lineRule="exact"/>
        <w:rPr>
          <w:rFonts w:ascii="Arial" w:cs="Arial" w:eastAsia="Arial" w:hAnsi="Arial"/>
          <w:sz w:val="18"/>
          <w:szCs w:val="18"/>
          <w:color w:val="auto"/>
        </w:rPr>
      </w:pPr>
    </w:p>
    <w:p>
      <w:pPr>
        <w:ind w:right="180" w:firstLine="3"/>
        <w:spacing w:after="0" w:line="255" w:lineRule="auto"/>
        <w:tabs>
          <w:tab w:leader="none" w:pos="25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date of redemption), discounted to the redemption date on a semiannual basis (assuming a 360-day year consisting of twelve 30-day months) at the Treasury Rate (as defined in the 2043 Notes) plus 25 basis points,</w:t>
      </w:r>
    </w:p>
    <w:p>
      <w:pPr>
        <w:spacing w:after="0" w:line="183"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plus, in each case, accrued interest thereon to the date of redemption. Notwithstanding the foregoing, installments of interest on 2043 Notes that are due and payable on Interest</w:t>
      </w:r>
    </w:p>
    <w:p>
      <w:pPr>
        <w:spacing w:after="0" w:line="7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620" w:space="720"/>
            <w:col w:w="6940"/>
          </w:cols>
          <w:pgMar w:left="240" w:top="274"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w w:val="91"/>
              </w:rPr>
              <w:t>Payment Dates falling on or prior to a redemption date for the 2043 Notes will be payable on the</w:t>
            </w:r>
          </w:p>
        </w:tc>
      </w:tr>
      <w:tr>
        <w:trPr>
          <w:trHeight w:val="216"/>
        </w:trPr>
        <w:tc>
          <w:tcPr>
            <w:tcW w:w="2720" w:type="dxa"/>
            <w:vAlign w:val="bottom"/>
          </w:tcPr>
          <w:p>
            <w:pPr>
              <w:spacing w:after="0"/>
              <w:rPr>
                <w:sz w:val="18"/>
                <w:szCs w:val="18"/>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w w:val="89"/>
              </w:rPr>
              <w:t>Interest Payment Date to the registered Holders as of the close of business on the relevant record</w:t>
            </w:r>
          </w:p>
        </w:tc>
      </w:tr>
      <w:tr>
        <w:trPr>
          <w:trHeight w:val="222"/>
        </w:trPr>
        <w:tc>
          <w:tcPr>
            <w:tcW w:w="2720" w:type="dxa"/>
            <w:vAlign w:val="bottom"/>
          </w:tcPr>
          <w:p>
            <w:pPr>
              <w:spacing w:after="0"/>
              <w:rPr>
                <w:sz w:val="19"/>
                <w:szCs w:val="19"/>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rPr>
              <w:t>date according to the 2043 Notes and the Indenture.</w:t>
            </w:r>
          </w:p>
        </w:tc>
      </w:tr>
      <w:tr>
        <w:trPr>
          <w:trHeight w:val="412"/>
        </w:trPr>
        <w:tc>
          <w:tcPr>
            <w:tcW w:w="2720" w:type="dxa"/>
            <w:vAlign w:val="bottom"/>
          </w:tcPr>
          <w:p>
            <w:pPr>
              <w:spacing w:after="0"/>
              <w:rPr>
                <w:sz w:val="24"/>
                <w:szCs w:val="24"/>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w w:val="94"/>
              </w:rPr>
              <w:t>The Issuer agrees to give the Trustee prompt written notice of the foregoing redemption price</w:t>
            </w:r>
          </w:p>
        </w:tc>
      </w:tr>
      <w:tr>
        <w:trPr>
          <w:trHeight w:val="216"/>
        </w:trPr>
        <w:tc>
          <w:tcPr>
            <w:tcW w:w="2720" w:type="dxa"/>
            <w:vAlign w:val="bottom"/>
          </w:tcPr>
          <w:p>
            <w:pPr>
              <w:spacing w:after="0"/>
              <w:rPr>
                <w:sz w:val="18"/>
                <w:szCs w:val="18"/>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w w:val="98"/>
              </w:rPr>
              <w:t>promptly after the calculation thereof and the Trustee shall have no responsibility for such</w:t>
            </w:r>
          </w:p>
        </w:tc>
      </w:tr>
      <w:tr>
        <w:trPr>
          <w:trHeight w:val="222"/>
        </w:trPr>
        <w:tc>
          <w:tcPr>
            <w:tcW w:w="2720" w:type="dxa"/>
            <w:vAlign w:val="bottom"/>
          </w:tcPr>
          <w:p>
            <w:pPr>
              <w:spacing w:after="0"/>
              <w:rPr>
                <w:sz w:val="19"/>
                <w:szCs w:val="19"/>
                <w:color w:val="auto"/>
              </w:rPr>
            </w:pP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rPr>
              <w:t>calculation.</w:t>
            </w:r>
          </w:p>
        </w:tc>
      </w:tr>
      <w:tr>
        <w:trPr>
          <w:trHeight w:val="419"/>
        </w:trPr>
        <w:tc>
          <w:tcPr>
            <w:tcW w:w="272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rPr>
              <w:t>None</w:t>
            </w:r>
          </w:p>
        </w:tc>
      </w:tr>
      <w:tr>
        <w:trPr>
          <w:trHeight w:val="432"/>
        </w:trPr>
        <w:tc>
          <w:tcPr>
            <w:tcW w:w="272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rPr>
              <w:t>None</w:t>
            </w:r>
          </w:p>
        </w:tc>
      </w:tr>
      <w:tr>
        <w:trPr>
          <w:trHeight w:val="420"/>
        </w:trPr>
        <w:tc>
          <w:tcPr>
            <w:tcW w:w="2720" w:type="dxa"/>
            <w:vAlign w:val="bottom"/>
          </w:tcPr>
          <w:p>
            <w:pPr>
              <w:spacing w:after="0"/>
              <w:rPr>
                <w:sz w:val="20"/>
                <w:szCs w:val="20"/>
                <w:color w:val="auto"/>
              </w:rPr>
            </w:pPr>
            <w:r>
              <w:rPr>
                <w:rFonts w:ascii="Arial" w:cs="Arial" w:eastAsia="Arial" w:hAnsi="Arial"/>
                <w:sz w:val="18"/>
                <w:szCs w:val="18"/>
                <w:i w:val="1"/>
                <w:iCs w:val="1"/>
                <w:color w:val="auto"/>
              </w:rPr>
              <w:t>Information:</w:t>
            </w: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w w:val="87"/>
              </w:rPr>
              <w:t>The Issuer shall provide such information to the Trustee and registered holders of the 2043 Notes as</w:t>
            </w:r>
          </w:p>
        </w:tc>
      </w:tr>
      <w:tr>
        <w:trPr>
          <w:trHeight w:val="190"/>
        </w:trPr>
        <w:tc>
          <w:tcPr>
            <w:tcW w:w="2720" w:type="dxa"/>
            <w:vAlign w:val="bottom"/>
          </w:tcPr>
          <w:p>
            <w:pPr>
              <w:spacing w:after="0"/>
              <w:rPr>
                <w:sz w:val="16"/>
                <w:szCs w:val="16"/>
                <w:color w:val="auto"/>
              </w:rPr>
            </w:pPr>
          </w:p>
        </w:tc>
        <w:tc>
          <w:tcPr>
            <w:tcW w:w="8640" w:type="dxa"/>
            <w:vAlign w:val="bottom"/>
            <w:gridSpan w:val="5"/>
          </w:tcPr>
          <w:p>
            <w:pPr>
              <w:ind w:left="1620"/>
              <w:spacing w:after="0" w:line="190" w:lineRule="exact"/>
              <w:rPr>
                <w:sz w:val="20"/>
                <w:szCs w:val="20"/>
                <w:color w:val="auto"/>
              </w:rPr>
            </w:pPr>
            <w:r>
              <w:rPr>
                <w:rFonts w:ascii="Arial" w:cs="Arial" w:eastAsia="Arial" w:hAnsi="Arial"/>
                <w:sz w:val="18"/>
                <w:szCs w:val="18"/>
                <w:color w:val="auto"/>
              </w:rPr>
              <w:t xml:space="preserve">set forth in paragraph 9 of the form of 2043 Notes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20"/>
        </w:trPr>
        <w:tc>
          <w:tcPr>
            <w:tcW w:w="2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25"/>
        </w:trPr>
        <w:tc>
          <w:tcPr>
            <w:tcW w:w="272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640" w:type="dxa"/>
            <w:vAlign w:val="bottom"/>
            <w:gridSpan w:val="5"/>
          </w:tcPr>
          <w:p>
            <w:pPr>
              <w:ind w:left="1620"/>
              <w:spacing w:after="0"/>
              <w:rPr>
                <w:sz w:val="20"/>
                <w:szCs w:val="20"/>
                <w:color w:val="auto"/>
              </w:rPr>
            </w:pPr>
            <w:r>
              <w:rPr>
                <w:rFonts w:ascii="Arial" w:cs="Arial" w:eastAsia="Arial" w:hAnsi="Arial"/>
                <w:sz w:val="18"/>
                <w:szCs w:val="18"/>
                <w:color w:val="auto"/>
                <w:w w:val="93"/>
              </w:rPr>
              <w:t>The terms of the 2043 Notes shall include such other terms as are set forth in the form of 2043</w:t>
            </w:r>
          </w:p>
        </w:tc>
      </w:tr>
      <w:tr>
        <w:trPr>
          <w:trHeight w:val="190"/>
        </w:trPr>
        <w:tc>
          <w:tcPr>
            <w:tcW w:w="2720" w:type="dxa"/>
            <w:vAlign w:val="bottom"/>
          </w:tcPr>
          <w:p>
            <w:pPr>
              <w:spacing w:after="0"/>
              <w:rPr>
                <w:sz w:val="16"/>
                <w:szCs w:val="16"/>
                <w:color w:val="auto"/>
              </w:rPr>
            </w:pPr>
          </w:p>
        </w:tc>
        <w:tc>
          <w:tcPr>
            <w:tcW w:w="8640" w:type="dxa"/>
            <w:vAlign w:val="bottom"/>
            <w:gridSpan w:val="5"/>
          </w:tcPr>
          <w:p>
            <w:pPr>
              <w:ind w:left="1620"/>
              <w:spacing w:after="0" w:line="190" w:lineRule="exact"/>
              <w:rPr>
                <w:sz w:val="20"/>
                <w:szCs w:val="20"/>
                <w:color w:val="auto"/>
              </w:rPr>
            </w:pPr>
            <w:r>
              <w:rPr>
                <w:rFonts w:ascii="Arial" w:cs="Arial" w:eastAsia="Arial" w:hAnsi="Arial"/>
                <w:sz w:val="18"/>
                <w:szCs w:val="18"/>
                <w:color w:val="auto"/>
                <w:w w:val="97"/>
              </w:rPr>
              <w:t xml:space="preserve">Notes attached hereto as </w:t>
            </w:r>
            <w:r>
              <w:rPr>
                <w:rFonts w:ascii="Arial" w:cs="Arial" w:eastAsia="Arial" w:hAnsi="Arial"/>
                <w:sz w:val="18"/>
                <w:szCs w:val="18"/>
                <w:b w:val="1"/>
                <w:bCs w:val="1"/>
                <w:color w:val="auto"/>
                <w:w w:val="97"/>
              </w:rPr>
              <w:t>Exhibit B</w:t>
            </w:r>
            <w:r>
              <w:rPr>
                <w:rFonts w:ascii="Arial" w:cs="Arial" w:eastAsia="Arial" w:hAnsi="Arial"/>
                <w:sz w:val="18"/>
                <w:szCs w:val="18"/>
                <w:color w:val="auto"/>
                <w:w w:val="97"/>
              </w:rPr>
              <w:t>, which form is hereby approved, and in the Indenture.</w:t>
            </w:r>
          </w:p>
        </w:tc>
      </w:tr>
      <w:tr>
        <w:trPr>
          <w:trHeight w:val="20"/>
        </w:trPr>
        <w:tc>
          <w:tcPr>
            <w:tcW w:w="2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Pursuant to Section 7.01 of the Indenture, Section 3.09 of the Indenture is hereby amended to change the definition of “GAAP” as follows:</w:t>
      </w:r>
    </w:p>
    <w:p>
      <w:pPr>
        <w:spacing w:after="0" w:line="1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Indenture shall be computed in conformity with GAAP applied on a consistent basis.</w:t>
      </w:r>
    </w:p>
    <w:p>
      <w:pPr>
        <w:spacing w:after="0" w:line="1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the representations, warranties and covenants described in the Indenture, as amended or supplemented from time to time, the Issuer shall be entitled, subject to authorization by the Board of Directors of the Issuer and delivery of an Officer’s Certificate pursuant to Sections 2.01 and 2.03 of the Indenture, to issue additional Notes from time to time under each series of Notes issued hereby. Any such additional Notes of a series shall have identical terms as the 2023 Notes or 2043 Notes, as the case may be, issued on the issue date, other than with respect to the date of issuance and the issue price and, if applicable,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ind w:right="4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initial interest accrual date and the initial Interest Payment Date (together the “</w:t>
      </w:r>
      <w:r>
        <w:rPr>
          <w:rFonts w:ascii="Arial" w:cs="Arial" w:eastAsia="Arial" w:hAnsi="Arial"/>
          <w:sz w:val="18"/>
          <w:szCs w:val="18"/>
          <w:b w:val="1"/>
          <w:bCs w:val="1"/>
          <w:color w:val="auto"/>
        </w:rPr>
        <w:t>Additional Notes</w:t>
      </w:r>
      <w:r>
        <w:rPr>
          <w:rFonts w:ascii="Arial" w:cs="Arial" w:eastAsia="Arial" w:hAnsi="Arial"/>
          <w:sz w:val="18"/>
          <w:szCs w:val="18"/>
          <w:color w:val="auto"/>
        </w:rPr>
        <w:t>”). Any Additional Notes will be issued in accordance with Section 2.03 of the Indenture.</w:t>
      </w:r>
    </w:p>
    <w:p>
      <w:pPr>
        <w:spacing w:after="0" w:line="12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Such officer has read and understands the provisions of the Indenture and the definitions relating thereto. The statements made in this Officer’s Certificate are based upon the examination of the provisions of the Indenture and upon the relevant books and records of the Issuer. In such officer’s opinion,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 of the Issuer has duly executed this certificate as of the date first set forth above.</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NBCUNIVERSAL MEDIA, LLC</w:t>
      </w:r>
    </w:p>
    <w:p>
      <w:pPr>
        <w:spacing w:after="0" w:line="25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-5715</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299"/>
          </w:cols>
          <w:pgMar w:left="1160" w:top="280"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2023]</w:t>
      </w:r>
    </w:p>
    <w:p>
      <w:pPr>
        <w:spacing w:after="0" w:line="17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UNLESS THIS SECURITY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2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TRANSFERS OF THIS SECURITY ARE LIMITED TO TRANSFERS IN WHOLE, BUT NOT IN PART, TO DTC, TO NOMINEES OF DTC OR TO A SUCCESSOR THEREOF OR SUCH SUCCESSOR’S NOMINEE AND TRANSFERS OF PORTIONS OF THIS GLOBAL SECURITY SHALL BE LIMITED TO TRANSFERS MADE IN ACCORDANCE WITH THE TRANSFER RESTRICTIONS SET FORTH IN THE INDENTURE.</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NBCUNIVERSAL 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2.875% Notes due 2023</w:t>
      </w:r>
    </w:p>
    <w:p>
      <w:pPr>
        <w:spacing w:after="0" w:line="8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No. [</w:t>
        <w:tab/>
        <w: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No.: 63946B AH3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US63946BAH33</w:t>
      </w:r>
    </w:p>
    <w:p>
      <w:pPr>
        <w:spacing w:after="0" w:line="165"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NBCUNIVERSAL MEDIA, LLC, a Delaware limited liability company (the “</w:t>
      </w:r>
      <w:r>
        <w:rPr>
          <w:rFonts w:ascii="Arial" w:cs="Arial" w:eastAsia="Arial" w:hAnsi="Arial"/>
          <w:sz w:val="16"/>
          <w:szCs w:val="16"/>
          <w:b w:val="1"/>
          <w:bCs w:val="1"/>
          <w:color w:val="auto"/>
        </w:rPr>
        <w:t>Issuer</w:t>
      </w:r>
      <w:r>
        <w:rPr>
          <w:rFonts w:ascii="Arial" w:cs="Arial" w:eastAsia="Arial" w:hAnsi="Arial"/>
          <w:sz w:val="16"/>
          <w:szCs w:val="16"/>
          <w:color w:val="auto"/>
        </w:rPr>
        <w:t>,” which term includes any successor company under the Indenture</w:t>
      </w:r>
    </w:p>
    <w:p>
      <w:pPr>
        <w:spacing w:after="0" w:line="44"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referred to on the reverse hereof), for value received, promises to pay to CEDE &amp; CO. or registered assigns, the principal amount of [ ] UNITED STATES DOLLARS (or such other principal amount as shall be set forth on the Schedule of Exchanges of Notes annexed hereto) on January 15, 2023.</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January 15 and July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January 15,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January 1 and July 1 (whether or not a Business Day)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 place.</w:t>
      </w:r>
    </w:p>
    <w:p>
      <w:pPr>
        <w:sectPr>
          <w:pgSz w:w="11900" w:h="16838" w:orient="portrait"/>
          <w:cols w:equalWidth="0" w:num="1">
            <w:col w:w="11420"/>
          </w:cols>
          <w:pgMar w:left="240" w:top="274" w:right="239" w:bottom="1440" w:gutter="0" w:footer="0" w:header="0"/>
        </w:sectPr>
      </w:pPr>
    </w:p>
    <w:bookmarkStart w:id="11" w:name="page12"/>
    <w:bookmarkEnd w:id="11"/>
    <w:p>
      <w:pPr>
        <w:ind w:right="839" w:firstLine="456"/>
        <w:spacing w:after="0" w:line="4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 Dated: October 5, 2012</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NBCUNIVERSAL MEDIA,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80" w:right="1440"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Securities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2012</w:t>
      </w:r>
    </w:p>
    <w:p>
      <w:pPr>
        <w:spacing w:after="0" w:line="206" w:lineRule="exact"/>
        <w:rPr>
          <w:sz w:val="20"/>
          <w:szCs w:val="20"/>
          <w:color w:val="auto"/>
        </w:rPr>
      </w:pPr>
    </w:p>
    <w:p>
      <w:pPr>
        <w:jc w:val="right"/>
        <w:ind w:right="259"/>
        <w:spacing w:after="0"/>
        <w:rPr>
          <w:sz w:val="20"/>
          <w:szCs w:val="20"/>
          <w:color w:val="auto"/>
        </w:rPr>
      </w:pPr>
      <w:r>
        <w:rPr>
          <w:rFonts w:ascii="Arial" w:cs="Arial" w:eastAsia="Arial" w:hAnsi="Arial"/>
          <w:sz w:val="18"/>
          <w:szCs w:val="18"/>
          <w:b w:val="1"/>
          <w:bCs w:val="1"/>
          <w:color w:val="auto"/>
        </w:rPr>
        <w:t>THE BANK OF NEW YORK MELLON,</w:t>
      </w:r>
    </w:p>
    <w:p>
      <w:pPr>
        <w:spacing w:after="0" w:line="2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219"/>
          </w:cols>
          <w:pgMar w:left="240" w:top="280" w:right="1440" w:bottom="1440" w:gutter="0" w:footer="0" w:header="0"/>
        </w:sectPr>
      </w:pPr>
    </w:p>
    <w:bookmarkStart w:id="13" w:name="page14"/>
    <w:bookmarkEnd w:id="13"/>
    <w:p>
      <w:pPr>
        <w:ind w:left="4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NBCUNIVERSAL MEDIA, LLC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2.875% Notes due 2023</w:t>
      </w:r>
    </w:p>
    <w:p>
      <w:pPr>
        <w:spacing w:after="0" w:line="205"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w:t>
      </w:r>
    </w:p>
    <w:p>
      <w:pPr>
        <w:spacing w:after="0" w:line="90"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The Issuer promises to pay interest on the principal amount of this Note at the rate per annum set forth above. Interest on the Notes will accrue from the most recent date to which interest has been paid or duly provided for or, if no interest has been paid or duly provided for, from October 5, 2012. The Issuer will pay interest semiannually in arrears on each Interest Payment Date, commencing January 15, 2013 to the Persons in whose names the Notes are registered at the close of business on the preceding January 1 or July 1 (whether or not a Business Day), as the case may be. Interest will be computed on the basis of a 360-day year consisting of twelve 30-day months in a manner consistent with Rule 11620(b) of the FINRA Uniform Practice Code.</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at the same rate on overdue installments of interest (without regard to any applicable grace periods) to the extent lawful.</w:t>
      </w:r>
    </w:p>
    <w:p>
      <w:pPr>
        <w:spacing w:after="0" w:line="254"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Initially, The Bank of New York Mellon (the “</w:t>
      </w:r>
      <w:r>
        <w:rPr>
          <w:rFonts w:ascii="Arial" w:cs="Arial" w:eastAsia="Arial" w:hAnsi="Arial"/>
          <w:sz w:val="16"/>
          <w:szCs w:val="16"/>
          <w:b w:val="1"/>
          <w:bCs w:val="1"/>
          <w:color w:val="auto"/>
        </w:rPr>
        <w:t>Trustee</w:t>
      </w:r>
      <w:r>
        <w:rPr>
          <w:rFonts w:ascii="Arial" w:cs="Arial" w:eastAsia="Arial" w:hAnsi="Arial"/>
          <w:sz w:val="16"/>
          <w:szCs w:val="16"/>
          <w:color w:val="auto"/>
        </w:rPr>
        <w:t>”) will act as paying agent. The Issuer may change any paying agent without notice to the Holders.</w:t>
      </w:r>
    </w:p>
    <w:p>
      <w:pPr>
        <w:spacing w:after="0" w:line="32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Indenture; Defined Terms.</w:t>
      </w:r>
    </w:p>
    <w:p>
      <w:pPr>
        <w:spacing w:after="0" w:line="8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This Note is one of the 2.875% Notes due 2023 (the “</w:t>
      </w:r>
      <w:r>
        <w:rPr>
          <w:rFonts w:ascii="Arial" w:cs="Arial" w:eastAsia="Arial" w:hAnsi="Arial"/>
          <w:sz w:val="16"/>
          <w:szCs w:val="16"/>
          <w:b w:val="1"/>
          <w:bCs w:val="1"/>
          <w:color w:val="auto"/>
        </w:rPr>
        <w:t>Notes</w:t>
      </w:r>
      <w:r>
        <w:rPr>
          <w:rFonts w:ascii="Arial" w:cs="Arial" w:eastAsia="Arial" w:hAnsi="Arial"/>
          <w:sz w:val="16"/>
          <w:szCs w:val="16"/>
          <w:color w:val="auto"/>
        </w:rPr>
        <w:t>”) issued under an indenture dated as of April 30, 2010 (the “</w:t>
      </w:r>
      <w:r>
        <w:rPr>
          <w:rFonts w:ascii="Arial" w:cs="Arial" w:eastAsia="Arial" w:hAnsi="Arial"/>
          <w:sz w:val="16"/>
          <w:szCs w:val="16"/>
          <w:b w:val="1"/>
          <w:bCs w:val="1"/>
          <w:color w:val="auto"/>
        </w:rPr>
        <w:t>Base Indenture</w:t>
      </w:r>
      <w:r>
        <w:rPr>
          <w:rFonts w:ascii="Arial" w:cs="Arial" w:eastAsia="Arial" w:hAnsi="Arial"/>
          <w:sz w:val="16"/>
          <w:szCs w:val="16"/>
          <w:color w:val="auto"/>
        </w:rPr>
        <w:t>”) between the Issuer and the Trustee, and established pursuant to an Officer’s Certificate dated October 5, 2012, (the “</w:t>
      </w:r>
      <w:r>
        <w:rPr>
          <w:rFonts w:ascii="Arial" w:cs="Arial" w:eastAsia="Arial" w:hAnsi="Arial"/>
          <w:sz w:val="16"/>
          <w:szCs w:val="16"/>
          <w:b w:val="1"/>
          <w:bCs w:val="1"/>
          <w:color w:val="auto"/>
        </w:rPr>
        <w:t>Officer’s Certificate”</w:t>
      </w:r>
      <w:r>
        <w:rPr>
          <w:rFonts w:ascii="Arial" w:cs="Arial" w:eastAsia="Arial" w:hAnsi="Arial"/>
          <w:sz w:val="16"/>
          <w:szCs w:val="16"/>
          <w:color w:val="auto"/>
        </w:rPr>
        <w:t>), issued pursuant to Section 2.01 and Section 2.03 thereof (together, the “</w:t>
      </w:r>
      <w:r>
        <w:rPr>
          <w:rFonts w:ascii="Arial" w:cs="Arial" w:eastAsia="Arial" w:hAnsi="Arial"/>
          <w:sz w:val="16"/>
          <w:szCs w:val="16"/>
          <w:b w:val="1"/>
          <w:bCs w:val="1"/>
          <w:color w:val="auto"/>
        </w:rPr>
        <w:t>Indenture</w:t>
      </w:r>
      <w:r>
        <w:rPr>
          <w:rFonts w:ascii="Arial" w:cs="Arial" w:eastAsia="Arial" w:hAnsi="Arial"/>
          <w:sz w:val="16"/>
          <w:szCs w:val="16"/>
          <w:color w:val="auto"/>
        </w:rPr>
        <w:t>”). This Note is a “Security” and the Notes are “Securities” under the Base Indenture.</w:t>
      </w:r>
    </w:p>
    <w:p>
      <w:pPr>
        <w:spacing w:after="0" w:line="10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on which the Indenture was qualified under the TIA.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R-1</w:t>
      </w:r>
    </w:p>
    <w:p>
      <w:pPr>
        <w:sectPr>
          <w:pgSz w:w="11900" w:h="16838" w:orient="portrait"/>
          <w:cols w:equalWidth="0" w:num="1">
            <w:col w:w="11380"/>
          </w:cols>
          <w:pgMar w:left="240" w:top="280" w:right="279" w:bottom="1440" w:gutter="0" w:footer="0" w:header="0"/>
        </w:sectPr>
      </w:pPr>
    </w:p>
    <w:bookmarkStart w:id="14" w:name="page15"/>
    <w:bookmarkEnd w:id="14"/>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pacing w:after="0" w:line="207"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except the portion thereof not so to be redeemed.</w:t>
      </w:r>
    </w:p>
    <w:p>
      <w:pPr>
        <w:spacing w:after="0" w:line="23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the Outstanding Securities of all series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24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Optional Redemption.</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Issuer may at its option redeem any of the Notes in whole or in part, at any time or from time to time, prior to their maturity, on at least 30 days’, but not more than 60 days’, prior notice mailed to the registered address of each Holder of Notes to be redeemed (the “</w:t>
      </w:r>
      <w:r>
        <w:rPr>
          <w:rFonts w:ascii="Arial" w:cs="Arial" w:eastAsia="Arial" w:hAnsi="Arial"/>
          <w:sz w:val="18"/>
          <w:szCs w:val="18"/>
          <w:b w:val="1"/>
          <w:bCs w:val="1"/>
          <w:color w:val="auto"/>
        </w:rPr>
        <w:t>Redemption Date</w:t>
      </w:r>
      <w:r>
        <w:rPr>
          <w:rFonts w:ascii="Arial" w:cs="Arial" w:eastAsia="Arial" w:hAnsi="Arial"/>
          <w:sz w:val="18"/>
          <w:szCs w:val="18"/>
          <w:color w:val="auto"/>
        </w:rPr>
        <w:t>”), at a redemption price, calculated by the Issuer, equal to the greater of:</w:t>
      </w:r>
    </w:p>
    <w:p>
      <w:pPr>
        <w:spacing w:after="0" w:line="140" w:lineRule="exact"/>
        <w:rPr>
          <w:sz w:val="20"/>
          <w:szCs w:val="20"/>
          <w:color w:val="auto"/>
        </w:rPr>
      </w:pPr>
    </w:p>
    <w:p>
      <w:pPr>
        <w:ind w:left="680" w:hanging="21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71" w:lineRule="exact"/>
        <w:rPr>
          <w:rFonts w:ascii="Arial" w:cs="Arial" w:eastAsia="Arial" w:hAnsi="Arial"/>
          <w:sz w:val="18"/>
          <w:szCs w:val="18"/>
          <w:color w:val="auto"/>
        </w:rPr>
      </w:pPr>
    </w:p>
    <w:p>
      <w:pPr>
        <w:jc w:val="center"/>
        <w:ind w:left="5580" w:right="320" w:hanging="5116"/>
        <w:spacing w:after="0" w:line="440" w:lineRule="auto"/>
        <w:tabs>
          <w:tab w:leader="none" w:pos="72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R-2</w:t>
      </w:r>
    </w:p>
    <w:p>
      <w:pPr>
        <w:sectPr>
          <w:pgSz w:w="11900" w:h="16838" w:orient="portrait"/>
          <w:cols w:equalWidth="0" w:num="1">
            <w:col w:w="11380"/>
          </w:cols>
          <w:pgMar w:left="240" w:top="280" w:right="279" w:bottom="1440" w:gutter="0" w:footer="0" w:header="0"/>
        </w:sectPr>
      </w:pPr>
    </w:p>
    <w:bookmarkStart w:id="15" w:name="page16"/>
    <w:bookmarkEnd w:id="15"/>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accrued as of the Redemption Date), discounted to the Redemption Date on a semiannual basis (assuming a 360-day year consisting of twelve 30-day months) at the Treasury Rate (as defined below) plus 20 basis points,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plus, in each case, accrued interest thereon to the Redemption Date.</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34"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Comparable Treasury Issue</w:t>
      </w:r>
      <w:r>
        <w:rPr>
          <w:rFonts w:ascii="Arial" w:cs="Arial" w:eastAsia="Arial" w:hAnsi="Arial"/>
          <w:sz w:val="16"/>
          <w:szCs w:val="16"/>
          <w:color w:val="auto"/>
        </w:rPr>
        <w:t>”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97"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Quotations or (ii) if the Independent Investment Banker obtains fewer than three such Reference Treasury Dealer Quotations, the average of all such quotations.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171" w:lineRule="exact"/>
        <w:rPr>
          <w:sz w:val="20"/>
          <w:szCs w:val="20"/>
          <w:color w:val="auto"/>
        </w:rPr>
      </w:pPr>
    </w:p>
    <w:p>
      <w:pPr>
        <w:jc w:val="both"/>
        <w:ind w:right="1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w:t>
      </w:r>
      <w:r>
        <w:rPr>
          <w:rFonts w:ascii="Arial" w:cs="Arial" w:eastAsia="Arial" w:hAnsi="Arial"/>
          <w:sz w:val="16"/>
          <w:szCs w:val="16"/>
          <w:color w:val="auto"/>
        </w:rPr>
        <w:t>” means each of (i) Credit Suisse Securities (USA) LLC, J.P. Morgan Securities LLC, Morgan Stanley &amp; Co. LLC and RBC Capital Markets, LLC or their affiliates which are primary U.S. government securities dealers (a “</w:t>
      </w:r>
      <w:r>
        <w:rPr>
          <w:rFonts w:ascii="Arial" w:cs="Arial" w:eastAsia="Arial" w:hAnsi="Arial"/>
          <w:sz w:val="16"/>
          <w:szCs w:val="16"/>
          <w:b w:val="1"/>
          <w:bCs w:val="1"/>
          <w:color w:val="auto"/>
        </w:rPr>
        <w:t>Primary Treasury Dealer</w:t>
      </w:r>
      <w:r>
        <w:rPr>
          <w:rFonts w:ascii="Arial" w:cs="Arial" w:eastAsia="Arial" w:hAnsi="Arial"/>
          <w:sz w:val="16"/>
          <w:szCs w:val="16"/>
          <w:color w:val="auto"/>
        </w:rPr>
        <w:t>”), and their respective successors; provided, however, that if any of the foregoing shall cease to be a primary U.S. government securities dealer, the Issuer will substitute therefor another Primary Treasury Dealer and (ii) any other Primary Treasury Dealer selected by the Issuer.</w:t>
      </w:r>
    </w:p>
    <w:p>
      <w:pPr>
        <w:spacing w:after="0" w:line="103"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as a percentage of its principal amount) quoted in writing to the Independent Investment Banker by such Reference Treasury Dealer at 3:30 p.m. New York time on the third Business Day preceding such Redemption Date.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R-3</w:t>
      </w:r>
    </w:p>
    <w:p>
      <w:pPr>
        <w:sectPr>
          <w:pgSz w:w="11900" w:h="16838" w:orient="portrait"/>
          <w:cols w:equalWidth="0" w:num="1">
            <w:col w:w="11400"/>
          </w:cols>
          <w:pgMar w:left="240" w:top="280" w:right="259" w:bottom="1440" w:gutter="0" w:footer="0" w:header="0"/>
        </w:sectPr>
      </w:pPr>
    </w:p>
    <w:bookmarkStart w:id="16" w:name="page17"/>
    <w:bookmarkEnd w:id="16"/>
    <w:p>
      <w:pPr>
        <w:ind w:right="4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3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Notice of any redemption will be distributed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the Trustee by a method the Trustee deems to be fair and appropriate, provided that so long as the Notes are in the form of Global Securities, such selection shall be made in accordance with the procedures of DTC. No Notes of a principal amount of $2,000 or less will be redeemed in part.</w:t>
      </w:r>
    </w:p>
    <w:p>
      <w:pPr>
        <w:spacing w:after="0" w:line="237"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4 (R</w:t>
      </w:r>
      <w:r>
        <w:rPr>
          <w:rFonts w:ascii="Arial" w:cs="Arial" w:eastAsia="Arial" w:hAnsi="Arial"/>
          <w:sz w:val="14"/>
          <w:szCs w:val="14"/>
          <w:color w:val="auto"/>
        </w:rPr>
        <w:t>EMEDIES OF THE</w:t>
      </w:r>
      <w:r>
        <w:rPr>
          <w:rFonts w:ascii="Arial" w:cs="Arial" w:eastAsia="Arial" w:hAnsi="Arial"/>
          <w:sz w:val="18"/>
          <w:szCs w:val="18"/>
          <w:color w:val="auto"/>
        </w:rPr>
        <w:t xml:space="preserve"> T</w:t>
      </w:r>
      <w:r>
        <w:rPr>
          <w:rFonts w:ascii="Arial" w:cs="Arial" w:eastAsia="Arial" w:hAnsi="Arial"/>
          <w:sz w:val="14"/>
          <w:szCs w:val="14"/>
          <w:color w:val="auto"/>
        </w:rPr>
        <w:t>RUSTEE AND</w:t>
      </w:r>
      <w:r>
        <w:rPr>
          <w:rFonts w:ascii="Arial" w:cs="Arial" w:eastAsia="Arial" w:hAnsi="Arial"/>
          <w:sz w:val="18"/>
          <w:szCs w:val="18"/>
          <w:color w:val="auto"/>
        </w:rPr>
        <w:t xml:space="preserve"> H</w:t>
      </w:r>
      <w:r>
        <w:rPr>
          <w:rFonts w:ascii="Arial" w:cs="Arial" w:eastAsia="Arial" w:hAnsi="Arial"/>
          <w:sz w:val="14"/>
          <w:szCs w:val="14"/>
          <w:color w:val="auto"/>
        </w:rPr>
        <w:t>OLDERS ON</w:t>
      </w:r>
      <w:r>
        <w:rPr>
          <w:rFonts w:ascii="Arial" w:cs="Arial" w:eastAsia="Arial" w:hAnsi="Arial"/>
          <w:sz w:val="18"/>
          <w:szCs w:val="18"/>
          <w:color w:val="auto"/>
        </w:rPr>
        <w:t xml:space="preserve"> E</w:t>
      </w:r>
      <w:r>
        <w:rPr>
          <w:rFonts w:ascii="Arial" w:cs="Arial" w:eastAsia="Arial" w:hAnsi="Arial"/>
          <w:sz w:val="14"/>
          <w:szCs w:val="14"/>
          <w:color w:val="auto"/>
        </w:rPr>
        <w:t>VENT OF</w:t>
      </w:r>
      <w:r>
        <w:rPr>
          <w:rFonts w:ascii="Arial" w:cs="Arial" w:eastAsia="Arial" w:hAnsi="Arial"/>
          <w:sz w:val="18"/>
          <w:szCs w:val="18"/>
          <w:color w:val="auto"/>
        </w:rPr>
        <w:t xml:space="preserve"> D</w:t>
      </w:r>
      <w:r>
        <w:rPr>
          <w:rFonts w:ascii="Arial" w:cs="Arial" w:eastAsia="Arial" w:hAnsi="Arial"/>
          <w:sz w:val="14"/>
          <w:szCs w:val="14"/>
          <w:color w:val="auto"/>
        </w:rPr>
        <w:t>EFAULT</w:t>
      </w:r>
      <w:r>
        <w:rPr>
          <w:rFonts w:ascii="Arial" w:cs="Arial" w:eastAsia="Arial" w:hAnsi="Arial"/>
          <w:sz w:val="18"/>
          <w:szCs w:val="18"/>
          <w:color w:val="auto"/>
        </w:rPr>
        <w:t>) of the Base Indenture shall apply to the Notes.</w:t>
      </w:r>
    </w:p>
    <w:p>
      <w:pPr>
        <w:spacing w:after="0" w:line="293"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Note shall not be entitled to any benefit under the Indenture or be valid until the Trustee manually signs the certificate of authentication on this Note.</w:t>
      </w:r>
    </w:p>
    <w:p>
      <w:pPr>
        <w:spacing w:after="0" w:line="31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the extent the Issuer is not subject to the reporting requirements of Section 13 or 15(d) of the Exchange Act (the “</w:t>
      </w:r>
      <w:r>
        <w:rPr>
          <w:rFonts w:ascii="Arial" w:cs="Arial" w:eastAsia="Arial" w:hAnsi="Arial"/>
          <w:sz w:val="16"/>
          <w:szCs w:val="16"/>
          <w:b w:val="1"/>
          <w:bCs w:val="1"/>
          <w:color w:val="auto"/>
        </w:rPr>
        <w:t>Reporting Requirements</w:t>
      </w:r>
      <w:r>
        <w:rPr>
          <w:rFonts w:ascii="Arial" w:cs="Arial" w:eastAsia="Arial" w:hAnsi="Arial"/>
          <w:sz w:val="16"/>
          <w:szCs w:val="16"/>
          <w:color w:val="auto"/>
        </w:rPr>
        <w:t>”) or does not otherwise report on an annual and quarterly basis on forms provided for such annual and quarterly reporting pursuant to rules and regulations promulgated by the Commission, the Issuer will be required to make available to the Trustee and the Holders, without cost to any Holder, within 90 days following its fiscal year end and within 45 days following its first, second and third fiscal quarter ends, the annual and quarterly financial statements that would be required to be filed with the Commission on Forms 10-K and 10-Q (were the Issuer subject to the Reporting Requirements) along with a “Management’s Discussion and Analysis of Financial Condition and Results of Operations” (“</w:t>
      </w:r>
      <w:r>
        <w:rPr>
          <w:rFonts w:ascii="Arial" w:cs="Arial" w:eastAsia="Arial" w:hAnsi="Arial"/>
          <w:sz w:val="16"/>
          <w:szCs w:val="16"/>
          <w:b w:val="1"/>
          <w:bCs w:val="1"/>
          <w:color w:val="auto"/>
        </w:rPr>
        <w:t>MD&amp;A</w:t>
      </w:r>
      <w:r>
        <w:rPr>
          <w:rFonts w:ascii="Arial" w:cs="Arial" w:eastAsia="Arial" w:hAnsi="Arial"/>
          <w:sz w:val="16"/>
          <w:szCs w:val="16"/>
          <w:color w:val="auto"/>
        </w:rPr>
        <w:t>”) and, with respect to annual financial statements, a report thereon by an independent registered public accounting firm, in each case in a manner that complies in all material respects with the requirements specified in such form for such financial statements and MD&amp;A. The Issuer will not be required to provide such information if the Notes are guaranteed by a person subject to the Reporting Requirements and the Issuer would have been exempt from the Reporting Requirements pursuant to Rule 12h-5 of the Exchange Act.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R-4</w:t>
      </w:r>
    </w:p>
    <w:p>
      <w:pPr>
        <w:sectPr>
          <w:pgSz w:w="11900" w:h="16838" w:orient="portrait"/>
          <w:cols w:equalWidth="0" w:num="1">
            <w:col w:w="11360"/>
          </w:cols>
          <w:pgMar w:left="240" w:top="274" w:right="299" w:bottom="1440" w:gutter="0" w:footer="0" w:header="0"/>
        </w:sectPr>
      </w:pPr>
    </w:p>
    <w:bookmarkStart w:id="17" w:name="page18"/>
    <w:bookmarkEnd w:id="17"/>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Issuer has electronically filed with the Commission’s Next-Generation EDGAR system (or any successor system), the reports described above, the Issuer shall be deemed to have satisfied the foregoing requirements.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event the Notes are unconditionally guaranteed in full by a person subject to the Reporting Requirements, the foregoing requirements will be deemed satisfied by such guarantor filing any document or report that such guarantor is required to file with the Commission pursuant to Section 13 or 15(d) of the Exchange Act.</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Delivery of the reports, information and documents required by this paragraph 9 to be delivered to the Trustee is for informational purposes only and the Trustee’s receipt of such shall not constitute constructive notice of any information contained therein or determinable from information contained therein.</w:t>
      </w:r>
    </w:p>
    <w:p>
      <w:pPr>
        <w:spacing w:after="0" w:line="207"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262"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and the Trustee may use CUSIP and ISIN numbers in notices of redemption, as a convenience to the Holders of the Notes. No representation is made as to the accuracy of such numbers as printed on the Notes or as contained in any notice of redemption and reliance may be placed only on the other identification numbers printed hereon.</w:t>
      </w:r>
    </w:p>
    <w:p>
      <w:pPr>
        <w:spacing w:after="0" w:line="265"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this Note shall be governed by and construed in accordance with the laws of the State of New York.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R-5</w:t>
      </w:r>
    </w:p>
    <w:p>
      <w:pPr>
        <w:sectPr>
          <w:pgSz w:w="11900" w:h="16838" w:orient="portrait"/>
          <w:cols w:equalWidth="0" w:num="1">
            <w:col w:w="11420"/>
          </w:cols>
          <w:pgMar w:left="240" w:top="28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(Print or type assignee’s name, address and zip code)</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(Insert assignee’s soc. sec. or tax I.D. No.)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40" w:type="dxa"/>
            <w:vAlign w:val="bottom"/>
            <w:gridSpan w:val="2"/>
          </w:tcPr>
          <w:p>
            <w:pPr>
              <w:spacing w:after="0"/>
              <w:rPr>
                <w:sz w:val="20"/>
                <w:szCs w:val="20"/>
                <w:color w:val="auto"/>
              </w:rPr>
            </w:pPr>
            <w:r>
              <w:rPr>
                <w:rFonts w:ascii="Arial" w:cs="Arial" w:eastAsia="Arial" w:hAnsi="Arial"/>
                <w:sz w:val="18"/>
                <w:szCs w:val="18"/>
                <w:color w:val="auto"/>
                <w:w w:val="97"/>
              </w:rPr>
              <w:t>and irrevocably appoint</w:t>
            </w:r>
          </w:p>
        </w:tc>
        <w:tc>
          <w:tcPr>
            <w:tcW w:w="9580" w:type="dxa"/>
            <w:vAlign w:val="bottom"/>
            <w:gridSpan w:val="3"/>
          </w:tcPr>
          <w:p>
            <w:pPr>
              <w:ind w:left="760"/>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tc>
      </w:tr>
      <w:tr>
        <w:trPr>
          <w:trHeight w:val="205"/>
        </w:trPr>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5180" w:type="dxa"/>
            <w:vAlign w:val="bottom"/>
            <w:tcBorders>
              <w:bottom w:val="single" w:sz="8" w:color="auto"/>
            </w:tcBorders>
          </w:tcPr>
          <w:p>
            <w:pPr>
              <w:spacing w:after="0"/>
              <w:rPr>
                <w:sz w:val="17"/>
                <w:szCs w:val="17"/>
                <w:color w:val="auto"/>
              </w:rPr>
            </w:pPr>
          </w:p>
        </w:tc>
      </w:tr>
      <w:tr>
        <w:trPr>
          <w:trHeight w:val="331"/>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1400" w:type="dxa"/>
            <w:vAlign w:val="bottom"/>
            <w:tcBorders>
              <w:bottom w:val="single" w:sz="8" w:color="auto"/>
            </w:tcBorders>
          </w:tcPr>
          <w:p>
            <w:pPr>
              <w:spacing w:after="0"/>
              <w:rPr>
                <w:sz w:val="24"/>
                <w:szCs w:val="24"/>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w w:val="91"/>
              </w:rPr>
              <w:t>Your Signature:</w:t>
            </w:r>
          </w:p>
        </w:tc>
        <w:tc>
          <w:tcPr>
            <w:tcW w:w="3200" w:type="dxa"/>
            <w:vAlign w:val="bottom"/>
            <w:tcBorders>
              <w:bottom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 In connection with any transfer of any of the Notes evidenced by this certificate, the undersigned represents that from the date of this certificate through and including the date on which the undersigned disposes of such Notes or any interest therein that either: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CHECK ONE BOX BELOW</w:t>
      </w:r>
    </w:p>
    <w:p>
      <w:pPr>
        <w:spacing w:after="0" w:line="179" w:lineRule="exact"/>
        <w:rPr>
          <w:sz w:val="20"/>
          <w:szCs w:val="20"/>
          <w:color w:val="auto"/>
        </w:rPr>
      </w:pPr>
    </w:p>
    <w:p>
      <w:pPr>
        <w:ind w:left="1960" w:right="940" w:hanging="1034"/>
        <w:spacing w:after="0" w:line="222" w:lineRule="exact"/>
        <w:tabs>
          <w:tab w:leader="none" w:pos="1528" w:val="left"/>
        </w:tabs>
        <w:numPr>
          <w:ilvl w:val="0"/>
          <w:numId w:val="16"/>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portion of the assets used to acquire or hold the Notes evidenced by this certificate (or any interest therein) constitutes assets of any employee benefit plan subject to Title I of the U.S. Employee Retirement Income Security Act of 1974, as amended (“ERISA”), any plan, account or other arrangement subject to Section 4975 of the U.S. Internal Revenue Code of 1986, as amended (the “Code”), or provisions under any other federal, state, local, non-U.S. or other laws or regulations that are similar to such provisions of ERISA or the Code (collectively “Similar Laws”), or any entity whose underlying assets are considered to include “plan assets” of any such plan, account or arrangement within the meaning of ERISA and the Code; or</w:t>
      </w:r>
    </w:p>
    <w:p>
      <w:pPr>
        <w:sectPr>
          <w:pgSz w:w="11900" w:h="16838" w:orient="portrait"/>
          <w:cols w:equalWidth="0" w:num="1">
            <w:col w:w="11420"/>
          </w:cols>
          <w:pgMar w:left="240" w:top="280" w:right="239" w:bottom="1440" w:gutter="0" w:footer="0" w:header="0"/>
        </w:sectPr>
      </w:pPr>
    </w:p>
    <w:bookmarkStart w:id="19" w:name="page20"/>
    <w:bookmarkEnd w:id="19"/>
    <w:p>
      <w:pPr>
        <w:ind w:left="1960" w:right="940" w:hanging="1034"/>
        <w:spacing w:after="0" w:line="229" w:lineRule="exact"/>
        <w:tabs>
          <w:tab w:leader="none" w:pos="1528"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color w:val="auto"/>
        </w:rPr>
        <w:t xml:space="preserve"> the acquisition and holding of the Notes evidenced by this certificate (and any interest therein) will not constitute a non-exempt prohibited transaction under Section 406 of ERISA or Section 4975 of the Code or a similar violation under any applicable Similar Law.</w:t>
      </w:r>
    </w:p>
    <w:p>
      <w:pPr>
        <w:spacing w:after="0" w:line="157"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Unless one of the boxes in A above is checked, the Trustee will refuse to register any of the Notes evidenced by this certificate in the name of any person other than the registered holder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252095</wp:posOffset>
            </wp:positionV>
            <wp:extent cx="3404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9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1340"/>
          </w:cols>
          <w:pgMar w:left="240" w:top="247" w:right="319" w:bottom="1440" w:gutter="0" w:footer="0" w:header="0"/>
        </w:sectPr>
      </w:pPr>
    </w:p>
    <w:bookmarkStart w:id="20" w:name="page21"/>
    <w:bookmarkEnd w:id="20"/>
    <w:p>
      <w:pPr>
        <w:ind w:left="4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EXCHANGES OF NOTES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exchanges of a part of this Global Note for Definitive Notes or a part of another Global Note have been made: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4"/>
              </w:rPr>
              <w:t>Amount of decrease</w:t>
            </w:r>
          </w:p>
        </w:tc>
      </w:tr>
      <w:tr>
        <w:trPr>
          <w:trHeight w:val="149"/>
        </w:trPr>
        <w:tc>
          <w:tcPr>
            <w:tcW w:w="1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principal amount</w:t>
            </w: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Date of Exchange</w:t>
            </w:r>
          </w:p>
        </w:tc>
        <w:tc>
          <w:tcPr>
            <w:tcW w:w="166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 this Global Note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Amount of increase</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principal amount</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of this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14605</wp:posOffset>
            </wp:positionV>
            <wp:extent cx="14408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Principal amount of</w:t>
            </w:r>
          </w:p>
        </w:tc>
        <w:tc>
          <w:tcPr>
            <w:tcW w:w="1200" w:type="dxa"/>
            <w:vAlign w:val="bottom"/>
          </w:tcPr>
          <w:p>
            <w:pPr>
              <w:spacing w:after="0"/>
              <w:rPr>
                <w:sz w:val="14"/>
                <w:szCs w:val="14"/>
                <w:color w:val="auto"/>
              </w:rPr>
            </w:pPr>
          </w:p>
        </w:tc>
      </w:tr>
      <w:tr>
        <w:trPr>
          <w:trHeight w:val="149"/>
        </w:trPr>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this Global Note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Signature of</w:t>
            </w:r>
          </w:p>
        </w:tc>
      </w:tr>
      <w:tr>
        <w:trPr>
          <w:trHeight w:val="149"/>
        </w:trPr>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following such</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authorized signatory</w:t>
            </w:r>
          </w:p>
        </w:tc>
      </w:tr>
      <w:tr>
        <w:trPr>
          <w:trHeight w:val="149"/>
        </w:trPr>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decrease (or</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Trustee or</w:t>
            </w:r>
          </w:p>
        </w:tc>
      </w:tr>
      <w:tr>
        <w:trPr>
          <w:trHeight w:val="161"/>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increase)</w:t>
            </w:r>
          </w:p>
        </w:tc>
        <w:tc>
          <w:tcPr>
            <w:tcW w:w="5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Securities Custodian</w:t>
            </w:r>
          </w:p>
        </w:tc>
      </w:tr>
    </w:tbl>
    <w:p>
      <w:pPr>
        <w:sectPr>
          <w:pgSz w:w="11900" w:h="16838" w:orient="portrait"/>
          <w:cols w:equalWidth="0" w:num="3">
            <w:col w:w="5680" w:space="720"/>
            <w:col w:w="1400" w:space="720"/>
            <w:col w:w="2900"/>
          </w:cols>
          <w:pgMar w:left="240" w:top="274" w:right="23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2043]</w:t>
      </w:r>
    </w:p>
    <w:p>
      <w:pPr>
        <w:spacing w:after="0" w:line="17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UNLESS THIS SECURITY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2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TRANSFERS OF THIS SECURITY ARE LIMITED TO TRANSFERS IN WHOLE, BUT NOT IN PART, TO DTC, TO NOMINEES OF DTC OR TO A SUCCESSOR THEREOF OR SUCH SUCCESSOR’S NOMINEE AND TRANSFERS OF PORTIONS OF THIS GLOBAL SECURITY SHALL BE LIMITED TO TRANSFERS MADE IN ACCORDANCE WITH THE TRANSFER RESTRICTIONS SET FORTH IN THE INDENTURE.</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NBCUNIVERSAL 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4.450% Notes due 2043</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No. [</w:t>
        <w:tab/>
        <w: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No.: 63946B AJ9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US63946BAJ98</w:t>
      </w:r>
    </w:p>
    <w:p>
      <w:pPr>
        <w:spacing w:after="0" w:line="165"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NBCUNIVERSAL MEDIA, LLC, a Delaware limited liability company (the “</w:t>
      </w:r>
      <w:r>
        <w:rPr>
          <w:rFonts w:ascii="Arial" w:cs="Arial" w:eastAsia="Arial" w:hAnsi="Arial"/>
          <w:sz w:val="16"/>
          <w:szCs w:val="16"/>
          <w:b w:val="1"/>
          <w:bCs w:val="1"/>
          <w:color w:val="auto"/>
        </w:rPr>
        <w:t>Issuer</w:t>
      </w:r>
      <w:r>
        <w:rPr>
          <w:rFonts w:ascii="Arial" w:cs="Arial" w:eastAsia="Arial" w:hAnsi="Arial"/>
          <w:sz w:val="16"/>
          <w:szCs w:val="16"/>
          <w:color w:val="auto"/>
        </w:rPr>
        <w:t>,” which term includes any successor company under the Indenture</w:t>
      </w:r>
    </w:p>
    <w:p>
      <w:pPr>
        <w:spacing w:after="0" w:line="44"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referred to on the reverse hereof), for value received, promises to pay to CEDE &amp; CO. or registered assigns, the principal amount of [ ] UNITED STATES DOLLARS (or such other principal amount as shall be set forth on the Schedule of Exchanges of Notes annexed hereto) on January 15, 2043.</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January 15 and July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January 15,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January 1 and July 1 (whether or not a Business Day)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 place.</w:t>
      </w:r>
    </w:p>
    <w:p>
      <w:pPr>
        <w:sectPr>
          <w:pgSz w:w="11900" w:h="16838" w:orient="portrait"/>
          <w:cols w:equalWidth="0" w:num="1">
            <w:col w:w="11420"/>
          </w:cols>
          <w:pgMar w:left="240" w:top="274" w:right="239" w:bottom="1440" w:gutter="0" w:footer="0" w:header="0"/>
        </w:sectPr>
      </w:pPr>
    </w:p>
    <w:bookmarkStart w:id="23" w:name="page24"/>
    <w:bookmarkEnd w:id="23"/>
    <w:p>
      <w:pPr>
        <w:ind w:right="839" w:firstLine="456"/>
        <w:spacing w:after="0" w:line="4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 Dated: October 5, 2012</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NBCUNIVERSAL MEDIA,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80" w:right="1440"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Securities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2012</w:t>
      </w:r>
    </w:p>
    <w:p>
      <w:pPr>
        <w:spacing w:after="0" w:line="206" w:lineRule="exact"/>
        <w:rPr>
          <w:sz w:val="20"/>
          <w:szCs w:val="20"/>
          <w:color w:val="auto"/>
        </w:rPr>
      </w:pPr>
    </w:p>
    <w:p>
      <w:pPr>
        <w:jc w:val="right"/>
        <w:ind w:right="259"/>
        <w:spacing w:after="0"/>
        <w:rPr>
          <w:sz w:val="20"/>
          <w:szCs w:val="20"/>
          <w:color w:val="auto"/>
        </w:rPr>
      </w:pPr>
      <w:r>
        <w:rPr>
          <w:rFonts w:ascii="Arial" w:cs="Arial" w:eastAsia="Arial" w:hAnsi="Arial"/>
          <w:sz w:val="18"/>
          <w:szCs w:val="18"/>
          <w:b w:val="1"/>
          <w:bCs w:val="1"/>
          <w:color w:val="auto"/>
        </w:rPr>
        <w:t>THE BANK OF NEW YORK MELLON,</w:t>
      </w:r>
    </w:p>
    <w:p>
      <w:pPr>
        <w:spacing w:after="0" w:line="2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16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219"/>
          </w:cols>
          <w:pgMar w:left="240" w:top="280" w:right="1440" w:bottom="1440" w:gutter="0" w:footer="0" w:header="0"/>
        </w:sectPr>
      </w:pPr>
    </w:p>
    <w:bookmarkStart w:id="25" w:name="page26"/>
    <w:bookmarkEnd w:id="25"/>
    <w:p>
      <w:pPr>
        <w:ind w:left="4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9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NBCUNIVERSAL MEDIA, LLC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4.450% Notes due 2043</w:t>
      </w:r>
    </w:p>
    <w:p>
      <w:pPr>
        <w:spacing w:after="0" w:line="286"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w:t>
      </w:r>
    </w:p>
    <w:p>
      <w:pPr>
        <w:spacing w:after="0" w:line="90"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The Issuer promises to pay interest on the principal amount of this Note at the rate per annum set forth above. Interest on the Notes will accrue from the most recent date to which interest has been paid or duly provided for or, if no interest has been paid or duly provided for, from October 5, 2012. The Issuer will pay interest semiannually in arrears on each Interest Payment Date, commencing January 15, 2013 to the Persons in whose names the Notes are registered at the close of business on the preceding January 1 or July 1 (whether or not a Business Day), as the case may be. Interest will be computed on the basis of a 360-day year consisting of twelve 30-day months in a manner consistent with Rule 11620(b) of the FINRA Uniform Practice Code.</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at the same rate on overdue installments of interest (without regard to any applicable grace periods) to the extent lawful.</w:t>
      </w:r>
    </w:p>
    <w:p>
      <w:pPr>
        <w:spacing w:after="0" w:line="254"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Initially, The Bank of New York Mellon (the “</w:t>
      </w:r>
      <w:r>
        <w:rPr>
          <w:rFonts w:ascii="Arial" w:cs="Arial" w:eastAsia="Arial" w:hAnsi="Arial"/>
          <w:sz w:val="16"/>
          <w:szCs w:val="16"/>
          <w:b w:val="1"/>
          <w:bCs w:val="1"/>
          <w:color w:val="auto"/>
        </w:rPr>
        <w:t>Trustee</w:t>
      </w:r>
      <w:r>
        <w:rPr>
          <w:rFonts w:ascii="Arial" w:cs="Arial" w:eastAsia="Arial" w:hAnsi="Arial"/>
          <w:sz w:val="16"/>
          <w:szCs w:val="16"/>
          <w:color w:val="auto"/>
        </w:rPr>
        <w:t>”) will act as paying agent. The Issuer may change any paying agent without notice to the Holders.</w:t>
      </w:r>
    </w:p>
    <w:p>
      <w:pPr>
        <w:spacing w:after="0" w:line="32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Indenture; Defined Terms.</w:t>
      </w:r>
    </w:p>
    <w:p>
      <w:pPr>
        <w:spacing w:after="0" w:line="8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This Note is one of the 4.450% Notes due 2043 (the “</w:t>
      </w:r>
      <w:r>
        <w:rPr>
          <w:rFonts w:ascii="Arial" w:cs="Arial" w:eastAsia="Arial" w:hAnsi="Arial"/>
          <w:sz w:val="16"/>
          <w:szCs w:val="16"/>
          <w:b w:val="1"/>
          <w:bCs w:val="1"/>
          <w:color w:val="auto"/>
        </w:rPr>
        <w:t>Notes</w:t>
      </w:r>
      <w:r>
        <w:rPr>
          <w:rFonts w:ascii="Arial" w:cs="Arial" w:eastAsia="Arial" w:hAnsi="Arial"/>
          <w:sz w:val="16"/>
          <w:szCs w:val="16"/>
          <w:color w:val="auto"/>
        </w:rPr>
        <w:t>”) issued under an indenture dated as of April 30, 2010 (the “</w:t>
      </w:r>
      <w:r>
        <w:rPr>
          <w:rFonts w:ascii="Arial" w:cs="Arial" w:eastAsia="Arial" w:hAnsi="Arial"/>
          <w:sz w:val="16"/>
          <w:szCs w:val="16"/>
          <w:b w:val="1"/>
          <w:bCs w:val="1"/>
          <w:color w:val="auto"/>
        </w:rPr>
        <w:t>Base Indenture</w:t>
      </w:r>
      <w:r>
        <w:rPr>
          <w:rFonts w:ascii="Arial" w:cs="Arial" w:eastAsia="Arial" w:hAnsi="Arial"/>
          <w:sz w:val="16"/>
          <w:szCs w:val="16"/>
          <w:color w:val="auto"/>
        </w:rPr>
        <w:t>”) between the Issuer and the Trustee, and established pursuant to an Officer’s Certificate dated October 5, 2012, (the “</w:t>
      </w:r>
      <w:r>
        <w:rPr>
          <w:rFonts w:ascii="Arial" w:cs="Arial" w:eastAsia="Arial" w:hAnsi="Arial"/>
          <w:sz w:val="16"/>
          <w:szCs w:val="16"/>
          <w:b w:val="1"/>
          <w:bCs w:val="1"/>
          <w:color w:val="auto"/>
        </w:rPr>
        <w:t>Officer’s Certificate”</w:t>
      </w:r>
      <w:r>
        <w:rPr>
          <w:rFonts w:ascii="Arial" w:cs="Arial" w:eastAsia="Arial" w:hAnsi="Arial"/>
          <w:sz w:val="16"/>
          <w:szCs w:val="16"/>
          <w:color w:val="auto"/>
        </w:rPr>
        <w:t>), issued pursuant to Section 2.01 and Section 2.03 thereof (together, the “</w:t>
      </w:r>
      <w:r>
        <w:rPr>
          <w:rFonts w:ascii="Arial" w:cs="Arial" w:eastAsia="Arial" w:hAnsi="Arial"/>
          <w:sz w:val="16"/>
          <w:szCs w:val="16"/>
          <w:b w:val="1"/>
          <w:bCs w:val="1"/>
          <w:color w:val="auto"/>
        </w:rPr>
        <w:t>Indenture</w:t>
      </w:r>
      <w:r>
        <w:rPr>
          <w:rFonts w:ascii="Arial" w:cs="Arial" w:eastAsia="Arial" w:hAnsi="Arial"/>
          <w:sz w:val="16"/>
          <w:szCs w:val="16"/>
          <w:color w:val="auto"/>
        </w:rPr>
        <w:t>”). This Note is a “Security” and the Notes are “Securities” under the Base Indenture.</w:t>
      </w:r>
    </w:p>
    <w:p>
      <w:pPr>
        <w:spacing w:after="0" w:line="10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on which the Indenture was qualified under the TIA.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R-1</w:t>
      </w:r>
    </w:p>
    <w:p>
      <w:pPr>
        <w:sectPr>
          <w:pgSz w:w="11900" w:h="16838" w:orient="portrait"/>
          <w:cols w:equalWidth="0" w:num="1">
            <w:col w:w="11380"/>
          </w:cols>
          <w:pgMar w:left="240" w:top="280" w:right="279" w:bottom="1440" w:gutter="0" w:footer="0" w:header="0"/>
        </w:sectPr>
      </w:pPr>
    </w:p>
    <w:bookmarkStart w:id="26" w:name="page27"/>
    <w:bookmarkEnd w:id="26"/>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pacing w:after="0" w:line="207"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except the portion thereof not so to be redeemed.</w:t>
      </w:r>
    </w:p>
    <w:p>
      <w:pPr>
        <w:spacing w:after="0" w:line="23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the Outstanding Securities of all series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24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Optional Redemption.</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Issuer may at its option redeem any of the Notes in whole or in part, at any time or from time to time, prior to their maturity, on at least 30 days’, but not more than 60 days’, prior notice mailed to the registered address of each Holder of Notes to be redeemed (the “</w:t>
      </w:r>
      <w:r>
        <w:rPr>
          <w:rFonts w:ascii="Arial" w:cs="Arial" w:eastAsia="Arial" w:hAnsi="Arial"/>
          <w:sz w:val="18"/>
          <w:szCs w:val="18"/>
          <w:b w:val="1"/>
          <w:bCs w:val="1"/>
          <w:color w:val="auto"/>
        </w:rPr>
        <w:t>Redemption Date</w:t>
      </w:r>
      <w:r>
        <w:rPr>
          <w:rFonts w:ascii="Arial" w:cs="Arial" w:eastAsia="Arial" w:hAnsi="Arial"/>
          <w:sz w:val="18"/>
          <w:szCs w:val="18"/>
          <w:color w:val="auto"/>
        </w:rPr>
        <w:t>”), at a redemption price, calculated by the Issuer, equal to the greater of:</w:t>
      </w:r>
    </w:p>
    <w:p>
      <w:pPr>
        <w:spacing w:after="0" w:line="140" w:lineRule="exact"/>
        <w:rPr>
          <w:sz w:val="20"/>
          <w:szCs w:val="20"/>
          <w:color w:val="auto"/>
        </w:rPr>
      </w:pPr>
    </w:p>
    <w:p>
      <w:pPr>
        <w:ind w:left="680" w:hanging="216"/>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71" w:lineRule="exact"/>
        <w:rPr>
          <w:rFonts w:ascii="Arial" w:cs="Arial" w:eastAsia="Arial" w:hAnsi="Arial"/>
          <w:sz w:val="18"/>
          <w:szCs w:val="18"/>
          <w:color w:val="auto"/>
        </w:rPr>
      </w:pPr>
    </w:p>
    <w:p>
      <w:pPr>
        <w:jc w:val="center"/>
        <w:ind w:left="5580" w:right="320" w:hanging="5116"/>
        <w:spacing w:after="0" w:line="440" w:lineRule="auto"/>
        <w:tabs>
          <w:tab w:leader="none" w:pos="7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R-2</w:t>
      </w:r>
    </w:p>
    <w:p>
      <w:pPr>
        <w:sectPr>
          <w:pgSz w:w="11900" w:h="16838" w:orient="portrait"/>
          <w:cols w:equalWidth="0" w:num="1">
            <w:col w:w="11380"/>
          </w:cols>
          <w:pgMar w:left="240" w:top="280" w:right="279" w:bottom="1440" w:gutter="0" w:footer="0" w:header="0"/>
        </w:sectPr>
      </w:pPr>
    </w:p>
    <w:bookmarkStart w:id="27" w:name="page28"/>
    <w:bookmarkEnd w:id="27"/>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accrued as of the Redemption Date), discounted to the Redemption Date on a semiannual basis (assuming a 360-day year consisting of twelve 30-day months) at the Treasury Rate (as defined below) plus 25 basis points,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plus, in each case, accrued interest thereon to the Redemption Date.</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34"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Comparable Treasury Issue</w:t>
      </w:r>
      <w:r>
        <w:rPr>
          <w:rFonts w:ascii="Arial" w:cs="Arial" w:eastAsia="Arial" w:hAnsi="Arial"/>
          <w:sz w:val="16"/>
          <w:szCs w:val="16"/>
          <w:color w:val="auto"/>
        </w:rPr>
        <w:t>”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97"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Quotations or (ii) if the Independent Investment Banker obtains fewer than three such Reference Treasury Dealer Quotations, the average of all such quotations.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171" w:lineRule="exact"/>
        <w:rPr>
          <w:sz w:val="20"/>
          <w:szCs w:val="20"/>
          <w:color w:val="auto"/>
        </w:rPr>
      </w:pPr>
    </w:p>
    <w:p>
      <w:pPr>
        <w:jc w:val="both"/>
        <w:ind w:right="1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w:t>
      </w:r>
      <w:r>
        <w:rPr>
          <w:rFonts w:ascii="Arial" w:cs="Arial" w:eastAsia="Arial" w:hAnsi="Arial"/>
          <w:sz w:val="16"/>
          <w:szCs w:val="16"/>
          <w:color w:val="auto"/>
        </w:rPr>
        <w:t>” means each of (i) Credit Suisse Securities (USA) LLC, J.P. Morgan Securities LLC, Morgan Stanley &amp; Co. LLC and RBC Capital Markets, LLC or their affiliates which are primary U.S. government securities dealers (a “</w:t>
      </w:r>
      <w:r>
        <w:rPr>
          <w:rFonts w:ascii="Arial" w:cs="Arial" w:eastAsia="Arial" w:hAnsi="Arial"/>
          <w:sz w:val="16"/>
          <w:szCs w:val="16"/>
          <w:b w:val="1"/>
          <w:bCs w:val="1"/>
          <w:color w:val="auto"/>
        </w:rPr>
        <w:t>Primary Treasury Dealer</w:t>
      </w:r>
      <w:r>
        <w:rPr>
          <w:rFonts w:ascii="Arial" w:cs="Arial" w:eastAsia="Arial" w:hAnsi="Arial"/>
          <w:sz w:val="16"/>
          <w:szCs w:val="16"/>
          <w:color w:val="auto"/>
        </w:rPr>
        <w:t>”), and their respective successors; provided, however, that if any of the foregoing shall cease to be a primary U.S. government securities dealer, the Issuer will substitute therefor another Primary Treasury Dealer and (ii) any other Primary Treasury Dealer selected by the Issuer.</w:t>
      </w:r>
    </w:p>
    <w:p>
      <w:pPr>
        <w:spacing w:after="0" w:line="103"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as a percentage of its principal amount) quoted in writing to the Independent Investment Banker by such Reference Treasury Dealer at 3:30 p.m. New York time on the third Business Day preceding such Redemption Date.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R-3</w:t>
      </w:r>
    </w:p>
    <w:p>
      <w:pPr>
        <w:sectPr>
          <w:pgSz w:w="11900" w:h="16838" w:orient="portrait"/>
          <w:cols w:equalWidth="0" w:num="1">
            <w:col w:w="11400"/>
          </w:cols>
          <w:pgMar w:left="240" w:top="280" w:right="259" w:bottom="1440" w:gutter="0" w:footer="0" w:header="0"/>
        </w:sectPr>
      </w:pPr>
    </w:p>
    <w:bookmarkStart w:id="28" w:name="page29"/>
    <w:bookmarkEnd w:id="28"/>
    <w:p>
      <w:pPr>
        <w:ind w:right="4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3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Notice of any redemption will be distributed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the Trustee by a method the Trustee deems to be fair and appropriate, provided that so long as the Notes are in the form of Global Securities, such selection shall be made in accordance with the procedures of DTC. No Notes of a principal amount of $2,000 or less will be redeemed in part.</w:t>
      </w:r>
    </w:p>
    <w:p>
      <w:pPr>
        <w:spacing w:after="0" w:line="23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4 (R</w:t>
      </w:r>
      <w:r>
        <w:rPr>
          <w:rFonts w:ascii="Arial" w:cs="Arial" w:eastAsia="Arial" w:hAnsi="Arial"/>
          <w:sz w:val="14"/>
          <w:szCs w:val="14"/>
          <w:color w:val="auto"/>
        </w:rPr>
        <w:t>EMEDIES OF THE</w:t>
      </w:r>
      <w:r>
        <w:rPr>
          <w:rFonts w:ascii="Arial" w:cs="Arial" w:eastAsia="Arial" w:hAnsi="Arial"/>
          <w:sz w:val="18"/>
          <w:szCs w:val="18"/>
          <w:color w:val="auto"/>
        </w:rPr>
        <w:t xml:space="preserve"> T</w:t>
      </w:r>
      <w:r>
        <w:rPr>
          <w:rFonts w:ascii="Arial" w:cs="Arial" w:eastAsia="Arial" w:hAnsi="Arial"/>
          <w:sz w:val="14"/>
          <w:szCs w:val="14"/>
          <w:color w:val="auto"/>
        </w:rPr>
        <w:t>RUSTEE AND</w:t>
      </w:r>
      <w:r>
        <w:rPr>
          <w:rFonts w:ascii="Arial" w:cs="Arial" w:eastAsia="Arial" w:hAnsi="Arial"/>
          <w:sz w:val="18"/>
          <w:szCs w:val="18"/>
          <w:color w:val="auto"/>
        </w:rPr>
        <w:t xml:space="preserve"> H</w:t>
      </w:r>
      <w:r>
        <w:rPr>
          <w:rFonts w:ascii="Arial" w:cs="Arial" w:eastAsia="Arial" w:hAnsi="Arial"/>
          <w:sz w:val="14"/>
          <w:szCs w:val="14"/>
          <w:color w:val="auto"/>
        </w:rPr>
        <w:t>OLDERS ON</w:t>
      </w:r>
      <w:r>
        <w:rPr>
          <w:rFonts w:ascii="Arial" w:cs="Arial" w:eastAsia="Arial" w:hAnsi="Arial"/>
          <w:sz w:val="18"/>
          <w:szCs w:val="18"/>
          <w:color w:val="auto"/>
        </w:rPr>
        <w:t xml:space="preserve"> E</w:t>
      </w:r>
      <w:r>
        <w:rPr>
          <w:rFonts w:ascii="Arial" w:cs="Arial" w:eastAsia="Arial" w:hAnsi="Arial"/>
          <w:sz w:val="14"/>
          <w:szCs w:val="14"/>
          <w:color w:val="auto"/>
        </w:rPr>
        <w:t>VENT OF</w:t>
      </w:r>
      <w:r>
        <w:rPr>
          <w:rFonts w:ascii="Arial" w:cs="Arial" w:eastAsia="Arial" w:hAnsi="Arial"/>
          <w:sz w:val="18"/>
          <w:szCs w:val="18"/>
          <w:color w:val="auto"/>
        </w:rPr>
        <w:t xml:space="preserve"> D</w:t>
      </w:r>
      <w:r>
        <w:rPr>
          <w:rFonts w:ascii="Arial" w:cs="Arial" w:eastAsia="Arial" w:hAnsi="Arial"/>
          <w:sz w:val="14"/>
          <w:szCs w:val="14"/>
          <w:color w:val="auto"/>
        </w:rPr>
        <w:t>EFAULT</w:t>
      </w:r>
      <w:r>
        <w:rPr>
          <w:rFonts w:ascii="Arial" w:cs="Arial" w:eastAsia="Arial" w:hAnsi="Arial"/>
          <w:sz w:val="18"/>
          <w:szCs w:val="18"/>
          <w:color w:val="auto"/>
        </w:rPr>
        <w:t>) of the Base Indenture shall apply to the Notes.</w:t>
      </w:r>
    </w:p>
    <w:p>
      <w:pPr>
        <w:spacing w:after="0" w:line="293"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Note shall not be entitled to any benefit under the Indenture or be valid until the Trustee manually signs the certificate of authentication on this Note.</w:t>
      </w:r>
    </w:p>
    <w:p>
      <w:pPr>
        <w:spacing w:after="0" w:line="31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the extent the Issuer is not subject to the reporting requirements of Section 13 or 15(d) of the Exchange Act (the “</w:t>
      </w:r>
      <w:r>
        <w:rPr>
          <w:rFonts w:ascii="Arial" w:cs="Arial" w:eastAsia="Arial" w:hAnsi="Arial"/>
          <w:sz w:val="16"/>
          <w:szCs w:val="16"/>
          <w:b w:val="1"/>
          <w:bCs w:val="1"/>
          <w:color w:val="auto"/>
        </w:rPr>
        <w:t>Reporting Requirements</w:t>
      </w:r>
      <w:r>
        <w:rPr>
          <w:rFonts w:ascii="Arial" w:cs="Arial" w:eastAsia="Arial" w:hAnsi="Arial"/>
          <w:sz w:val="16"/>
          <w:szCs w:val="16"/>
          <w:color w:val="auto"/>
        </w:rPr>
        <w:t>”) or does not otherwise report on an annual and quarterly basis on forms provided for such annual and quarterly reporting pursuant to rules and regulations promulgated by the Commission, the Issuer will be required to make available to the Trustee and the Holders, without cost to any Holder, within 90 days following its fiscal year end and within 45 days following its first, second and third fiscal quarter ends, the annual and quarterly financial statements that would be required to be filed with the Commission on Forms 10-K and 10-Q (were the Issuer subject to the Reporting Requirements) along with a “Management’s Discussion and Analysis of Financial Condition and Results of Operations” (“</w:t>
      </w:r>
      <w:r>
        <w:rPr>
          <w:rFonts w:ascii="Arial" w:cs="Arial" w:eastAsia="Arial" w:hAnsi="Arial"/>
          <w:sz w:val="16"/>
          <w:szCs w:val="16"/>
          <w:b w:val="1"/>
          <w:bCs w:val="1"/>
          <w:color w:val="auto"/>
        </w:rPr>
        <w:t>MD&amp;A</w:t>
      </w:r>
      <w:r>
        <w:rPr>
          <w:rFonts w:ascii="Arial" w:cs="Arial" w:eastAsia="Arial" w:hAnsi="Arial"/>
          <w:sz w:val="16"/>
          <w:szCs w:val="16"/>
          <w:color w:val="auto"/>
        </w:rPr>
        <w:t>”) and, with respect to annual financial statements, a report thereon by an independent registered public accounting firm, in each case in a manner that complies in all material respects with the requirements specified in such form for such financial statements and MD&amp;A. The Issuer will not be required to provide such information if the Notes are guaranteed by a person subject to the Reporting Requirements and the Issuer would have been exempt from the Reporting Requirements pursuant to Rule 12h-5 of the Exchange Act.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R-4</w:t>
      </w:r>
    </w:p>
    <w:p>
      <w:pPr>
        <w:sectPr>
          <w:pgSz w:w="11900" w:h="16838" w:orient="portrait"/>
          <w:cols w:equalWidth="0" w:num="1">
            <w:col w:w="11360"/>
          </w:cols>
          <w:pgMar w:left="240" w:top="274" w:right="299" w:bottom="1440" w:gutter="0" w:footer="0" w:header="0"/>
        </w:sectPr>
      </w:pPr>
    </w:p>
    <w:bookmarkStart w:id="29" w:name="page30"/>
    <w:bookmarkEnd w:id="29"/>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Issuer has electronically filed with the Commission’s Next-Generation EDGAR system (or any successor system), the reports described above, the Issuer shall be deemed to have satisfied the foregoing requirements.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event the Notes are unconditionally guaranteed in full by a person subject to the Reporting Requirements, the foregoing requirements will be deemed satisfied by such guarantor filing any document or report that such guarantor is required to file with the Commission pursuant to Section 13 or 15(d) of the Exchange Act.</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Delivery of the reports, information and documents required by this paragraph 9 to be delivered to the Trustee is for informational purposes only and the Trustee’s receipt of such shall not constitute constructive notice of any information contained therein or determinable from information contained therein.</w:t>
      </w:r>
    </w:p>
    <w:p>
      <w:pPr>
        <w:spacing w:after="0" w:line="207"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26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and the Trustee may use CUSIP and ISIN numbers in notices of redemption, as a convenience to the Holders of the Notes. No representation is made as to the accuracy of such numbers as printed on the Notes or as contained in any notice of redemption and reliance may be placed only on the other identification numbers printed hereon.</w:t>
      </w:r>
    </w:p>
    <w:p>
      <w:pPr>
        <w:spacing w:after="0" w:line="265"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this Note shall be governed by and construed in accordance with the laws of the State of New York.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R-5</w:t>
      </w:r>
    </w:p>
    <w:p>
      <w:pPr>
        <w:sectPr>
          <w:pgSz w:w="11900" w:h="16838" w:orient="portrait"/>
          <w:cols w:equalWidth="0" w:num="1">
            <w:col w:w="11420"/>
          </w:cols>
          <w:pgMar w:left="240" w:top="28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(Print or type assignee’s name, address and zip code)</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(Insert assignee’s soc. sec. or tax I.D. No.)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0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9020" w:type="dxa"/>
            <w:vAlign w:val="bottom"/>
            <w:gridSpan w:val="3"/>
          </w:tcPr>
          <w:p>
            <w:pPr>
              <w:ind w:left="380"/>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tc>
      </w:tr>
      <w:tr>
        <w:trPr>
          <w:trHeight w:val="205"/>
        </w:trPr>
        <w:tc>
          <w:tcPr>
            <w:tcW w:w="4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5320" w:type="dxa"/>
            <w:vAlign w:val="bottom"/>
            <w:tcBorders>
              <w:bottom w:val="single" w:sz="8" w:color="auto"/>
            </w:tcBorders>
          </w:tcPr>
          <w:p>
            <w:pPr>
              <w:spacing w:after="0"/>
              <w:rPr>
                <w:sz w:val="17"/>
                <w:szCs w:val="17"/>
                <w:color w:val="auto"/>
              </w:rPr>
            </w:pPr>
          </w:p>
        </w:tc>
      </w:tr>
      <w:tr>
        <w:trPr>
          <w:trHeight w:val="331"/>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1960" w:type="dxa"/>
            <w:vAlign w:val="bottom"/>
            <w:tcBorders>
              <w:bottom w:val="single" w:sz="8" w:color="auto"/>
            </w:tcBorders>
          </w:tcPr>
          <w:p>
            <w:pPr>
              <w:spacing w:after="0"/>
              <w:rPr>
                <w:sz w:val="24"/>
                <w:szCs w:val="24"/>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w w:val="89"/>
              </w:rPr>
              <w:t>Your Signature:</w:t>
            </w:r>
          </w:p>
        </w:tc>
        <w:tc>
          <w:tcPr>
            <w:tcW w:w="2500" w:type="dxa"/>
            <w:vAlign w:val="bottom"/>
            <w:tcBorders>
              <w:bottom w:val="single" w:sz="8" w:color="auto"/>
            </w:tcBorders>
          </w:tcPr>
          <w:p>
            <w:pPr>
              <w:spacing w:after="0"/>
              <w:rPr>
                <w:sz w:val="24"/>
                <w:szCs w:val="24"/>
                <w:color w:val="auto"/>
              </w:rPr>
            </w:pPr>
          </w:p>
        </w:tc>
        <w:tc>
          <w:tcPr>
            <w:tcW w:w="5320" w:type="dxa"/>
            <w:vAlign w:val="bottom"/>
          </w:tcPr>
          <w:p>
            <w:pPr>
              <w:spacing w:after="0"/>
              <w:rPr>
                <w:sz w:val="24"/>
                <w:szCs w:val="24"/>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 In connection with any transfer of any of the Notes evidenced by this certificate, the undersigned represents that from the date of this certificate through and including the date on which the undersigned disposes of such Notes or any interest therein that either: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CHECK ONE BOX BELOW</w:t>
      </w:r>
    </w:p>
    <w:p>
      <w:pPr>
        <w:spacing w:after="0" w:line="179" w:lineRule="exact"/>
        <w:rPr>
          <w:sz w:val="20"/>
          <w:szCs w:val="20"/>
          <w:color w:val="auto"/>
        </w:rPr>
      </w:pPr>
    </w:p>
    <w:p>
      <w:pPr>
        <w:ind w:left="1920" w:right="980" w:hanging="913"/>
        <w:spacing w:after="0" w:line="222" w:lineRule="exact"/>
        <w:tabs>
          <w:tab w:leader="none" w:pos="1488" w:val="left"/>
        </w:tabs>
        <w:numPr>
          <w:ilvl w:val="0"/>
          <w:numId w:val="3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portion of the assets used to acquire or hold the Notes evidenced by this certificate (or any interest therein) constitutes assets of any employee benefit plan subject to Title I of the U.S. Employee Retirement Income Security Act of 1974, as amended (“ERISA”), any plan, account or other arrangement subject to Section 4975 of the U.S. Internal Revenue Code of 1986, as amended (the “Code”), or provisions under any other federal, state, local, non-U.S. or other laws or regulations that are similar to such provisions of ERISA or the Code (collectively “Similar Laws”), or any entity whose underlying assets are considered to include “plan assets” of any such plan, account or arrangement within the meaning of ERISA and the Code; or</w:t>
      </w:r>
    </w:p>
    <w:p>
      <w:pPr>
        <w:sectPr>
          <w:pgSz w:w="11900" w:h="16838" w:orient="portrait"/>
          <w:cols w:equalWidth="0" w:num="1">
            <w:col w:w="11420"/>
          </w:cols>
          <w:pgMar w:left="240" w:top="280" w:right="239" w:bottom="1440" w:gutter="0" w:footer="0" w:header="0"/>
        </w:sectPr>
      </w:pPr>
    </w:p>
    <w:bookmarkStart w:id="31" w:name="page32"/>
    <w:bookmarkEnd w:id="31"/>
    <w:p>
      <w:pPr>
        <w:ind w:left="1960" w:right="940" w:hanging="1034"/>
        <w:spacing w:after="0" w:line="229" w:lineRule="exact"/>
        <w:tabs>
          <w:tab w:leader="none" w:pos="1528"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color w:val="auto"/>
        </w:rPr>
        <w:t xml:space="preserve"> the acquisition and holding of the Notes evidenced by this certificate (and any interest therein) will not constitute a non-exempt prohibited transaction under Section 406 of ERISA or Section 4975 of the Code or a similar violation under any applicable Similar Law.</w:t>
      </w:r>
    </w:p>
    <w:p>
      <w:pPr>
        <w:spacing w:after="0" w:line="157"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Unless one of the boxes in A above is checked, the Trustee will refuse to register any of the Notes evidenced by this certificate in the name of any person other than the registered holder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252095</wp:posOffset>
            </wp:positionV>
            <wp:extent cx="34048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9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4"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1340"/>
          </w:cols>
          <w:pgMar w:left="240" w:top="247" w:right="319" w:bottom="1440" w:gutter="0" w:footer="0" w:header="0"/>
        </w:sectPr>
      </w:pPr>
    </w:p>
    <w:bookmarkStart w:id="32" w:name="page33"/>
    <w:bookmarkEnd w:id="32"/>
    <w:p>
      <w:pPr>
        <w:ind w:left="4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EXCHANGES OF NOTES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exchanges of a part of this Global Note for Definitive Notes or a part of another Global Note have been made: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4"/>
              </w:rPr>
              <w:t>Amount of decrease</w:t>
            </w:r>
          </w:p>
        </w:tc>
      </w:tr>
      <w:tr>
        <w:trPr>
          <w:trHeight w:val="149"/>
        </w:trPr>
        <w:tc>
          <w:tcPr>
            <w:tcW w:w="1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principal amount</w:t>
            </w: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Date of Exchange</w:t>
            </w:r>
          </w:p>
        </w:tc>
        <w:tc>
          <w:tcPr>
            <w:tcW w:w="166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 this Global Note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Amount of increase</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principal amount</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of this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14605</wp:posOffset>
            </wp:positionV>
            <wp:extent cx="14408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Principal amount of</w:t>
            </w:r>
          </w:p>
        </w:tc>
        <w:tc>
          <w:tcPr>
            <w:tcW w:w="1200" w:type="dxa"/>
            <w:vAlign w:val="bottom"/>
          </w:tcPr>
          <w:p>
            <w:pPr>
              <w:spacing w:after="0"/>
              <w:rPr>
                <w:sz w:val="14"/>
                <w:szCs w:val="14"/>
                <w:color w:val="auto"/>
              </w:rPr>
            </w:pPr>
          </w:p>
        </w:tc>
      </w:tr>
      <w:tr>
        <w:trPr>
          <w:trHeight w:val="149"/>
        </w:trPr>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this Global Note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Signature of</w:t>
            </w:r>
          </w:p>
        </w:tc>
      </w:tr>
      <w:tr>
        <w:trPr>
          <w:trHeight w:val="149"/>
        </w:trPr>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following such</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authorized signatory</w:t>
            </w:r>
          </w:p>
        </w:tc>
      </w:tr>
      <w:tr>
        <w:trPr>
          <w:trHeight w:val="149"/>
        </w:trPr>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decrease (or</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Trustee or</w:t>
            </w:r>
          </w:p>
        </w:tc>
      </w:tr>
      <w:tr>
        <w:trPr>
          <w:trHeight w:val="161"/>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increase)</w:t>
            </w:r>
          </w:p>
        </w:tc>
        <w:tc>
          <w:tcPr>
            <w:tcW w:w="5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Securities Custodian</w:t>
            </w:r>
          </w:p>
        </w:tc>
      </w:tr>
    </w:tbl>
    <w:p>
      <w:pPr>
        <w:sectPr>
          <w:pgSz w:w="11900" w:h="16838" w:orient="portrait"/>
          <w:cols w:equalWidth="0" w:num="3">
            <w:col w:w="5680" w:space="720"/>
            <w:col w:w="1400" w:space="720"/>
            <w:col w:w="2900"/>
          </w:cols>
          <w:pgMar w:left="240" w:top="274" w:right="239" w:bottom="1440" w:gutter="0" w:footer="0" w:header="0"/>
          <w:type w:val="continuous"/>
        </w:sectPr>
      </w:pPr>
    </w:p>
    <w:bookmarkStart w:id="33" w:name="page34"/>
    <w:bookmarkEnd w:id="33"/>
    <w:p>
      <w:pPr>
        <w:ind w:left="10600"/>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5" w:right="239" w:bottom="1440" w:gutter="0" w:footer="0" w:header="0"/>
        </w:sectPr>
      </w:pPr>
    </w:p>
    <w:p>
      <w:pPr>
        <w:spacing w:after="0" w:line="236"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New York</w:t>
      </w:r>
    </w:p>
    <w:p>
      <w:pPr>
        <w:ind w:left="9240"/>
        <w:spacing w:after="0" w:line="223" w:lineRule="auto"/>
        <w:rPr>
          <w:sz w:val="20"/>
          <w:szCs w:val="20"/>
          <w:color w:val="auto"/>
        </w:rPr>
      </w:pPr>
      <w:r>
        <w:rPr>
          <w:rFonts w:ascii="Arial" w:cs="Arial" w:eastAsia="Arial" w:hAnsi="Arial"/>
          <w:sz w:val="14"/>
          <w:szCs w:val="14"/>
          <w:b w:val="1"/>
          <w:bCs w:val="1"/>
          <w:color w:val="auto"/>
        </w:rPr>
        <w:t>Menlo Park</w:t>
      </w:r>
    </w:p>
    <w:p>
      <w:pPr>
        <w:spacing w:after="0" w:line="1" w:lineRule="exact"/>
        <w:rPr>
          <w:sz w:val="20"/>
          <w:szCs w:val="20"/>
          <w:color w:val="auto"/>
        </w:rPr>
      </w:pPr>
    </w:p>
    <w:p>
      <w:pPr>
        <w:ind w:left="9240"/>
        <w:spacing w:after="0"/>
        <w:rPr>
          <w:sz w:val="20"/>
          <w:szCs w:val="20"/>
          <w:color w:val="auto"/>
        </w:rPr>
      </w:pPr>
      <w:r>
        <w:rPr>
          <w:rFonts w:ascii="Arial" w:cs="Arial" w:eastAsia="Arial" w:hAnsi="Arial"/>
          <w:sz w:val="12"/>
          <w:szCs w:val="12"/>
          <w:b w:val="1"/>
          <w:bCs w:val="1"/>
          <w:color w:val="auto"/>
        </w:rPr>
        <w:t>Washington DC</w:t>
      </w:r>
    </w:p>
    <w:p>
      <w:pPr>
        <w:ind w:left="9240"/>
        <w:spacing w:after="0" w:line="237" w:lineRule="auto"/>
        <w:rPr>
          <w:sz w:val="20"/>
          <w:szCs w:val="20"/>
          <w:color w:val="auto"/>
        </w:rPr>
      </w:pPr>
      <w:r>
        <w:rPr>
          <w:rFonts w:ascii="Arial" w:cs="Arial" w:eastAsia="Arial" w:hAnsi="Arial"/>
          <w:sz w:val="14"/>
          <w:szCs w:val="14"/>
          <w:b w:val="1"/>
          <w:bCs w:val="1"/>
          <w:color w:val="auto"/>
        </w:rPr>
        <w:t>São Paulo</w:t>
      </w:r>
    </w:p>
    <w:p>
      <w:pPr>
        <w:ind w:left="9240"/>
        <w:spacing w:after="0"/>
        <w:rPr>
          <w:sz w:val="20"/>
          <w:szCs w:val="20"/>
          <w:color w:val="auto"/>
        </w:rPr>
      </w:pPr>
      <w:r>
        <w:rPr>
          <w:rFonts w:ascii="Arial" w:cs="Arial" w:eastAsia="Arial" w:hAnsi="Arial"/>
          <w:sz w:val="14"/>
          <w:szCs w:val="14"/>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1346200" cy="2489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4620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Paris</w:t>
      </w:r>
    </w:p>
    <w:p>
      <w:pPr>
        <w:spacing w:after="0" w:line="223" w:lineRule="auto"/>
        <w:rPr>
          <w:sz w:val="20"/>
          <w:szCs w:val="20"/>
          <w:color w:val="auto"/>
        </w:rPr>
      </w:pPr>
      <w:r>
        <w:rPr>
          <w:rFonts w:ascii="Arial" w:cs="Arial" w:eastAsia="Arial" w:hAnsi="Arial"/>
          <w:sz w:val="14"/>
          <w:szCs w:val="14"/>
          <w:b w:val="1"/>
          <w:bCs w:val="1"/>
          <w:color w:val="auto"/>
        </w:rPr>
        <w:t>Madrid</w:t>
      </w:r>
    </w:p>
    <w:p>
      <w:pPr>
        <w:spacing w:after="0" w:line="222" w:lineRule="auto"/>
        <w:rPr>
          <w:sz w:val="20"/>
          <w:szCs w:val="20"/>
          <w:color w:val="auto"/>
        </w:rPr>
      </w:pPr>
      <w:r>
        <w:rPr>
          <w:rFonts w:ascii="Arial" w:cs="Arial" w:eastAsia="Arial" w:hAnsi="Arial"/>
          <w:sz w:val="14"/>
          <w:szCs w:val="14"/>
          <w:b w:val="1"/>
          <w:bCs w:val="1"/>
          <w:color w:val="auto"/>
        </w:rPr>
        <w:t>Tokyo</w:t>
      </w:r>
    </w:p>
    <w:p>
      <w:pPr>
        <w:spacing w:after="0" w:line="221" w:lineRule="auto"/>
        <w:rPr>
          <w:sz w:val="20"/>
          <w:szCs w:val="20"/>
          <w:color w:val="auto"/>
        </w:rPr>
      </w:pPr>
      <w:r>
        <w:rPr>
          <w:rFonts w:ascii="Arial" w:cs="Arial" w:eastAsia="Arial" w:hAnsi="Arial"/>
          <w:sz w:val="14"/>
          <w:szCs w:val="14"/>
          <w:b w:val="1"/>
          <w:bCs w:val="1"/>
          <w:color w:val="auto"/>
        </w:rPr>
        <w:t>Beijing</w:t>
      </w:r>
    </w:p>
    <w:p>
      <w:pPr>
        <w:spacing w:after="0"/>
        <w:rPr>
          <w:sz w:val="20"/>
          <w:szCs w:val="20"/>
          <w:color w:val="auto"/>
        </w:rPr>
      </w:pPr>
      <w:r>
        <w:rPr>
          <w:rFonts w:ascii="Arial" w:cs="Arial" w:eastAsia="Arial" w:hAnsi="Arial"/>
          <w:sz w:val="12"/>
          <w:szCs w:val="12"/>
          <w:b w:val="1"/>
          <w:bCs w:val="1"/>
          <w:color w:val="auto"/>
        </w:rPr>
        <w:t>Hong Kong</w:t>
      </w:r>
    </w:p>
    <w:p>
      <w:pPr>
        <w:spacing w:after="0" w:line="222" w:lineRule="exact"/>
        <w:rPr>
          <w:sz w:val="20"/>
          <w:szCs w:val="20"/>
          <w:color w:val="auto"/>
        </w:rPr>
      </w:pPr>
    </w:p>
    <w:p>
      <w:pPr>
        <w:sectPr>
          <w:pgSz w:w="11900" w:h="16838" w:orient="portrait"/>
          <w:cols w:equalWidth="0" w:num="2">
            <w:col w:w="10160" w:space="580"/>
            <w:col w:w="680"/>
          </w:cols>
          <w:pgMar w:left="240" w:top="125" w:right="239" w:bottom="1440" w:gutter="0" w:footer="0" w:header="0"/>
          <w:type w:val="continuous"/>
        </w:sect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20"/>
                <w:szCs w:val="20"/>
                <w:color w:val="auto"/>
              </w:rPr>
            </w:pPr>
            <w:r>
              <w:rPr>
                <w:rFonts w:ascii="Arial" w:cs="Arial" w:eastAsia="Arial" w:hAnsi="Arial"/>
                <w:sz w:val="14"/>
                <w:szCs w:val="14"/>
                <w:b w:val="1"/>
                <w:bCs w:val="1"/>
                <w:color w:val="auto"/>
              </w:rPr>
              <w:t xml:space="preserve">Davis Polk &amp; Wardwell </w:t>
            </w:r>
            <w:r>
              <w:rPr>
                <w:rFonts w:ascii="Arial" w:cs="Arial" w:eastAsia="Arial" w:hAnsi="Arial"/>
                <w:sz w:val="11"/>
                <w:szCs w:val="11"/>
                <w:b w:val="1"/>
                <w:bCs w:val="1"/>
                <w:color w:val="auto"/>
              </w:rPr>
              <w:t>LLP</w:t>
            </w: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w w:val="86"/>
              </w:rPr>
              <w:t>650 752 2000 tel</w:t>
            </w: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b w:val="1"/>
                <w:bCs w:val="1"/>
                <w:color w:val="auto"/>
              </w:rPr>
              <w:t>1600 El Camino Real</w:t>
            </w:r>
          </w:p>
        </w:tc>
        <w:tc>
          <w:tcPr>
            <w:tcW w:w="1140" w:type="dxa"/>
            <w:vAlign w:val="bottom"/>
          </w:tcPr>
          <w:p>
            <w:pPr>
              <w:ind w:left="200"/>
              <w:spacing w:after="0" w:line="149" w:lineRule="exact"/>
              <w:rPr>
                <w:sz w:val="20"/>
                <w:szCs w:val="20"/>
                <w:color w:val="auto"/>
              </w:rPr>
            </w:pPr>
            <w:r>
              <w:rPr>
                <w:rFonts w:ascii="Arial" w:cs="Arial" w:eastAsia="Arial" w:hAnsi="Arial"/>
                <w:sz w:val="14"/>
                <w:szCs w:val="14"/>
                <w:b w:val="1"/>
                <w:bCs w:val="1"/>
                <w:color w:val="auto"/>
                <w:w w:val="83"/>
              </w:rPr>
              <w:t>650 752 2111 fax</w:t>
            </w:r>
          </w:p>
        </w:tc>
      </w:tr>
      <w:tr>
        <w:trPr>
          <w:trHeight w:val="174"/>
        </w:trPr>
        <w:tc>
          <w:tcPr>
            <w:tcW w:w="1840" w:type="dxa"/>
            <w:vAlign w:val="bottom"/>
          </w:tcPr>
          <w:p>
            <w:pPr>
              <w:spacing w:after="0"/>
              <w:rPr>
                <w:sz w:val="20"/>
                <w:szCs w:val="20"/>
                <w:color w:val="auto"/>
              </w:rPr>
            </w:pPr>
            <w:r>
              <w:rPr>
                <w:rFonts w:ascii="Arial" w:cs="Arial" w:eastAsia="Arial" w:hAnsi="Arial"/>
                <w:sz w:val="14"/>
                <w:szCs w:val="14"/>
                <w:b w:val="1"/>
                <w:bCs w:val="1"/>
                <w:color w:val="auto"/>
              </w:rPr>
              <w:t>Menlo Park, CA 94025</w:t>
            </w:r>
          </w:p>
        </w:tc>
        <w:tc>
          <w:tcPr>
            <w:tcW w:w="1140" w:type="dxa"/>
            <w:vAlign w:val="bottom"/>
          </w:tcPr>
          <w:p>
            <w:pPr>
              <w:spacing w:after="0"/>
              <w:rPr>
                <w:sz w:val="15"/>
                <w:szCs w:val="15"/>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October 3,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10112-0015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acted as special counsel for NBCUniversal Media, LLC, a Delaware limited liability company (the “Company”), in connection with the Company’s offering of $1,000,000,000 aggregate principal amount of 2.875% Senior Notes due 2023 and $1,000,000,000 aggregate principal amount of 4.450% Senior Notes due 2043 (together, the “Notes”) in an underwritten public offering pursuant to an underwriting agreement dated September 28, 2012 (the “Underwriting Agreement”) among the Company and Credit Suisse Securities (USA) LLC; J.P. Morgan Securities LLC; Morgan Stanley &amp; Co. LLC and RBC Capital Markets, LLC, as representatives of the several underwriters listed in Schedule II thereto (the “Underwriters”). The Notes are to be issued pursuant to an Indenture dated as of April 30, 2010 (the “Indenture”) between the Company and The Bank of New York Mellon, as Trustee, and an Officer’s Certificate to be issued pursuant thereto on or about October 5, 2012. The Company has filed with the Securities and Exchange Commission a Registration Statement on Form S-3 (File No. 333-184145, the “Registration Statement”) pursuant to the provisions of the Securities Act of 1933, as amended.</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3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44"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Based upon the foregoing, we advise you that, in our opinion, the Notes have been duly authorized in accordance with the Indenture, and, when executed and authenticated in accordance with the provisions of the Indenture and delivered to and paid for by the Underwriters in accordance with the terms of the Underwriting Agreement, such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tabs>
          <w:tab w:leader="none" w:pos="5900" w:val="left"/>
          <w:tab w:leader="none" w:pos="10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NBCUniversal Media, LLC</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October 3, 2012</w:t>
      </w:r>
    </w:p>
    <w:p>
      <w:pPr>
        <w:spacing w:after="0" w:line="158"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In connection with the opinion expressed above, we have assumed that, at or prior to the time of the delivery of the Notes, the Indenture and the Notes are each valid, binding and enforceable agreements of each party thereto (other than as expressly covered above in respect of the Company).</w:t>
      </w:r>
    </w:p>
    <w:p>
      <w:pPr>
        <w:spacing w:after="0" w:line="8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Limited Liability Company Act of the State of Delaware.</w:t>
      </w:r>
    </w:p>
    <w:p>
      <w:pPr>
        <w:spacing w:after="0" w:line="13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hereby consent to the filing of this opinion as an exhibit to a report on Form 8-K to be filed by the Company on the date hereof and further consent to the reference to our name under the caption “Legal Matters” in the base prospectus and supplement thereto, which are a part of the Registration Statement. In giving this consent, we do not admit that we are in the category of persons whose consent is required under Section 7 of the Securities Act.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lowerRoman"/>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3"/>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6"/>
    </w:lvl>
  </w:abstractNum>
  <w:abstractNum w:abstractNumId="8">
    <w:nsid w:val="436C6125"/>
    <w:multiLevelType w:val="hybridMultilevel"/>
    <w:lvl w:ilvl="0">
      <w:lvlJc w:val="left"/>
      <w:lvlText w:val="(%1)"/>
      <w:numFmt w:val="lowerRoman"/>
      <w:start w:val="1"/>
    </w:lvl>
  </w:abstractNum>
  <w:abstractNum w:abstractNumId="9">
    <w:nsid w:val="628C895D"/>
    <w:multiLevelType w:val="hybridMultilevel"/>
    <w:lvl w:ilvl="0">
      <w:lvlJc w:val="left"/>
      <w:lvlText w:val="%1."/>
      <w:numFmt w:val="decimal"/>
      <w:start w:val="7"/>
    </w:lvl>
  </w:abstractNum>
  <w:abstractNum w:abstractNumId="10">
    <w:nsid w:val="333AB105"/>
    <w:multiLevelType w:val="hybridMultilevel"/>
    <w:lvl w:ilvl="0">
      <w:lvlJc w:val="left"/>
      <w:lvlText w:val="%1."/>
      <w:numFmt w:val="decimal"/>
      <w:start w:val="8"/>
    </w:lvl>
  </w:abstractNum>
  <w:abstractNum w:abstractNumId="11">
    <w:nsid w:val="721DA317"/>
    <w:multiLevelType w:val="hybridMultilevel"/>
    <w:lvl w:ilvl="0">
      <w:lvlJc w:val="left"/>
      <w:lvlText w:val="%1."/>
      <w:numFmt w:val="decimal"/>
      <w:start w:val="9"/>
    </w:lvl>
  </w:abstractNum>
  <w:abstractNum w:abstractNumId="12">
    <w:nsid w:val="2443A858"/>
    <w:multiLevelType w:val="hybridMultilevel"/>
    <w:lvl w:ilvl="0">
      <w:lvlJc w:val="left"/>
      <w:lvlText w:val="%1."/>
      <w:numFmt w:val="decimal"/>
      <w:start w:val="10"/>
    </w:lvl>
  </w:abstractNum>
  <w:abstractNum w:abstractNumId="13">
    <w:nsid w:val="2D1D5AE9"/>
    <w:multiLevelType w:val="hybridMultilevel"/>
    <w:lvl w:ilvl="0">
      <w:lvlJc w:val="left"/>
      <w:lvlText w:val="%1."/>
      <w:numFmt w:val="decimal"/>
      <w:start w:val="11"/>
    </w:lvl>
  </w:abstractNum>
  <w:abstractNum w:abstractNumId="14">
    <w:nsid w:val="6763845E"/>
    <w:multiLevelType w:val="hybridMultilevel"/>
    <w:lvl w:ilvl="0">
      <w:lvlJc w:val="left"/>
      <w:lvlText w:val="%1."/>
      <w:numFmt w:val="decimal"/>
      <w:start w:val="12"/>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2"/>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2"/>
    </w:lvl>
  </w:abstractNum>
  <w:abstractNum w:abstractNumId="19">
    <w:nsid w:val="B03E0C6"/>
    <w:multiLevelType w:val="hybridMultilevel"/>
    <w:lvl w:ilvl="0">
      <w:lvlJc w:val="left"/>
      <w:lvlText w:val="%1."/>
      <w:numFmt w:val="decimal"/>
      <w:start w:val="3"/>
    </w:lvl>
  </w:abstractNum>
  <w:abstractNum w:abstractNumId="20">
    <w:nsid w:val="189A769B"/>
    <w:multiLevelType w:val="hybridMultilevel"/>
    <w:lvl w:ilvl="0">
      <w:lvlJc w:val="left"/>
      <w:lvlText w:val="%1."/>
      <w:numFmt w:val="decimal"/>
      <w:start w:val="4"/>
    </w:lvl>
  </w:abstractNum>
  <w:abstractNum w:abstractNumId="21">
    <w:nsid w:val="54E49EB4"/>
    <w:multiLevelType w:val="hybridMultilevel"/>
    <w:lvl w:ilvl="0">
      <w:lvlJc w:val="left"/>
      <w:lvlText w:val="%1."/>
      <w:numFmt w:val="decimal"/>
      <w:start w:val="5"/>
    </w:lvl>
  </w:abstractNum>
  <w:abstractNum w:abstractNumId="22">
    <w:nsid w:val="71F32454"/>
    <w:multiLevelType w:val="hybridMultilevel"/>
    <w:lvl w:ilvl="0">
      <w:lvlJc w:val="left"/>
      <w:lvlText w:val="%1."/>
      <w:numFmt w:val="decimal"/>
      <w:start w:val="6"/>
    </w:lvl>
  </w:abstractNum>
  <w:abstractNum w:abstractNumId="23">
    <w:nsid w:val="2CA88611"/>
    <w:multiLevelType w:val="hybridMultilevel"/>
    <w:lvl w:ilvl="0">
      <w:lvlJc w:val="left"/>
      <w:lvlText w:val="(%1)"/>
      <w:numFmt w:val="lowerRoman"/>
      <w:start w:val="1"/>
    </w:lvl>
  </w:abstractNum>
  <w:abstractNum w:abstractNumId="24">
    <w:nsid w:val="836C40E"/>
    <w:multiLevelType w:val="hybridMultilevel"/>
    <w:lvl w:ilvl="0">
      <w:lvlJc w:val="left"/>
      <w:lvlText w:val="%1."/>
      <w:numFmt w:val="decimal"/>
      <w:start w:val="7"/>
    </w:lvl>
  </w:abstractNum>
  <w:abstractNum w:abstractNumId="25">
    <w:nsid w:val="2901D82"/>
    <w:multiLevelType w:val="hybridMultilevel"/>
    <w:lvl w:ilvl="0">
      <w:lvlJc w:val="left"/>
      <w:lvlText w:val="%1."/>
      <w:numFmt w:val="decimal"/>
      <w:start w:val="8"/>
    </w:lvl>
  </w:abstractNum>
  <w:abstractNum w:abstractNumId="26">
    <w:nsid w:val="3A95F874"/>
    <w:multiLevelType w:val="hybridMultilevel"/>
    <w:lvl w:ilvl="0">
      <w:lvlJc w:val="left"/>
      <w:lvlText w:val="%1."/>
      <w:numFmt w:val="decimal"/>
      <w:start w:val="9"/>
    </w:lvl>
  </w:abstractNum>
  <w:abstractNum w:abstractNumId="27">
    <w:nsid w:val="8138641"/>
    <w:multiLevelType w:val="hybridMultilevel"/>
    <w:lvl w:ilvl="0">
      <w:lvlJc w:val="left"/>
      <w:lvlText w:val="%1."/>
      <w:numFmt w:val="decimal"/>
      <w:start w:val="10"/>
    </w:lvl>
  </w:abstractNum>
  <w:abstractNum w:abstractNumId="28">
    <w:nsid w:val="1E7FF521"/>
    <w:multiLevelType w:val="hybridMultilevel"/>
    <w:lvl w:ilvl="0">
      <w:lvlJc w:val="left"/>
      <w:lvlText w:val="%1."/>
      <w:numFmt w:val="decimal"/>
      <w:start w:val="11"/>
    </w:lvl>
  </w:abstractNum>
  <w:abstractNum w:abstractNumId="29">
    <w:nsid w:val="7C3DBD3D"/>
    <w:multiLevelType w:val="hybridMultilevel"/>
    <w:lvl w:ilvl="0">
      <w:lvlJc w:val="left"/>
      <w:lvlText w:val="%1."/>
      <w:numFmt w:val="decimal"/>
      <w:start w:val="12"/>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2019-12-11T03:48:31Z</dcterms:created>
  <dcterms:modified xsi:type="dcterms:W3CDTF">2019-12-11T03:48:31Z</dcterms:modified>
</cp:coreProperties>
</file>