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103505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9" w:lineRule="exact"/>
        <w:rPr>
          <w:sz w:val="24"/>
          <w:szCs w:val="24"/>
          <w:color w:val="auto"/>
        </w:rPr>
      </w:pPr>
    </w:p>
    <w:tbl>
      <w:tblPr>
        <w:tblLayout w:type="fixed"/>
        <w:tblInd w:w="700" w:type="dxa"/>
        <w:tblCellMar>
          <w:top w:w="0" w:type="dxa"/>
          <w:left w:w="0" w:type="dxa"/>
          <w:bottom w:w="0" w:type="dxa"/>
          <w:right w:w="0" w:type="dxa"/>
        </w:tblCellMar>
      </w:tblPr>
      <w:tr>
        <w:trPr>
          <w:trHeight w:val="351"/>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7"/>
                <w:szCs w:val="27"/>
                <w:b w:val="1"/>
                <w:bCs w:val="1"/>
                <w:color w:val="auto"/>
              </w:rPr>
              <w:t>FORM 8-K</w:t>
            </w:r>
          </w:p>
        </w:tc>
      </w:tr>
      <w:tr>
        <w:trPr>
          <w:trHeight w:val="405"/>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7"/>
                <w:szCs w:val="27"/>
                <w:b w:val="1"/>
                <w:bCs w:val="1"/>
                <w:color w:val="auto"/>
                <w:w w:val="99"/>
              </w:rPr>
              <w:t>CURRENT REPORT</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7"/>
                <w:szCs w:val="27"/>
                <w:b w:val="1"/>
                <w:bCs w:val="1"/>
                <w:color w:val="auto"/>
                <w:w w:val="89"/>
              </w:rPr>
              <w:t>Pursuant to Section 13 or 15(d) of the</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7"/>
                <w:szCs w:val="27"/>
                <w:b w:val="1"/>
                <w:bCs w:val="1"/>
                <w:color w:val="auto"/>
                <w:w w:val="88"/>
              </w:rPr>
              <w:t>Securities Exchange Act of 1934</w:t>
            </w:r>
          </w:p>
        </w:tc>
      </w:tr>
      <w:tr>
        <w:trPr>
          <w:trHeight w:val="230"/>
        </w:trPr>
        <w:tc>
          <w:tcPr>
            <w:tcW w:w="2460" w:type="dxa"/>
            <w:vAlign w:val="bottom"/>
          </w:tcPr>
          <w:p>
            <w:pPr>
              <w:spacing w:after="0"/>
              <w:rPr>
                <w:sz w:val="20"/>
                <w:szCs w:val="20"/>
                <w:color w:val="auto"/>
              </w:rPr>
            </w:pPr>
          </w:p>
        </w:tc>
        <w:tc>
          <w:tcPr>
            <w:tcW w:w="7200" w:type="dxa"/>
            <w:vAlign w:val="bottom"/>
          </w:tcPr>
          <w:p>
            <w:pPr>
              <w:jc w:val="center"/>
              <w:ind w:right="2163"/>
              <w:spacing w:after="0"/>
              <w:rPr>
                <w:sz w:val="20"/>
                <w:szCs w:val="20"/>
                <w:color w:val="auto"/>
              </w:rPr>
            </w:pPr>
            <w:r>
              <w:rPr>
                <w:rFonts w:ascii="Arial" w:cs="Arial" w:eastAsia="Arial" w:hAnsi="Arial"/>
                <w:sz w:val="18"/>
                <w:szCs w:val="18"/>
                <w:color w:val="auto"/>
                <w:w w:val="90"/>
              </w:rPr>
              <w:t>Date of report (Date of earliest event reported): October 28, 2021</w:t>
            </w:r>
          </w:p>
        </w:tc>
      </w:tr>
      <w:tr>
        <w:trPr>
          <w:trHeight w:val="45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9"/>
                <w:szCs w:val="29"/>
                <w:b w:val="1"/>
                <w:bCs w:val="1"/>
                <w:color w:val="auto"/>
                <w:w w:val="90"/>
              </w:rPr>
              <w:t>Comcast Corporation</w:t>
            </w:r>
          </w:p>
        </w:tc>
      </w:tr>
      <w:tr>
        <w:trPr>
          <w:trHeight w:val="140"/>
        </w:trPr>
        <w:tc>
          <w:tcPr>
            <w:tcW w:w="2460" w:type="dxa"/>
            <w:vAlign w:val="bottom"/>
          </w:tcPr>
          <w:p>
            <w:pPr>
              <w:spacing w:after="0"/>
              <w:rPr>
                <w:sz w:val="12"/>
                <w:szCs w:val="12"/>
                <w:color w:val="auto"/>
              </w:rPr>
            </w:pPr>
          </w:p>
        </w:tc>
        <w:tc>
          <w:tcPr>
            <w:tcW w:w="7200" w:type="dxa"/>
            <w:vAlign w:val="bottom"/>
          </w:tcPr>
          <w:p>
            <w:pPr>
              <w:jc w:val="center"/>
              <w:ind w:right="2203"/>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460" w:type="dxa"/>
            <w:vAlign w:val="bottom"/>
          </w:tcPr>
          <w:p>
            <w:pPr>
              <w:spacing w:after="0"/>
              <w:rPr>
                <w:sz w:val="15"/>
                <w:szCs w:val="15"/>
                <w:color w:val="auto"/>
              </w:rPr>
            </w:pPr>
          </w:p>
        </w:tc>
        <w:tc>
          <w:tcPr>
            <w:tcW w:w="7200" w:type="dxa"/>
            <w:vAlign w:val="bottom"/>
          </w:tcPr>
          <w:p>
            <w:pPr>
              <w:jc w:val="center"/>
              <w:ind w:right="2203"/>
              <w:spacing w:after="0"/>
              <w:rPr>
                <w:sz w:val="20"/>
                <w:szCs w:val="20"/>
                <w:color w:val="auto"/>
              </w:rPr>
            </w:pPr>
            <w:r>
              <w:rPr>
                <w:rFonts w:ascii="Arial" w:cs="Arial" w:eastAsia="Arial" w:hAnsi="Arial"/>
                <w:sz w:val="14"/>
                <w:szCs w:val="14"/>
                <w:color w:val="auto"/>
                <w:w w:val="93"/>
              </w:rPr>
              <w:t>as Specified in its Charter)</w:t>
            </w:r>
          </w:p>
        </w:tc>
      </w:tr>
      <w:tr>
        <w:trPr>
          <w:trHeight w:val="380"/>
        </w:trPr>
        <w:tc>
          <w:tcPr>
            <w:tcW w:w="2460" w:type="dxa"/>
            <w:vAlign w:val="bottom"/>
          </w:tcPr>
          <w:p>
            <w:pPr>
              <w:spacing w:after="0"/>
              <w:rPr>
                <w:sz w:val="24"/>
                <w:szCs w:val="24"/>
                <w:color w:val="auto"/>
              </w:rPr>
            </w:pPr>
          </w:p>
        </w:tc>
        <w:tc>
          <w:tcPr>
            <w:tcW w:w="7200" w:type="dxa"/>
            <w:vAlign w:val="bottom"/>
          </w:tcPr>
          <w:p>
            <w:pPr>
              <w:jc w:val="center"/>
              <w:ind w:right="2203"/>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460" w:type="dxa"/>
            <w:vAlign w:val="bottom"/>
          </w:tcPr>
          <w:p>
            <w:pPr>
              <w:spacing w:after="0"/>
              <w:rPr>
                <w:sz w:val="15"/>
                <w:szCs w:val="15"/>
                <w:color w:val="auto"/>
              </w:rPr>
            </w:pPr>
          </w:p>
        </w:tc>
        <w:tc>
          <w:tcPr>
            <w:tcW w:w="7200" w:type="dxa"/>
            <w:vAlign w:val="bottom"/>
          </w:tcPr>
          <w:p>
            <w:pPr>
              <w:jc w:val="center"/>
              <w:ind w:right="2203"/>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85"/>
        </w:trPr>
        <w:tc>
          <w:tcPr>
            <w:tcW w:w="246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001-32871</w:t>
            </w:r>
          </w:p>
        </w:tc>
        <w:tc>
          <w:tcPr>
            <w:tcW w:w="7200" w:type="dxa"/>
            <w:vAlign w:val="bottom"/>
          </w:tcPr>
          <w:p>
            <w:pPr>
              <w:jc w:val="center"/>
              <w:ind w:left="5103"/>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460" w:type="dxa"/>
            <w:vAlign w:val="bottom"/>
          </w:tcPr>
          <w:p>
            <w:pPr>
              <w:jc w:val="center"/>
              <w:ind w:right="37"/>
              <w:spacing w:after="0"/>
              <w:rPr>
                <w:sz w:val="20"/>
                <w:szCs w:val="20"/>
                <w:color w:val="auto"/>
              </w:rPr>
            </w:pPr>
            <w:r>
              <w:rPr>
                <w:rFonts w:ascii="Arial" w:cs="Arial" w:eastAsia="Arial" w:hAnsi="Arial"/>
                <w:sz w:val="14"/>
                <w:szCs w:val="14"/>
                <w:color w:val="auto"/>
                <w:w w:val="94"/>
              </w:rPr>
              <w:t>(Commission File Number)</w:t>
            </w:r>
          </w:p>
        </w:tc>
        <w:tc>
          <w:tcPr>
            <w:tcW w:w="7200" w:type="dxa"/>
            <w:vAlign w:val="bottom"/>
          </w:tcPr>
          <w:p>
            <w:pPr>
              <w:jc w:val="center"/>
              <w:ind w:left="5123"/>
              <w:spacing w:after="0"/>
              <w:rPr>
                <w:sz w:val="20"/>
                <w:szCs w:val="20"/>
                <w:color w:val="auto"/>
              </w:rPr>
            </w:pPr>
            <w:r>
              <w:rPr>
                <w:rFonts w:ascii="Arial" w:cs="Arial" w:eastAsia="Arial" w:hAnsi="Arial"/>
                <w:sz w:val="14"/>
                <w:szCs w:val="14"/>
                <w:color w:val="auto"/>
                <w:w w:val="97"/>
              </w:rPr>
              <w:t>(IRS Employer Identification No.)</w:t>
            </w:r>
          </w:p>
        </w:tc>
      </w:tr>
      <w:tr>
        <w:trPr>
          <w:trHeight w:val="385"/>
        </w:trPr>
        <w:tc>
          <w:tcPr>
            <w:tcW w:w="246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One Comcast Center</w:t>
            </w:r>
          </w:p>
        </w:tc>
        <w:tc>
          <w:tcPr>
            <w:tcW w:w="7200" w:type="dxa"/>
            <w:vAlign w:val="bottom"/>
          </w:tcPr>
          <w:p>
            <w:pPr>
              <w:spacing w:after="0"/>
              <w:rPr>
                <w:sz w:val="24"/>
                <w:szCs w:val="24"/>
                <w:color w:val="auto"/>
              </w:rPr>
            </w:pPr>
          </w:p>
        </w:tc>
      </w:tr>
      <w:tr>
        <w:trPr>
          <w:trHeight w:val="229"/>
        </w:trPr>
        <w:tc>
          <w:tcPr>
            <w:tcW w:w="2460" w:type="dxa"/>
            <w:vAlign w:val="bottom"/>
          </w:tcPr>
          <w:p>
            <w:pPr>
              <w:ind w:left="440"/>
              <w:spacing w:after="0"/>
              <w:rPr>
                <w:sz w:val="20"/>
                <w:szCs w:val="20"/>
                <w:color w:val="auto"/>
              </w:rPr>
            </w:pPr>
            <w:r>
              <w:rPr>
                <w:rFonts w:ascii="Arial" w:cs="Arial" w:eastAsia="Arial" w:hAnsi="Arial"/>
                <w:sz w:val="18"/>
                <w:szCs w:val="18"/>
                <w:b w:val="1"/>
                <w:bCs w:val="1"/>
                <w:color w:val="auto"/>
              </w:rPr>
              <w:t>Philadelphia, PA</w:t>
            </w:r>
          </w:p>
        </w:tc>
        <w:tc>
          <w:tcPr>
            <w:tcW w:w="7200" w:type="dxa"/>
            <w:vAlign w:val="bottom"/>
          </w:tcPr>
          <w:p>
            <w:pPr>
              <w:jc w:val="center"/>
              <w:ind w:left="5103"/>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460" w:type="dxa"/>
            <w:vAlign w:val="bottom"/>
          </w:tcPr>
          <w:p>
            <w:pPr>
              <w:jc w:val="center"/>
              <w:ind w:right="37"/>
              <w:spacing w:after="0"/>
              <w:rPr>
                <w:sz w:val="20"/>
                <w:szCs w:val="20"/>
                <w:color w:val="auto"/>
              </w:rPr>
            </w:pPr>
            <w:r>
              <w:rPr>
                <w:rFonts w:ascii="Arial" w:cs="Arial" w:eastAsia="Arial" w:hAnsi="Arial"/>
                <w:sz w:val="14"/>
                <w:szCs w:val="14"/>
                <w:color w:val="auto"/>
                <w:w w:val="95"/>
              </w:rPr>
              <w:t>(Address of Principal Executive Offices)</w:t>
            </w:r>
          </w:p>
        </w:tc>
        <w:tc>
          <w:tcPr>
            <w:tcW w:w="7200" w:type="dxa"/>
            <w:vAlign w:val="bottom"/>
          </w:tcPr>
          <w:p>
            <w:pPr>
              <w:jc w:val="center"/>
              <w:ind w:left="5103"/>
              <w:spacing w:after="0"/>
              <w:rPr>
                <w:sz w:val="20"/>
                <w:szCs w:val="20"/>
                <w:color w:val="auto"/>
              </w:rPr>
            </w:pPr>
            <w:r>
              <w:rPr>
                <w:rFonts w:ascii="Arial" w:cs="Arial" w:eastAsia="Arial" w:hAnsi="Arial"/>
                <w:sz w:val="14"/>
                <w:szCs w:val="14"/>
                <w:color w:val="auto"/>
                <w:w w:val="96"/>
              </w:rPr>
              <w:t>(Zip Code)</w:t>
            </w:r>
          </w:p>
        </w:tc>
      </w:tr>
      <w:tr>
        <w:trPr>
          <w:trHeight w:val="290"/>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14"/>
                <w:szCs w:val="14"/>
                <w:color w:val="auto"/>
                <w:w w:val="93"/>
              </w:rPr>
              <w:t xml:space="preserve">Registrant’s telephone number, including area code: </w:t>
            </w:r>
            <w:r>
              <w:rPr>
                <w:rFonts w:ascii="Arial" w:cs="Arial" w:eastAsia="Arial" w:hAnsi="Arial"/>
                <w:sz w:val="17"/>
                <w:szCs w:val="17"/>
                <w:b w:val="1"/>
                <w:bCs w:val="1"/>
                <w:color w:val="auto"/>
                <w:w w:val="93"/>
              </w:rPr>
              <w:t>(215) 286-1700</w:t>
            </w:r>
          </w:p>
        </w:tc>
      </w:tr>
      <w:tr>
        <w:trPr>
          <w:trHeight w:val="182"/>
        </w:trPr>
        <w:tc>
          <w:tcPr>
            <w:tcW w:w="2460" w:type="dxa"/>
            <w:vAlign w:val="bottom"/>
          </w:tcPr>
          <w:p>
            <w:pPr>
              <w:spacing w:after="0"/>
              <w:rPr>
                <w:sz w:val="15"/>
                <w:szCs w:val="15"/>
                <w:color w:val="auto"/>
              </w:rPr>
            </w:pPr>
          </w:p>
        </w:tc>
        <w:tc>
          <w:tcPr>
            <w:tcW w:w="7200" w:type="dxa"/>
            <w:vAlign w:val="bottom"/>
          </w:tcPr>
          <w:p>
            <w:pPr>
              <w:jc w:val="center"/>
              <w:ind w:right="2183"/>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44" w:lineRule="exact"/>
        <w:rPr>
          <w:sz w:val="24"/>
          <w:szCs w:val="24"/>
          <w:color w:val="auto"/>
        </w:rPr>
      </w:pPr>
    </w:p>
    <w:tbl>
      <w:tblPr>
        <w:tblLayout w:type="fixed"/>
        <w:tblInd w:w="640" w:type="dxa"/>
        <w:tblCellMar>
          <w:top w:w="0" w:type="dxa"/>
          <w:left w:w="0" w:type="dxa"/>
          <w:bottom w:w="0" w:type="dxa"/>
          <w:right w:w="0" w:type="dxa"/>
        </w:tblCellMar>
      </w:tblPr>
      <w:tr>
        <w:trPr>
          <w:trHeight w:val="182"/>
        </w:trPr>
        <w:tc>
          <w:tcPr>
            <w:tcW w:w="472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95"/>
        </w:trPr>
        <w:tc>
          <w:tcPr>
            <w:tcW w:w="4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Title of Each Class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82"/>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Class A Common Stock, $0.01 par value</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CMCSA</w:t>
            </w:r>
          </w:p>
        </w:tc>
        <w:tc>
          <w:tcPr>
            <w:tcW w:w="100" w:type="dxa"/>
            <w:vAlign w:val="bottom"/>
          </w:tcPr>
          <w:p>
            <w:pPr>
              <w:spacing w:after="0"/>
              <w:rPr>
                <w:sz w:val="15"/>
                <w:szCs w:val="15"/>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NASDAQ Global Select Market</w:t>
            </w:r>
          </w:p>
        </w:tc>
      </w:tr>
      <w:tr>
        <w:trPr>
          <w:trHeight w:val="184"/>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0.000% Notes due 2026</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CMCS26</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0.250% Notes due 2027</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CMCS27</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1.500% Notes due 2029</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CMCS29</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0.250% Notes due 2029</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CMCS29A</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0.750% Notes due 2032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CMCS32</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1.875% Notes due 2036</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CMCS36</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1.250% Notes due 2040</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CMCS40</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9.455% Guaranteed Notes due 2022</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CMCSA/22</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5.50% Notes due 2029</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CCGBP29</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2.0% Exchangeable Subordinated Debentures due 2029</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CCZ</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263"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58" w:lineRule="exact"/>
        <w:rPr>
          <w:sz w:val="24"/>
          <w:szCs w:val="24"/>
          <w:color w:val="auto"/>
        </w:rPr>
      </w:pPr>
    </w:p>
    <w:p>
      <w:pPr>
        <w:ind w:right="5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57785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28, 2021, Comcast Corporation (“Comcast”) issued a press release reporting the results of its operations for the three and nine months ended September 30, 2021.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w w:val="92"/>
              </w:rPr>
              <w:t>Item 9.01. Exhibits</w:t>
            </w:r>
          </w:p>
        </w:tc>
        <w:tc>
          <w:tcPr>
            <w:tcW w:w="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6"/>
              </w:rPr>
              <w:t>Exhibit</w:t>
            </w:r>
          </w:p>
        </w:tc>
        <w:tc>
          <w:tcPr>
            <w:tcW w:w="9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260" w:type="dxa"/>
            <w:vAlign w:val="bottom"/>
            <w:gridSpan w:val="4"/>
          </w:tcPr>
          <w:p>
            <w:pPr>
              <w:jc w:val="center"/>
              <w:ind w:right="620"/>
              <w:spacing w:after="0" w:line="189" w:lineRule="exact"/>
              <w:rPr>
                <w:sz w:val="20"/>
                <w:szCs w:val="20"/>
                <w:color w:val="auto"/>
              </w:rPr>
            </w:pPr>
            <w:r>
              <w:rPr>
                <w:rFonts w:ascii="Arial" w:cs="Arial" w:eastAsia="Arial" w:hAnsi="Arial"/>
                <w:sz w:val="18"/>
                <w:szCs w:val="18"/>
                <w:b w:val="1"/>
                <w:bCs w:val="1"/>
                <w:color w:val="auto"/>
                <w:w w:val="94"/>
              </w:rPr>
              <w:t>Number</w:t>
            </w:r>
          </w:p>
        </w:tc>
        <w:tc>
          <w:tcPr>
            <w:tcW w:w="9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480" w:type="dxa"/>
            <w:vAlign w:val="bottom"/>
            <w:gridSpan w:val="2"/>
          </w:tcPr>
          <w:p>
            <w:pPr>
              <w:jc w:val="center"/>
              <w:ind w:left="90"/>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6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Comcast Corporation press release dated October 28, 2021.</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3"/>
          </w:tcPr>
          <w:p>
            <w:pPr>
              <w:jc w:val="center"/>
              <w:ind w:left="310"/>
              <w:spacing w:after="0"/>
              <w:rPr>
                <w:rFonts w:ascii="Arial" w:cs="Arial" w:eastAsia="Arial" w:hAnsi="Arial"/>
                <w:sz w:val="18"/>
                <w:szCs w:val="18"/>
                <w:color w:val="0000FF"/>
                <w:w w:val="85"/>
              </w:rPr>
            </w:pPr>
            <w:hyperlink w:anchor="page22">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hyperlink>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3"/>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Explanation of Non-GAAP and Other Financial Measures.</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w w:val="8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Arial" w:cs="Arial" w:eastAsia="Arial" w:hAnsi="Arial"/>
                <w:sz w:val="18"/>
                <w:szCs w:val="18"/>
                <w:b w:val="1"/>
                <w:bCs w:val="1"/>
                <w:color w:val="auto"/>
              </w:rPr>
              <w:t>COMCAST CORPORATION</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420" w:type="dxa"/>
            <w:vAlign w:val="bottom"/>
          </w:tcPr>
          <w:p>
            <w:pPr>
              <w:ind w:left="240"/>
              <w:spacing w:after="0"/>
              <w:rPr>
                <w:sz w:val="20"/>
                <w:szCs w:val="20"/>
                <w:color w:val="auto"/>
              </w:rPr>
            </w:pPr>
            <w:r>
              <w:rPr>
                <w:rFonts w:ascii="Arial" w:cs="Arial" w:eastAsia="Arial" w:hAnsi="Arial"/>
                <w:sz w:val="18"/>
                <w:szCs w:val="18"/>
                <w:color w:val="auto"/>
              </w:rPr>
              <w:t>October 28, 2021</w:t>
            </w:r>
          </w:p>
        </w:tc>
        <w:tc>
          <w:tcPr>
            <w:tcW w:w="7160" w:type="dxa"/>
            <w:vAlign w:val="bottom"/>
            <w:gridSpan w:val="2"/>
          </w:tcPr>
          <w:p>
            <w:pPr>
              <w:ind w:left="1920"/>
              <w:spacing w:after="0"/>
              <w:rPr>
                <w:sz w:val="20"/>
                <w:szCs w:val="20"/>
                <w:color w:val="auto"/>
              </w:rPr>
            </w:pPr>
            <w:r>
              <w:rPr>
                <w:rFonts w:ascii="Arial" w:cs="Arial" w:eastAsia="Arial" w:hAnsi="Arial"/>
                <w:sz w:val="18"/>
                <w:szCs w:val="18"/>
                <w:color w:val="auto"/>
              </w:rPr>
              <w:t>By:  /s/ Daniel C. Murdock</w:t>
            </w:r>
          </w:p>
        </w:tc>
      </w:tr>
      <w:tr>
        <w:trPr>
          <w:trHeight w:val="222"/>
        </w:trPr>
        <w:tc>
          <w:tcPr>
            <w:tcW w:w="6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Daniel C. Murdock</w:t>
            </w:r>
          </w:p>
        </w:tc>
      </w:tr>
      <w:tr>
        <w:trPr>
          <w:trHeight w:val="176"/>
        </w:trPr>
        <w:tc>
          <w:tcPr>
            <w:tcW w:w="6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Accounting Officer and</w:t>
            </w:r>
          </w:p>
        </w:tc>
      </w:tr>
      <w:tr>
        <w:trPr>
          <w:trHeight w:val="229"/>
        </w:trPr>
        <w:tc>
          <w:tcPr>
            <w:tcW w:w="6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Controller</w:t>
            </w:r>
          </w:p>
        </w:tc>
      </w:tr>
      <w:tr>
        <w:trPr>
          <w:trHeight w:val="230"/>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945"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257175</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3rd QUARTER 2021 RESULTS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PHILADELPHIA - October 28, 2021… Comcast Corporation (NASDAQ: CMCSA) today reported results for the quarter ended September 30, 2021.</w:t>
      </w:r>
    </w:p>
    <w:p>
      <w:pPr>
        <w:spacing w:after="0" w:line="3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"I am pleased with our strong operating and financial results this quarter. Each of our businesses posted significant growth in Adjusted EBITDA, contributing to a double-digit increase in our Adjusted EPS. At Cable, our customer and financial metrics remained strong, highlighted by 10% growth in Adjusted EBITDA, the highest level of customer retention on record for a third quarter, and the most wireless net additions since the launch of Xfinity Mobile in 2017. Our results at NBCUniversal continue to be driven by the ongoing recovery at our domestic Theme Parks, as well as the success of our linear and streaming Media platforms. At Sky, our UK business maintained its momentum, delivering healthy growth in revenue, EBITDA, and customer relationships. Going forward, I am excited about the opportunity to continue to invest in our global technology platform and other businesses while returning more capital to shareholders. This strategy is reflected in our most recent product launches – XClass TV in the U.S. and Sky Glass in Europe – as well as the $2.7 billion we returned to shareholders through a combination of share repurchases and dividend payments," </w:t>
      </w:r>
      <w:r>
        <w:rPr>
          <w:rFonts w:ascii="Arial" w:cs="Arial" w:eastAsia="Arial" w:hAnsi="Arial"/>
          <w:sz w:val="18"/>
          <w:szCs w:val="18"/>
          <w:color w:val="auto"/>
        </w:rPr>
        <w:t>commented Brian L. Roberts, Chairman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Comcast Corporation.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45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0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44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8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right w:val="single" w:sz="8" w:color="D9D9D6"/>
            </w:tcBorders>
            <w:shd w:val="clear" w:color="auto" w:fill="D9D9D6"/>
          </w:tcPr>
          <w:p>
            <w:pPr>
              <w:spacing w:after="0"/>
              <w:rPr>
                <w:sz w:val="17"/>
                <w:szCs w:val="17"/>
                <w:color w:val="auto"/>
              </w:rPr>
            </w:pPr>
          </w:p>
        </w:tc>
        <w:tc>
          <w:tcPr>
            <w:tcW w:w="8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4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D9D9D6"/>
            </w:tcBorders>
            <w:shd w:val="clear" w:color="auto" w:fill="D9D9D6"/>
          </w:tcPr>
          <w:p>
            <w:pPr>
              <w:spacing w:after="0"/>
              <w:rPr>
                <w:sz w:val="14"/>
                <w:szCs w:val="14"/>
                <w:color w:val="auto"/>
              </w:rPr>
            </w:pPr>
          </w:p>
        </w:tc>
        <w:tc>
          <w:tcPr>
            <w:tcW w:w="4580" w:type="dxa"/>
            <w:vAlign w:val="bottom"/>
            <w:tcBorders>
              <w:bottom w:val="single" w:sz="8" w:color="D9D9D6"/>
            </w:tcBorders>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00" w:type="dxa"/>
            <w:vAlign w:val="bottom"/>
            <w:tcBorders>
              <w:bottom w:val="single" w:sz="8" w:color="D9D9D6"/>
            </w:tcBorders>
            <w:shd w:val="clear" w:color="auto" w:fill="D9D9D6"/>
          </w:tcPr>
          <w:p>
            <w:pPr>
              <w:spacing w:after="0"/>
              <w:rPr>
                <w:sz w:val="14"/>
                <w:szCs w:val="14"/>
                <w:color w:val="auto"/>
              </w:rPr>
            </w:pPr>
          </w:p>
        </w:tc>
        <w:tc>
          <w:tcPr>
            <w:tcW w:w="340" w:type="dxa"/>
            <w:vAlign w:val="bottom"/>
            <w:tcBorders>
              <w:bottom w:val="single" w:sz="8" w:color="D9D9D6"/>
              <w:right w:val="single" w:sz="8" w:color="D9D9D6"/>
            </w:tcBorders>
            <w:shd w:val="clear" w:color="auto" w:fill="D9D9D6"/>
          </w:tcPr>
          <w:p>
            <w:pPr>
              <w:spacing w:after="0"/>
              <w:rPr>
                <w:sz w:val="14"/>
                <w:szCs w:val="14"/>
                <w:color w:val="auto"/>
              </w:rPr>
            </w:pPr>
          </w:p>
        </w:tc>
        <w:tc>
          <w:tcPr>
            <w:tcW w:w="160" w:type="dxa"/>
            <w:vAlign w:val="bottom"/>
            <w:tcBorders>
              <w:bottom w:val="single" w:sz="8" w:color="D9D9D6"/>
            </w:tcBorders>
            <w:shd w:val="clear" w:color="auto" w:fill="D9D9D6"/>
          </w:tcPr>
          <w:p>
            <w:pPr>
              <w:spacing w:after="0"/>
              <w:rPr>
                <w:sz w:val="14"/>
                <w:szCs w:val="14"/>
                <w:color w:val="auto"/>
              </w:rPr>
            </w:pPr>
          </w:p>
        </w:tc>
        <w:tc>
          <w:tcPr>
            <w:tcW w:w="780" w:type="dxa"/>
            <w:vAlign w:val="bottom"/>
            <w:tcBorders>
              <w:bottom w:val="single" w:sz="8" w:color="auto"/>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3rd Quarter</w:t>
            </w:r>
          </w:p>
        </w:tc>
        <w:tc>
          <w:tcPr>
            <w:tcW w:w="540" w:type="dxa"/>
            <w:vAlign w:val="bottom"/>
            <w:tcBorders>
              <w:bottom w:val="single" w:sz="8" w:color="D9D9D6"/>
            </w:tcBorders>
            <w:shd w:val="clear" w:color="auto" w:fill="D9D9D6"/>
          </w:tcPr>
          <w:p>
            <w:pPr>
              <w:spacing w:after="0"/>
              <w:rPr>
                <w:sz w:val="14"/>
                <w:szCs w:val="14"/>
                <w:color w:val="auto"/>
              </w:rPr>
            </w:pPr>
          </w:p>
        </w:tc>
        <w:tc>
          <w:tcPr>
            <w:tcW w:w="380" w:type="dxa"/>
            <w:vAlign w:val="bottom"/>
            <w:tcBorders>
              <w:bottom w:val="single" w:sz="8" w:color="D9D9D6"/>
            </w:tcBorders>
            <w:shd w:val="clear" w:color="auto" w:fill="D9D9D6"/>
          </w:tcPr>
          <w:p>
            <w:pPr>
              <w:spacing w:after="0"/>
              <w:rPr>
                <w:sz w:val="14"/>
                <w:szCs w:val="14"/>
                <w:color w:val="auto"/>
              </w:rPr>
            </w:pPr>
          </w:p>
        </w:tc>
        <w:tc>
          <w:tcPr>
            <w:tcW w:w="140" w:type="dxa"/>
            <w:vAlign w:val="bottom"/>
            <w:tcBorders>
              <w:bottom w:val="single" w:sz="8" w:color="D9D9D6"/>
            </w:tcBorders>
            <w:shd w:val="clear" w:color="auto" w:fill="D9D9D6"/>
          </w:tcPr>
          <w:p>
            <w:pPr>
              <w:spacing w:after="0"/>
              <w:rPr>
                <w:sz w:val="14"/>
                <w:szCs w:val="14"/>
                <w:color w:val="auto"/>
              </w:rPr>
            </w:pPr>
          </w:p>
        </w:tc>
        <w:tc>
          <w:tcPr>
            <w:tcW w:w="280" w:type="dxa"/>
            <w:vAlign w:val="bottom"/>
            <w:tcBorders>
              <w:bottom w:val="single" w:sz="8" w:color="D9D9D6"/>
              <w:right w:val="single" w:sz="8" w:color="828282"/>
            </w:tcBorders>
            <w:shd w:val="clear" w:color="auto" w:fill="D9D9D6"/>
          </w:tcPr>
          <w:p>
            <w:pPr>
              <w:spacing w:after="0"/>
              <w:rPr>
                <w:sz w:val="14"/>
                <w:szCs w:val="14"/>
                <w:color w:val="auto"/>
              </w:rPr>
            </w:pPr>
          </w:p>
        </w:tc>
        <w:tc>
          <w:tcPr>
            <w:tcW w:w="84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80" w:type="dxa"/>
            <w:vAlign w:val="bottom"/>
            <w:tcBorders>
              <w:bottom w:val="single" w:sz="8" w:color="D9D9D6"/>
            </w:tcBorders>
            <w:shd w:val="clear" w:color="auto" w:fill="D9D9D6"/>
          </w:tcPr>
          <w:p>
            <w:pPr>
              <w:spacing w:after="0"/>
              <w:rPr>
                <w:sz w:val="14"/>
                <w:szCs w:val="14"/>
                <w:color w:val="auto"/>
              </w:rPr>
            </w:pPr>
          </w:p>
        </w:tc>
        <w:tc>
          <w:tcPr>
            <w:tcW w:w="80" w:type="dxa"/>
            <w:vAlign w:val="bottom"/>
            <w:tcBorders>
              <w:bottom w:val="single" w:sz="8" w:color="D9D9D6"/>
            </w:tcBorders>
            <w:shd w:val="clear" w:color="auto" w:fill="D9D9D6"/>
          </w:tcPr>
          <w:p>
            <w:pPr>
              <w:spacing w:after="0"/>
              <w:rPr>
                <w:sz w:val="14"/>
                <w:szCs w:val="14"/>
                <w:color w:val="auto"/>
              </w:rPr>
            </w:pP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w w:val="99"/>
              </w:rPr>
              <w:t>Year to Date</w:t>
            </w:r>
          </w:p>
        </w:tc>
        <w:tc>
          <w:tcPr>
            <w:tcW w:w="280" w:type="dxa"/>
            <w:vAlign w:val="bottom"/>
            <w:tcBorders>
              <w:bottom w:val="single" w:sz="8" w:color="D9D9D6"/>
            </w:tcBorders>
            <w:shd w:val="clear" w:color="auto" w:fill="D9D9D6"/>
          </w:tcPr>
          <w:p>
            <w:pPr>
              <w:spacing w:after="0"/>
              <w:rPr>
                <w:sz w:val="14"/>
                <w:szCs w:val="14"/>
                <w:color w:val="auto"/>
              </w:rPr>
            </w:pPr>
          </w:p>
        </w:tc>
        <w:tc>
          <w:tcPr>
            <w:tcW w:w="280" w:type="dxa"/>
            <w:vAlign w:val="bottom"/>
            <w:tcBorders>
              <w:bottom w:val="single" w:sz="8" w:color="D9D9D6"/>
            </w:tcBorders>
            <w:shd w:val="clear" w:color="auto" w:fill="D9D9D6"/>
          </w:tcPr>
          <w:p>
            <w:pPr>
              <w:spacing w:after="0"/>
              <w:rPr>
                <w:sz w:val="14"/>
                <w:szCs w:val="14"/>
                <w:color w:val="auto"/>
              </w:rPr>
            </w:pPr>
          </w:p>
        </w:tc>
        <w:tc>
          <w:tcPr>
            <w:tcW w:w="500" w:type="dxa"/>
            <w:vAlign w:val="bottom"/>
            <w:tcBorders>
              <w:bottom w:val="single" w:sz="8" w:color="D9D9D6"/>
            </w:tcBorders>
            <w:shd w:val="clear" w:color="auto" w:fill="D9D9D6"/>
          </w:tcPr>
          <w:p>
            <w:pPr>
              <w:spacing w:after="0"/>
              <w:rPr>
                <w:sz w:val="14"/>
                <w:szCs w:val="14"/>
                <w:color w:val="auto"/>
              </w:rPr>
            </w:pPr>
          </w:p>
        </w:tc>
        <w:tc>
          <w:tcPr>
            <w:tcW w:w="140" w:type="dxa"/>
            <w:vAlign w:val="bottom"/>
            <w:tcBorders>
              <w:bottom w:val="single" w:sz="8" w:color="D9D9D6"/>
            </w:tcBorders>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4580" w:type="dxa"/>
            <w:vAlign w:val="bottom"/>
            <w:vMerge w:val="continue"/>
            <w:shd w:val="clear" w:color="auto" w:fill="D9D9D6"/>
          </w:tcPr>
          <w:p>
            <w:pPr>
              <w:spacing w:after="0"/>
              <w:rPr>
                <w:sz w:val="14"/>
                <w:szCs w:val="14"/>
                <w:color w:val="auto"/>
              </w:rPr>
            </w:pPr>
          </w:p>
        </w:tc>
        <w:tc>
          <w:tcPr>
            <w:tcW w:w="94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9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540" w:type="dxa"/>
            <w:vAlign w:val="bottom"/>
            <w:shd w:val="clear" w:color="auto" w:fill="D9D9D6"/>
          </w:tcPr>
          <w:p>
            <w:pPr>
              <w:spacing w:after="0"/>
              <w:rPr>
                <w:sz w:val="14"/>
                <w:szCs w:val="14"/>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Change</w:t>
            </w:r>
          </w:p>
        </w:tc>
        <w:tc>
          <w:tcPr>
            <w:tcW w:w="280" w:type="dxa"/>
            <w:vAlign w:val="bottom"/>
            <w:tcBorders>
              <w:right w:val="single" w:sz="8" w:color="828282"/>
            </w:tcBorders>
            <w:shd w:val="clear" w:color="auto" w:fill="D9D9D6"/>
          </w:tcPr>
          <w:p>
            <w:pPr>
              <w:spacing w:after="0"/>
              <w:rPr>
                <w:sz w:val="14"/>
                <w:szCs w:val="14"/>
                <w:color w:val="auto"/>
              </w:rPr>
            </w:pPr>
          </w:p>
        </w:tc>
        <w:tc>
          <w:tcPr>
            <w:tcW w:w="124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2021</w:t>
            </w: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2020</w:t>
            </w:r>
          </w:p>
        </w:tc>
        <w:tc>
          <w:tcPr>
            <w:tcW w:w="280" w:type="dxa"/>
            <w:vAlign w:val="bottom"/>
            <w:shd w:val="clear" w:color="auto" w:fill="D9D9D6"/>
          </w:tcPr>
          <w:p>
            <w:pPr>
              <w:spacing w:after="0"/>
              <w:rPr>
                <w:sz w:val="14"/>
                <w:szCs w:val="14"/>
                <w:color w:val="auto"/>
              </w:rPr>
            </w:pPr>
          </w:p>
        </w:tc>
        <w:tc>
          <w:tcPr>
            <w:tcW w:w="920" w:type="dxa"/>
            <w:vAlign w:val="bottom"/>
            <w:gridSpan w:val="3"/>
            <w:shd w:val="clear" w:color="auto" w:fill="D9D9D6"/>
          </w:tcPr>
          <w:p>
            <w:pPr>
              <w:ind w:left="2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580" w:type="dxa"/>
            <w:vAlign w:val="bottom"/>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right w:val="single" w:sz="8" w:color="828282"/>
            </w:tcBorders>
            <w:shd w:val="clear" w:color="auto" w:fill="D9D9D6"/>
          </w:tcPr>
          <w:p>
            <w:pPr>
              <w:spacing w:after="0" w:line="20" w:lineRule="exact"/>
              <w:rPr>
                <w:sz w:val="1"/>
                <w:szCs w:val="1"/>
                <w:color w:val="auto"/>
              </w:rPr>
            </w:pPr>
          </w:p>
        </w:tc>
        <w:tc>
          <w:tcPr>
            <w:tcW w:w="84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4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shd w:val="clear" w:color="auto" w:fill="D9D9D6"/>
          </w:tcPr>
          <w:p>
            <w:pPr>
              <w:spacing w:after="0"/>
              <w:rPr>
                <w:sz w:val="24"/>
                <w:szCs w:val="24"/>
                <w:color w:val="auto"/>
              </w:rPr>
            </w:pPr>
          </w:p>
        </w:tc>
        <w:tc>
          <w:tcPr>
            <w:tcW w:w="4580" w:type="dxa"/>
            <w:vAlign w:val="bottom"/>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$30,298</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$25,532</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18.7 %</w:t>
            </w:r>
          </w:p>
        </w:tc>
        <w:tc>
          <w:tcPr>
            <w:tcW w:w="280" w:type="dxa"/>
            <w:vAlign w:val="bottom"/>
            <w:tcBorders>
              <w:right w:val="single" w:sz="8" w:color="828282"/>
            </w:tcBorders>
            <w:shd w:val="clear" w:color="auto" w:fill="D9D9D6"/>
          </w:tcPr>
          <w:p>
            <w:pPr>
              <w:spacing w:after="0"/>
              <w:rPr>
                <w:sz w:val="24"/>
                <w:szCs w:val="24"/>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$86,049</w:t>
            </w:r>
          </w:p>
        </w:tc>
        <w:tc>
          <w:tcPr>
            <w:tcW w:w="8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$75,856</w:t>
            </w:r>
          </w:p>
        </w:tc>
        <w:tc>
          <w:tcPr>
            <w:tcW w:w="280" w:type="dxa"/>
            <w:vAlign w:val="bottom"/>
            <w:shd w:val="clear" w:color="auto" w:fill="D9D9D6"/>
          </w:tcPr>
          <w:p>
            <w:pPr>
              <w:spacing w:after="0"/>
              <w:rPr>
                <w:sz w:val="24"/>
                <w:szCs w:val="24"/>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13.4 %</w:t>
            </w:r>
          </w:p>
        </w:tc>
        <w:tc>
          <w:tcPr>
            <w:tcW w:w="14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8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$4,035</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$2,019</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99.8 %</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$11,102</w:t>
            </w:r>
          </w:p>
        </w:tc>
        <w:tc>
          <w:tcPr>
            <w:tcW w:w="8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$7,154</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55.2 %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8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9"/>
                <w:szCs w:val="9"/>
                <w:color w:val="auto"/>
              </w:rPr>
              <w:t>1</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$4,038</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$3,000</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34.6 %</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$11,511</w:t>
            </w:r>
          </w:p>
        </w:tc>
        <w:tc>
          <w:tcPr>
            <w:tcW w:w="8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$9,436</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22.0 %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8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EBITDA</w:t>
            </w:r>
            <w:r>
              <w:rPr>
                <w:rFonts w:ascii="Arial" w:cs="Arial" w:eastAsia="Arial" w:hAnsi="Arial"/>
                <w:sz w:val="9"/>
                <w:szCs w:val="9"/>
                <w:color w:val="auto"/>
              </w:rPr>
              <w:t>2</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$8,957</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$7,583</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18.1 %</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$26,297</w:t>
            </w:r>
          </w:p>
        </w:tc>
        <w:tc>
          <w:tcPr>
            <w:tcW w:w="8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$23,640</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11.2 %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80" w:type="dxa"/>
            <w:vAlign w:val="bottom"/>
            <w:shd w:val="clear" w:color="auto" w:fill="D9D9D6"/>
          </w:tcPr>
          <w:p>
            <w:pPr>
              <w:ind w:left="2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9"/>
                <w:szCs w:val="9"/>
                <w:color w:val="auto"/>
              </w:rPr>
              <w:t>3</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$0.86</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$0.44</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95.5</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$2.38</w:t>
            </w:r>
          </w:p>
        </w:tc>
        <w:tc>
          <w:tcPr>
            <w:tcW w:w="8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$1.55</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53.5 %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8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Earnings per Share</w:t>
            </w:r>
            <w:r>
              <w:rPr>
                <w:rFonts w:ascii="Arial" w:cs="Arial" w:eastAsia="Arial" w:hAnsi="Arial"/>
                <w:sz w:val="9"/>
                <w:szCs w:val="9"/>
                <w:color w:val="auto"/>
              </w:rPr>
              <w:t>1</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$0.87</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$0.65</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33.8</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$2.47</w:t>
            </w:r>
          </w:p>
        </w:tc>
        <w:tc>
          <w:tcPr>
            <w:tcW w:w="8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$2.04</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21.1 %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8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$6,100</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$5,228</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16.7</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$21,457</w:t>
            </w:r>
          </w:p>
        </w:tc>
        <w:tc>
          <w:tcPr>
            <w:tcW w:w="8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$19,695</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8.9 %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D9D9D6"/>
            </w:tcBorders>
            <w:shd w:val="clear" w:color="auto" w:fill="D9D9D6"/>
          </w:tcPr>
          <w:p>
            <w:pPr>
              <w:spacing w:after="0"/>
              <w:rPr>
                <w:sz w:val="19"/>
                <w:szCs w:val="19"/>
                <w:color w:val="auto"/>
              </w:rPr>
            </w:pPr>
          </w:p>
        </w:tc>
        <w:tc>
          <w:tcPr>
            <w:tcW w:w="45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9"/>
                <w:szCs w:val="9"/>
                <w:color w:val="auto"/>
              </w:rPr>
              <w:t>4</w:t>
            </w:r>
          </w:p>
        </w:tc>
        <w:tc>
          <w:tcPr>
            <w:tcW w:w="940" w:type="dxa"/>
            <w:vAlign w:val="bottom"/>
            <w:tcBorders>
              <w:bottom w:val="single" w:sz="8" w:color="D9D9D6"/>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$3,234</w:t>
            </w:r>
          </w:p>
        </w:tc>
        <w:tc>
          <w:tcPr>
            <w:tcW w:w="94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$2,289</w:t>
            </w:r>
          </w:p>
        </w:tc>
        <w:tc>
          <w:tcPr>
            <w:tcW w:w="92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41.3</w:t>
            </w:r>
          </w:p>
        </w:tc>
        <w:tc>
          <w:tcPr>
            <w:tcW w:w="14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80" w:type="dxa"/>
            <w:vAlign w:val="bottom"/>
            <w:tcBorders>
              <w:bottom w:val="single" w:sz="8" w:color="D9D9D6"/>
              <w:right w:val="single" w:sz="8" w:color="828282"/>
            </w:tcBorders>
            <w:shd w:val="clear" w:color="auto" w:fill="D9D9D6"/>
          </w:tcPr>
          <w:p>
            <w:pPr>
              <w:spacing w:after="0"/>
              <w:rPr>
                <w:sz w:val="19"/>
                <w:szCs w:val="19"/>
                <w:color w:val="auto"/>
              </w:rPr>
            </w:pPr>
          </w:p>
        </w:tc>
        <w:tc>
          <w:tcPr>
            <w:tcW w:w="116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$13,305</w:t>
            </w:r>
          </w:p>
        </w:tc>
        <w:tc>
          <w:tcPr>
            <w:tcW w:w="80" w:type="dxa"/>
            <w:vAlign w:val="bottom"/>
            <w:tcBorders>
              <w:bottom w:val="single" w:sz="8" w:color="D9D9D6"/>
            </w:tcBorders>
            <w:shd w:val="clear" w:color="auto" w:fill="D9D9D6"/>
          </w:tcPr>
          <w:p>
            <w:pPr>
              <w:spacing w:after="0"/>
              <w:rPr>
                <w:sz w:val="19"/>
                <w:szCs w:val="19"/>
                <w:color w:val="auto"/>
              </w:rPr>
            </w:pPr>
          </w:p>
        </w:tc>
        <w:tc>
          <w:tcPr>
            <w:tcW w:w="880" w:type="dxa"/>
            <w:vAlign w:val="bottom"/>
            <w:tcBorders>
              <w:bottom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$11,580</w:t>
            </w:r>
          </w:p>
        </w:tc>
        <w:tc>
          <w:tcPr>
            <w:tcW w:w="280" w:type="dxa"/>
            <w:vAlign w:val="bottom"/>
            <w:tcBorders>
              <w:bottom w:val="single" w:sz="8" w:color="D9D9D6"/>
            </w:tcBorders>
            <w:shd w:val="clear" w:color="auto" w:fill="D9D9D6"/>
          </w:tcPr>
          <w:p>
            <w:pPr>
              <w:spacing w:after="0"/>
              <w:rPr>
                <w:sz w:val="19"/>
                <w:szCs w:val="19"/>
                <w:color w:val="auto"/>
              </w:rPr>
            </w:pPr>
          </w:p>
        </w:tc>
        <w:tc>
          <w:tcPr>
            <w:tcW w:w="7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14.9 %</w:t>
            </w:r>
          </w:p>
        </w:tc>
        <w:tc>
          <w:tcPr>
            <w:tcW w:w="140" w:type="dxa"/>
            <w:vAlign w:val="bottom"/>
            <w:tcBorders>
              <w:bottom w:val="single" w:sz="8" w:color="D9D9D6"/>
            </w:tcBorders>
            <w:shd w:val="clear" w:color="auto" w:fill="D9D9D6"/>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3rd Quarter 2021 Highlights:</w:t>
      </w:r>
    </w:p>
    <w:p>
      <w:pPr>
        <w:spacing w:after="0" w:line="45" w:lineRule="exact"/>
        <w:rPr>
          <w:sz w:val="20"/>
          <w:szCs w:val="20"/>
          <w:color w:val="auto"/>
        </w:rPr>
      </w:pPr>
    </w:p>
    <w:p>
      <w:pPr>
        <w:ind w:left="34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18.1% to $9.0 Billion; Adjusted EPS Increased 33.8% to $0.87; Generated Free Cash Flow of $3.2 Billion</w:t>
      </w:r>
    </w:p>
    <w:p>
      <w:pPr>
        <w:spacing w:after="0" w:line="8" w:lineRule="exact"/>
        <w:rPr>
          <w:rFonts w:ascii="Arial" w:cs="Arial" w:eastAsia="Arial" w:hAnsi="Arial"/>
          <w:sz w:val="18"/>
          <w:szCs w:val="18"/>
          <w:color w:val="auto"/>
        </w:rPr>
      </w:pP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Returned $2.7 Billion to Shareholders Through a Combination of $1.5 Billion in Share Repurchases and $1.2 Billion in Dividend Payments</w:t>
      </w:r>
    </w:p>
    <w:p>
      <w:pPr>
        <w:ind w:left="340" w:right="2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Total Customer Relationship Net Additions Were 255,000; Total Broadband Customer Net Additions Were 300,000</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Adjusted EBITDA Increased 10.3% and Adjusted EBITDA per Customer Relationship Increased 5.3%</w:t>
      </w:r>
    </w:p>
    <w:p>
      <w:pPr>
        <w:spacing w:after="0" w:line="36"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Wireless Customer Line Net Additions Were 285,000, the Best Quarterly Result Since Launch in 2017</w:t>
      </w:r>
    </w:p>
    <w:p>
      <w:pPr>
        <w:spacing w:after="0" w:line="22"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NBCUniversal Adjusted EBITDA Increased 48.2% to $1.3 Billion, Including Peacock Losses</w:t>
      </w:r>
    </w:p>
    <w:p>
      <w:pPr>
        <w:spacing w:after="0" w:line="22" w:lineRule="exact"/>
        <w:rPr>
          <w:rFonts w:ascii="Arial" w:cs="Arial" w:eastAsia="Arial" w:hAnsi="Arial"/>
          <w:sz w:val="18"/>
          <w:szCs w:val="18"/>
          <w:b w:val="1"/>
          <w:bCs w:val="1"/>
          <w:color w:val="auto"/>
        </w:rPr>
      </w:pPr>
    </w:p>
    <w:p>
      <w:pPr>
        <w:ind w:left="34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Theme Parks Delivered Its Most Profitable Quarter Since the First Quarter of 2020, Driven by Universal Orlando; Celebrated the Grand Opening of Universal Beijing Resort on September 20th</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Sky Adjusted EBITDA Increased 88.8% to $971 Million; On a Constant Currency Basis, Adjusted EBITDA Increased 76.2%</w:t>
      </w:r>
    </w:p>
    <w:p>
      <w:pPr>
        <w:sectPr>
          <w:pgSz w:w="11900" w:h="16838" w:orient="portrait"/>
          <w:cols w:equalWidth="0" w:num="1">
            <w:col w:w="11240"/>
          </w:cols>
          <w:pgMar w:left="320" w:top="733"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3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third quarter of 2021 increased 18.7% to $30.3 billion.</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increased 99.8% to $4.0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w:t>
      </w:r>
      <w:r>
        <w:rPr>
          <w:rFonts w:ascii="Arial" w:cs="Arial" w:eastAsia="Arial" w:hAnsi="Arial"/>
          <w:sz w:val="18"/>
          <w:szCs w:val="18"/>
          <w:b w:val="1"/>
          <w:bCs w:val="1"/>
          <w:i w:val="1"/>
          <w:iCs w:val="1"/>
          <w:color w:val="auto"/>
        </w:rPr>
        <w:t>Adjusted Net Income</w:t>
      </w:r>
      <w:r>
        <w:rPr>
          <w:rFonts w:ascii="Arial" w:cs="Arial" w:eastAsia="Arial" w:hAnsi="Arial"/>
          <w:sz w:val="18"/>
          <w:szCs w:val="18"/>
          <w:color w:val="auto"/>
        </w:rPr>
        <w:t xml:space="preserve"> increased 34.6% to $4.0 billion.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increased 18.1% to $9.0 billion.</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For the nine months ended September 30, 2021, revenue increased 13.4% to $86.0 billion compared to 2020. Net income attributable to Comcast increased 55.2% to $11.1 billion. Adjusted Net Income increased 22.0% to $11.5 billion. Adjusted EBITDA increased 11.2% to $26.3 billion.</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third quarter of 2021 was $0.86, an increase of 95.5% compared to the prior year period.</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33.8% to $0.87.</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the nine months ended September 30, 2021, EPS was $2.38, a 53.5% increase compared to 2020. Adjusted EPS increased 21.1% to $2.47.</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10.3% to $2.1 billion in the third quarter of 2021. Cable Communications’ capital expenditures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5.4% to $1.7 billion. NBCUniversal’s capital expenditures decreased 35.7% to $229 million. Sky's capital expenditures decreased 32.3% to $160 million.</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For the nine months ended September 30, 2021, capital expenditures decreased 3.1% to $6.1 billion compared to 2020. Cable Communications' capital expenditures increased 5.5% to $4.7 billion. NBCUniversal's capital expenditures decreased 47.6% to $584 million. Sky's capital expenditures decreased 5.2% to $615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$6.1 billion in the third quarter of 2021.</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$3.2 billion.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2021 net cash provided by operating activities was $21.5 billion. Free cash flow was $13.3 billion.</w:t>
      </w:r>
    </w:p>
    <w:p>
      <w:pPr>
        <w:spacing w:after="0" w:line="20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resumed its share repurchase program in May 2021 after pausing the program in 2019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the reduction of indebtedness it incurred in connection with its acquisition of Sky. During the third quarter of 2021, Comcast paid dividends totaling $1.2 billion and repurchased 25.9 million of its common shares for $1.5 billion. As of September 30, 2021, Comcast had $8.0 billion available under its share repurchase authorization.</w:t>
      </w:r>
    </w:p>
    <w:p>
      <w:pPr>
        <w:spacing w:after="0" w:line="2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the nine months ended September 30, 2021, Comcast paid dividends totaling $3.4 billion and repurchased 34.7 million of its common shares for $2.0 billion.</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39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8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620" w:type="dxa"/>
            <w:vAlign w:val="bottom"/>
            <w:tcBorders>
              <w:bottom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right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8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68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D9D9D6"/>
          </w:tcPr>
          <w:p>
            <w:pPr>
              <w:spacing w:after="0"/>
              <w:rPr>
                <w:sz w:val="14"/>
                <w:szCs w:val="14"/>
                <w:color w:val="auto"/>
              </w:rPr>
            </w:pPr>
          </w:p>
        </w:tc>
        <w:tc>
          <w:tcPr>
            <w:tcW w:w="3980" w:type="dxa"/>
            <w:vAlign w:val="bottom"/>
            <w:shd w:val="clear" w:color="auto" w:fill="D9D9D6"/>
          </w:tcPr>
          <w:p>
            <w:pPr>
              <w:spacing w:after="0"/>
              <w:rPr>
                <w:sz w:val="14"/>
                <w:szCs w:val="14"/>
                <w:color w:val="auto"/>
              </w:rPr>
            </w:pPr>
          </w:p>
        </w:tc>
        <w:tc>
          <w:tcPr>
            <w:tcW w:w="80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96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color w:val="auto"/>
                <w:w w:val="97"/>
              </w:rPr>
              <w:t>3rd Quarter</w:t>
            </w: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200" w:type="dxa"/>
            <w:vAlign w:val="bottom"/>
            <w:tcBorders>
              <w:right w:val="single" w:sz="8" w:color="97999B"/>
            </w:tcBorders>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80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102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w w:val="99"/>
              </w:rPr>
              <w:t>Year to Date</w:t>
            </w: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3980" w:type="dxa"/>
            <w:vAlign w:val="bottom"/>
            <w:shd w:val="clear" w:color="auto" w:fill="D9D9D6"/>
          </w:tcPr>
          <w:p>
            <w:pPr>
              <w:spacing w:after="0" w:line="20" w:lineRule="exact"/>
              <w:rPr>
                <w:sz w:val="1"/>
                <w:szCs w:val="1"/>
                <w:color w:val="auto"/>
              </w:rPr>
            </w:pPr>
          </w:p>
        </w:tc>
        <w:tc>
          <w:tcPr>
            <w:tcW w:w="8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00" w:type="dxa"/>
            <w:vAlign w:val="bottom"/>
            <w:tcBorders>
              <w:right w:val="single" w:sz="8" w:color="97999B"/>
            </w:tcBorders>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8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398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60" w:type="dxa"/>
            <w:vAlign w:val="bottom"/>
            <w:shd w:val="clear" w:color="auto" w:fill="D9D9D6"/>
          </w:tcPr>
          <w:p>
            <w:pPr>
              <w:spacing w:after="0"/>
              <w:rPr>
                <w:sz w:val="14"/>
                <w:szCs w:val="14"/>
                <w:color w:val="auto"/>
              </w:rPr>
            </w:pPr>
          </w:p>
        </w:tc>
        <w:tc>
          <w:tcPr>
            <w:tcW w:w="9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060" w:type="dxa"/>
            <w:vAlign w:val="bottom"/>
            <w:gridSpan w:val="4"/>
            <w:shd w:val="clear" w:color="auto" w:fill="D9D9D6"/>
          </w:tcPr>
          <w:p>
            <w:pPr>
              <w:ind w:left="540"/>
              <w:spacing w:after="0"/>
              <w:rPr>
                <w:sz w:val="20"/>
                <w:szCs w:val="20"/>
                <w:color w:val="auto"/>
              </w:rPr>
            </w:pPr>
            <w:r>
              <w:rPr>
                <w:rFonts w:ascii="Arial" w:cs="Arial" w:eastAsia="Arial" w:hAnsi="Arial"/>
                <w:sz w:val="14"/>
                <w:szCs w:val="14"/>
                <w:color w:val="auto"/>
              </w:rPr>
              <w:t>Change</w:t>
            </w:r>
          </w:p>
        </w:tc>
        <w:tc>
          <w:tcPr>
            <w:tcW w:w="200" w:type="dxa"/>
            <w:vAlign w:val="bottom"/>
            <w:tcBorders>
              <w:right w:val="single" w:sz="8" w:color="97999B"/>
            </w:tcBorders>
            <w:shd w:val="clear" w:color="auto" w:fill="D9D9D6"/>
          </w:tcPr>
          <w:p>
            <w:pPr>
              <w:spacing w:after="0"/>
              <w:rPr>
                <w:sz w:val="14"/>
                <w:szCs w:val="14"/>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180" w:type="dxa"/>
            <w:vAlign w:val="bottom"/>
            <w:gridSpan w:val="5"/>
            <w:shd w:val="clear" w:color="auto" w:fill="D9D9D6"/>
          </w:tcPr>
          <w:p>
            <w:pPr>
              <w:ind w:left="5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3980" w:type="dxa"/>
            <w:vAlign w:val="bottom"/>
            <w:tcBorders>
              <w:top w:val="single" w:sz="8" w:color="D9D9D6"/>
            </w:tcBorders>
            <w:vMerge w:val="continue"/>
            <w:shd w:val="clear" w:color="auto" w:fill="D9D9D6"/>
          </w:tcPr>
          <w:p>
            <w:pPr>
              <w:spacing w:after="0"/>
              <w:rPr>
                <w:sz w:val="17"/>
                <w:szCs w:val="17"/>
                <w:color w:val="auto"/>
              </w:rPr>
            </w:pPr>
          </w:p>
        </w:tc>
        <w:tc>
          <w:tcPr>
            <w:tcW w:w="8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620" w:type="dxa"/>
            <w:vAlign w:val="bottom"/>
            <w:tcBorders>
              <w:top w:val="single" w:sz="8" w:color="D9D9D6"/>
            </w:tcBorders>
            <w:shd w:val="clear" w:color="auto" w:fill="D9D9D6"/>
          </w:tcPr>
          <w:p>
            <w:pPr>
              <w:spacing w:after="0"/>
              <w:rPr>
                <w:sz w:val="17"/>
                <w:szCs w:val="17"/>
                <w:color w:val="auto"/>
              </w:rPr>
            </w:pPr>
          </w:p>
        </w:tc>
        <w:tc>
          <w:tcPr>
            <w:tcW w:w="10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00" w:type="dxa"/>
            <w:vAlign w:val="bottom"/>
            <w:tcBorders>
              <w:top w:val="single" w:sz="8" w:color="D9D9D6"/>
              <w:right w:val="single" w:sz="8" w:color="97999B"/>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8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68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auto"/>
            </w:tcBorders>
            <w:shd w:val="clear" w:color="auto" w:fill="D9D9D6"/>
          </w:tcPr>
          <w:p>
            <w:pPr>
              <w:spacing w:after="0"/>
              <w:rPr>
                <w:sz w:val="17"/>
                <w:szCs w:val="17"/>
                <w:color w:val="auto"/>
              </w:rPr>
            </w:pPr>
          </w:p>
        </w:tc>
        <w:tc>
          <w:tcPr>
            <w:tcW w:w="2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Broadband</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$5,801</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$5,198</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11.6</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$17,118</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$15,199</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12.6 %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Video</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5,499</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5,421</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1.4</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16,676</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16,468</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1.3 %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Voice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851</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876</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2,592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2,652</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(2.3 %)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Wireless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603</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400</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50.7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1,672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1,069</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56.4 %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Business Services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2,227</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2,049</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6,597</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6,096</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8.2 %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705</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674</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4.6</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2,002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1,659</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20.6 %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398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427</w:t>
            </w:r>
          </w:p>
        </w:tc>
        <w:tc>
          <w:tcPr>
            <w:tcW w:w="112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382</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12.4</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200" w:type="dxa"/>
            <w:vAlign w:val="bottom"/>
            <w:tcBorders>
              <w:bottom w:val="single" w:sz="8" w:color="D9D9D6"/>
              <w:right w:val="single" w:sz="8" w:color="97999B"/>
            </w:tcBorders>
            <w:shd w:val="clear" w:color="auto" w:fill="D9D9D6"/>
          </w:tcPr>
          <w:p>
            <w:pPr>
              <w:spacing w:after="0"/>
              <w:rPr>
                <w:sz w:val="16"/>
                <w:szCs w:val="16"/>
                <w:color w:val="auto"/>
              </w:rPr>
            </w:pPr>
          </w:p>
        </w:tc>
        <w:tc>
          <w:tcPr>
            <w:tcW w:w="160" w:type="dxa"/>
            <w:vAlign w:val="bottom"/>
            <w:tcBorders>
              <w:bottom w:val="single" w:sz="8" w:color="D9D9D6"/>
            </w:tcBorders>
            <w:shd w:val="clear" w:color="auto" w:fill="D9D9D6"/>
          </w:tcPr>
          <w:p>
            <w:pPr>
              <w:spacing w:after="0"/>
              <w:rPr>
                <w:sz w:val="16"/>
                <w:szCs w:val="16"/>
                <w:color w:val="auto"/>
              </w:rPr>
            </w:pP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1,265</w:t>
            </w:r>
          </w:p>
        </w:tc>
        <w:tc>
          <w:tcPr>
            <w:tcW w:w="114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1,203</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5.3</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39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$16,115</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$15,000</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7.4</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200" w:type="dxa"/>
            <w:vAlign w:val="bottom"/>
            <w:tcBorders>
              <w:right w:val="single" w:sz="8" w:color="97999B"/>
            </w:tcBorders>
            <w:shd w:val="clear" w:color="auto" w:fill="D9D9D6"/>
          </w:tcPr>
          <w:p>
            <w:pPr>
              <w:spacing w:after="0"/>
              <w:rPr>
                <w:sz w:val="15"/>
                <w:szCs w:val="15"/>
                <w:color w:val="auto"/>
              </w:rPr>
            </w:pPr>
          </w:p>
        </w:tc>
        <w:tc>
          <w:tcPr>
            <w:tcW w:w="160" w:type="dxa"/>
            <w:vAlign w:val="bottom"/>
            <w:shd w:val="clear" w:color="auto" w:fill="D9D9D6"/>
          </w:tcPr>
          <w:p>
            <w:pPr>
              <w:spacing w:after="0"/>
              <w:rPr>
                <w:sz w:val="15"/>
                <w:szCs w:val="15"/>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$47,922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$44,346</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8.1</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39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Adjusted EBITDA</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$7,069</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$6,411</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10.3 %</w:t>
            </w:r>
          </w:p>
        </w:tc>
        <w:tc>
          <w:tcPr>
            <w:tcW w:w="20" w:type="dxa"/>
            <w:vAlign w:val="bottom"/>
            <w:shd w:val="clear" w:color="auto" w:fill="D9D9D6"/>
          </w:tcPr>
          <w:p>
            <w:pPr>
              <w:spacing w:after="0"/>
              <w:rPr>
                <w:sz w:val="24"/>
                <w:szCs w:val="24"/>
                <w:color w:val="auto"/>
              </w:rPr>
            </w:pPr>
          </w:p>
        </w:tc>
        <w:tc>
          <w:tcPr>
            <w:tcW w:w="20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$20,972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$18,663</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12.4 %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43.9 %</w:t>
            </w:r>
          </w:p>
        </w:tc>
        <w:tc>
          <w:tcPr>
            <w:tcW w:w="20" w:type="dxa"/>
            <w:vAlign w:val="bottom"/>
            <w:shd w:val="clear" w:color="auto" w:fill="D9D9D6"/>
          </w:tcPr>
          <w:p>
            <w:pPr>
              <w:spacing w:after="0"/>
              <w:rPr>
                <w:sz w:val="16"/>
                <w:szCs w:val="16"/>
                <w:color w:val="auto"/>
              </w:rPr>
            </w:pPr>
          </w:p>
        </w:tc>
        <w:tc>
          <w:tcPr>
            <w:tcW w:w="110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42.7 %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43.8 %</w:t>
            </w:r>
          </w:p>
        </w:tc>
        <w:tc>
          <w:tcPr>
            <w:tcW w:w="20" w:type="dxa"/>
            <w:vAlign w:val="bottom"/>
            <w:shd w:val="clear" w:color="auto" w:fill="D9D9D6"/>
          </w:tcPr>
          <w:p>
            <w:pPr>
              <w:spacing w:after="0"/>
              <w:rPr>
                <w:sz w:val="16"/>
                <w:szCs w:val="16"/>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42.1 %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39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Capital Expenditures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$1,673</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$1,770</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(5.4 %)</w:t>
            </w:r>
          </w:p>
        </w:tc>
        <w:tc>
          <w:tcPr>
            <w:tcW w:w="20" w:type="dxa"/>
            <w:vAlign w:val="bottom"/>
            <w:shd w:val="clear" w:color="auto" w:fill="D9D9D6"/>
          </w:tcPr>
          <w:p>
            <w:pPr>
              <w:spacing w:after="0"/>
              <w:rPr>
                <w:sz w:val="24"/>
                <w:szCs w:val="24"/>
                <w:color w:val="auto"/>
              </w:rPr>
            </w:pPr>
          </w:p>
        </w:tc>
        <w:tc>
          <w:tcPr>
            <w:tcW w:w="20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$4,739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$4,491</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5.5 %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Percent of Cable Communications Revenue</w:t>
            </w: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10.4 %</w:t>
            </w:r>
          </w:p>
        </w:tc>
        <w:tc>
          <w:tcPr>
            <w:tcW w:w="20" w:type="dxa"/>
            <w:vAlign w:val="bottom"/>
            <w:shd w:val="clear" w:color="auto" w:fill="D9D9D6"/>
          </w:tcPr>
          <w:p>
            <w:pPr>
              <w:spacing w:after="0"/>
              <w:rPr>
                <w:sz w:val="16"/>
                <w:szCs w:val="16"/>
                <w:color w:val="auto"/>
              </w:rPr>
            </w:pPr>
          </w:p>
        </w:tc>
        <w:tc>
          <w:tcPr>
            <w:tcW w:w="110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11.8 %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9.9 %</w:t>
            </w:r>
          </w:p>
        </w:tc>
        <w:tc>
          <w:tcPr>
            <w:tcW w:w="20" w:type="dxa"/>
            <w:vAlign w:val="bottom"/>
            <w:shd w:val="clear" w:color="auto" w:fill="D9D9D6"/>
          </w:tcPr>
          <w:p>
            <w:pPr>
              <w:spacing w:after="0"/>
              <w:rPr>
                <w:sz w:val="16"/>
                <w:szCs w:val="16"/>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10.1 %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D9D9D6"/>
          </w:tcPr>
          <w:p>
            <w:pPr>
              <w:spacing w:after="0"/>
              <w:rPr>
                <w:sz w:val="8"/>
                <w:szCs w:val="8"/>
                <w:color w:val="auto"/>
              </w:rPr>
            </w:pPr>
          </w:p>
        </w:tc>
        <w:tc>
          <w:tcPr>
            <w:tcW w:w="3980" w:type="dxa"/>
            <w:vAlign w:val="bottom"/>
            <w:shd w:val="clear" w:color="auto" w:fill="D9D9D6"/>
          </w:tcPr>
          <w:p>
            <w:pPr>
              <w:spacing w:after="0"/>
              <w:rPr>
                <w:sz w:val="8"/>
                <w:szCs w:val="8"/>
                <w:color w:val="auto"/>
              </w:rPr>
            </w:pPr>
          </w:p>
        </w:tc>
        <w:tc>
          <w:tcPr>
            <w:tcW w:w="80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620" w:type="dxa"/>
            <w:vAlign w:val="bottom"/>
            <w:shd w:val="clear" w:color="auto" w:fill="D9D9D6"/>
          </w:tcPr>
          <w:p>
            <w:pPr>
              <w:spacing w:after="0"/>
              <w:rPr>
                <w:sz w:val="8"/>
                <w:szCs w:val="8"/>
                <w:color w:val="auto"/>
              </w:rPr>
            </w:pPr>
          </w:p>
        </w:tc>
        <w:tc>
          <w:tcPr>
            <w:tcW w:w="100" w:type="dxa"/>
            <w:vAlign w:val="bottom"/>
            <w:shd w:val="clear" w:color="auto" w:fill="D9D9D6"/>
          </w:tcPr>
          <w:p>
            <w:pPr>
              <w:spacing w:after="0"/>
              <w:rPr>
                <w:sz w:val="8"/>
                <w:szCs w:val="8"/>
                <w:color w:val="auto"/>
              </w:rPr>
            </w:pPr>
          </w:p>
        </w:tc>
        <w:tc>
          <w:tcPr>
            <w:tcW w:w="2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200" w:type="dxa"/>
            <w:vAlign w:val="bottom"/>
            <w:tcBorders>
              <w:right w:val="single" w:sz="8" w:color="D9D9D6"/>
            </w:tcBorders>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80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68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674" w:right="339" w:bottom="1440" w:gutter="0" w:footer="0" w:header="0"/>
        </w:sectPr>
      </w:pPr>
    </w:p>
    <w:bookmarkStart w:id="5" w:name="page6"/>
    <w:bookmarkEnd w:id="5"/>
    <w:p>
      <w:pPr>
        <w:jc w:val="both"/>
        <w:spacing w:after="0" w:line="21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7.4% to $16.1 billion in the third quarter of 2021, driven by increases in broadband, wireless,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services, video, other, and advertising revenue, partially offset by a decrease in voice revenue. In the prior year period, results were negatively impacted by accrued customer regional sports network (RSN) fee adjustments related to canceled sporting events as a result of COVID-19. Excluding the impact of accrued customer RSN fee adjustments in the prior year period</w:t>
      </w:r>
      <w:r>
        <w:rPr>
          <w:rFonts w:ascii="Arial" w:cs="Arial" w:eastAsia="Arial" w:hAnsi="Arial"/>
          <w:sz w:val="23"/>
          <w:szCs w:val="23"/>
          <w:color w:val="auto"/>
          <w:vertAlign w:val="superscript"/>
        </w:rPr>
        <w:t>5</w:t>
      </w:r>
      <w:r>
        <w:rPr>
          <w:rFonts w:ascii="Arial" w:cs="Arial" w:eastAsia="Arial" w:hAnsi="Arial"/>
          <w:sz w:val="18"/>
          <w:szCs w:val="18"/>
          <w:color w:val="auto"/>
        </w:rPr>
        <w:t>, Cable Communications revenue increased 6.3%. Broadband revenue increased 11.6% due to an increase in the number of residential broadband customers and an increase in average rates. Excluding the impact of accrued RSN fee adjustments in the prior year period for customers taking bundled services</w:t>
      </w:r>
      <w:r>
        <w:rPr>
          <w:rFonts w:ascii="Arial" w:cs="Arial" w:eastAsia="Arial" w:hAnsi="Arial"/>
          <w:sz w:val="23"/>
          <w:szCs w:val="23"/>
          <w:color w:val="auto"/>
          <w:vertAlign w:val="superscript"/>
        </w:rPr>
        <w:t>5</w:t>
      </w:r>
      <w:r>
        <w:rPr>
          <w:rFonts w:ascii="Arial" w:cs="Arial" w:eastAsia="Arial" w:hAnsi="Arial"/>
          <w:sz w:val="18"/>
          <w:szCs w:val="18"/>
          <w:color w:val="auto"/>
        </w:rPr>
        <w:t>, broadband revenue increased 10.5%. Wireless revenue increased 50.7% due to an increase in the number of customer lines and an increase in device sales. Business services revenue increased 8.7% due to an increase in average rates and an increase in the number of customers receiving our services compared to the prior year period, which were negatively impacted by COVID-19. Video revenue increased 1.4%, reflecting an increase in average rates, partially offset by a decrease in the number of residential video customers. Excluding the impact of accrued customer RSN fee adjustments in the prior year period</w:t>
      </w:r>
      <w:r>
        <w:rPr>
          <w:rFonts w:ascii="Arial" w:cs="Arial" w:eastAsia="Arial" w:hAnsi="Arial"/>
          <w:sz w:val="23"/>
          <w:szCs w:val="23"/>
          <w:color w:val="auto"/>
          <w:vertAlign w:val="superscript"/>
        </w:rPr>
        <w:t>5</w:t>
      </w:r>
      <w:r>
        <w:rPr>
          <w:rFonts w:ascii="Arial" w:cs="Arial" w:eastAsia="Arial" w:hAnsi="Arial"/>
          <w:sz w:val="18"/>
          <w:szCs w:val="18"/>
          <w:color w:val="auto"/>
        </w:rPr>
        <w:t>, video revenue was consistent with the prior year period. Other revenue increased 12.4%, primarily reflecting increases in revenue from our security and automation services and from licensing of our technology platforms. Advertising revenue increased 4.6%, reflecting an overall market recovery and higher revenue from our advanced advertising businesses, partially offset by a decrease in political advertising. Excluding political advertising revenue, advertising revenue increased 19.0%. Voice revenue decreased 2.9%, primarily reflecting a decrease in the number of residential voice customers.</w:t>
      </w:r>
    </w:p>
    <w:p>
      <w:pPr>
        <w:spacing w:after="0" w:line="21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the nine months ended September 30, 2021, Cable revenue increased 8.1% to $47.9 billion compared to 2020, driven by growth in broadband, wireless, business services, advertising, video, and other revenue, partially offset by a decrease in voice revenue. Excluding the impact of accrued customer RSN fee adjustments in 2020</w:t>
      </w:r>
      <w:r>
        <w:rPr>
          <w:rFonts w:ascii="Arial" w:cs="Arial" w:eastAsia="Arial" w:hAnsi="Arial"/>
          <w:sz w:val="23"/>
          <w:szCs w:val="23"/>
          <w:color w:val="auto"/>
          <w:vertAlign w:val="superscript"/>
        </w:rPr>
        <w:t>5</w:t>
      </w:r>
      <w:r>
        <w:rPr>
          <w:rFonts w:ascii="Arial" w:cs="Arial" w:eastAsia="Arial" w:hAnsi="Arial"/>
          <w:sz w:val="18"/>
          <w:szCs w:val="18"/>
          <w:color w:val="auto"/>
        </w:rPr>
        <w:t>, Cable Communications revenue increased 7.2%.</w:t>
      </w:r>
    </w:p>
    <w:p>
      <w:pPr>
        <w:spacing w:after="0" w:line="12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255,000 to 34.0 million in the third quarter of 2021.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237,000 and business customer relationships increased by 18,000. Total broadband customer net additions were 300,000, total video customer net losses were 408,000, and total voice customer net losses were 158,000. In addition, Cable Communications added 285,000 wireless lines in the quarter.</w:t>
      </w:r>
    </w:p>
    <w:p>
      <w:pPr>
        <w:spacing w:after="0" w:line="21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For the nine months ended September 30, 2021, total customer relationships increased by 930,000. Residential customer relationships increased by 884,000 and business customer relationships increased by 46,000. Total broadband customer net additions were 1.1 million, total video customer net losses were 1.3 million, and total voice customer net losses were 372,000. In addition, Cable Communications added 842,000 wireless lines in the current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7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360" w:type="dxa"/>
            <w:vAlign w:val="bottom"/>
            <w:tcBorders>
              <w:right w:val="single" w:sz="8" w:color="D9D9D6"/>
            </w:tcBorders>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40" w:type="dxa"/>
            <w:vAlign w:val="bottom"/>
            <w:tcBorders>
              <w:right w:val="single" w:sz="8" w:color="D9D9D6"/>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54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4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360" w:type="dxa"/>
            <w:vAlign w:val="bottom"/>
            <w:tcBorders>
              <w:right w:val="single" w:sz="8" w:color="D9D9D6"/>
            </w:tcBorders>
            <w:shd w:val="clear" w:color="auto" w:fill="D9D9D6"/>
          </w:tcPr>
          <w:p>
            <w:pPr>
              <w:spacing w:after="0"/>
              <w:rPr>
                <w:sz w:val="16"/>
                <w:szCs w:val="16"/>
                <w:color w:val="auto"/>
              </w:rPr>
            </w:pPr>
          </w:p>
        </w:tc>
        <w:tc>
          <w:tcPr>
            <w:tcW w:w="2260" w:type="dxa"/>
            <w:vAlign w:val="bottom"/>
            <w:gridSpan w:val="9"/>
            <w:shd w:val="clear" w:color="auto" w:fill="D9D9D6"/>
          </w:tcPr>
          <w:p>
            <w:pPr>
              <w:spacing w:after="0"/>
              <w:rPr>
                <w:sz w:val="20"/>
                <w:szCs w:val="20"/>
                <w:color w:val="auto"/>
              </w:rPr>
            </w:pPr>
            <w:r>
              <w:rPr>
                <w:rFonts w:ascii="Arial" w:cs="Arial" w:eastAsia="Arial" w:hAnsi="Arial"/>
                <w:sz w:val="14"/>
                <w:szCs w:val="14"/>
                <w:color w:val="auto"/>
              </w:rPr>
              <w:t>Net Additions / (Losses)</w:t>
            </w:r>
          </w:p>
        </w:tc>
        <w:tc>
          <w:tcPr>
            <w:tcW w:w="1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70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46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6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360" w:type="dxa"/>
            <w:vAlign w:val="bottom"/>
            <w:tcBorders>
              <w:right w:val="single" w:sz="8" w:color="auto"/>
            </w:tcBorders>
            <w:shd w:val="clear" w:color="auto" w:fill="D9D9D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470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36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460" w:type="dxa"/>
            <w:vAlign w:val="bottom"/>
            <w:shd w:val="clear" w:color="auto" w:fill="D9D9D6"/>
          </w:tcPr>
          <w:p>
            <w:pPr>
              <w:spacing w:after="0"/>
              <w:rPr>
                <w:sz w:val="14"/>
                <w:szCs w:val="14"/>
                <w:color w:val="auto"/>
              </w:rPr>
            </w:pPr>
          </w:p>
        </w:tc>
        <w:tc>
          <w:tcPr>
            <w:tcW w:w="360" w:type="dxa"/>
            <w:vAlign w:val="bottom"/>
            <w:shd w:val="clear" w:color="auto" w:fill="D9D9D6"/>
          </w:tcPr>
          <w:p>
            <w:pPr>
              <w:spacing w:after="0"/>
              <w:rPr>
                <w:sz w:val="14"/>
                <w:szCs w:val="14"/>
                <w:color w:val="auto"/>
              </w:rPr>
            </w:pPr>
          </w:p>
        </w:tc>
        <w:tc>
          <w:tcPr>
            <w:tcW w:w="6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1260" w:type="dxa"/>
            <w:vAlign w:val="bottom"/>
            <w:gridSpan w:val="7"/>
            <w:shd w:val="clear" w:color="auto" w:fill="D9D9D6"/>
          </w:tcPr>
          <w:p>
            <w:pPr>
              <w:jc w:val="right"/>
              <w:ind w:right="520"/>
              <w:spacing w:after="0"/>
              <w:rPr>
                <w:sz w:val="20"/>
                <w:szCs w:val="20"/>
                <w:color w:val="auto"/>
              </w:rPr>
            </w:pPr>
            <w:r>
              <w:rPr>
                <w:rFonts w:ascii="Arial" w:cs="Arial" w:eastAsia="Arial" w:hAnsi="Arial"/>
                <w:sz w:val="14"/>
                <w:szCs w:val="14"/>
                <w:color w:val="auto"/>
              </w:rPr>
              <w:t>3rd Quarter</w:t>
            </w:r>
          </w:p>
        </w:tc>
        <w:tc>
          <w:tcPr>
            <w:tcW w:w="240" w:type="dxa"/>
            <w:vAlign w:val="bottom"/>
            <w:tcBorders>
              <w:right w:val="single" w:sz="8" w:color="97999B"/>
            </w:tcBorders>
            <w:shd w:val="clear" w:color="auto" w:fill="D9D9D6"/>
          </w:tcPr>
          <w:p>
            <w:pPr>
              <w:spacing w:after="0"/>
              <w:rPr>
                <w:sz w:val="14"/>
                <w:szCs w:val="14"/>
                <w:color w:val="auto"/>
              </w:rPr>
            </w:pPr>
          </w:p>
        </w:tc>
        <w:tc>
          <w:tcPr>
            <w:tcW w:w="200" w:type="dxa"/>
            <w:vAlign w:val="bottom"/>
            <w:shd w:val="clear" w:color="auto" w:fill="D9D9D6"/>
          </w:tcPr>
          <w:p>
            <w:pPr>
              <w:spacing w:after="0"/>
              <w:rPr>
                <w:sz w:val="14"/>
                <w:szCs w:val="14"/>
                <w:color w:val="auto"/>
              </w:rPr>
            </w:pPr>
          </w:p>
        </w:tc>
        <w:tc>
          <w:tcPr>
            <w:tcW w:w="540" w:type="dxa"/>
            <w:vAlign w:val="bottom"/>
            <w:tcBorders>
              <w:right w:val="single" w:sz="8" w:color="D9D9D6"/>
            </w:tcBorders>
            <w:shd w:val="clear" w:color="auto" w:fill="D9D9D6"/>
          </w:tcPr>
          <w:p>
            <w:pPr>
              <w:spacing w:after="0"/>
              <w:rPr>
                <w:sz w:val="14"/>
                <w:szCs w:val="14"/>
                <w:color w:val="auto"/>
              </w:rPr>
            </w:pPr>
          </w:p>
        </w:tc>
        <w:tc>
          <w:tcPr>
            <w:tcW w:w="760" w:type="dxa"/>
            <w:vAlign w:val="bottom"/>
            <w:gridSpan w:val="3"/>
            <w:shd w:val="clear" w:color="auto" w:fill="D9D9D6"/>
          </w:tcPr>
          <w:p>
            <w:pPr>
              <w:spacing w:after="0"/>
              <w:rPr>
                <w:sz w:val="20"/>
                <w:szCs w:val="20"/>
                <w:color w:val="auto"/>
              </w:rPr>
            </w:pPr>
            <w:r>
              <w:rPr>
                <w:rFonts w:ascii="Arial" w:cs="Arial" w:eastAsia="Arial" w:hAnsi="Arial"/>
                <w:sz w:val="14"/>
                <w:szCs w:val="14"/>
                <w:color w:val="auto"/>
                <w:w w:val="94"/>
              </w:rPr>
              <w:t>Year to Date</w:t>
            </w:r>
          </w:p>
        </w:tc>
        <w:tc>
          <w:tcPr>
            <w:tcW w:w="1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Borders>
              <w:top w:val="single" w:sz="8" w:color="D9D9D6"/>
            </w:tcBorders>
            <w:shd w:val="clear" w:color="auto" w:fill="D9D9D6"/>
          </w:tcPr>
          <w:p>
            <w:pPr>
              <w:spacing w:after="0"/>
              <w:rPr>
                <w:sz w:val="14"/>
                <w:szCs w:val="14"/>
                <w:color w:val="auto"/>
              </w:rPr>
            </w:pPr>
          </w:p>
        </w:tc>
        <w:tc>
          <w:tcPr>
            <w:tcW w:w="4700" w:type="dxa"/>
            <w:vAlign w:val="bottom"/>
            <w:tcBorders>
              <w:top w:val="single" w:sz="8" w:color="D9D9D6"/>
            </w:tcBorders>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4"/>
                <w:szCs w:val="14"/>
                <w:color w:val="auto"/>
              </w:rPr>
            </w:pPr>
          </w:p>
        </w:tc>
        <w:tc>
          <w:tcPr>
            <w:tcW w:w="38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3Q21</w:t>
            </w:r>
          </w:p>
        </w:tc>
        <w:tc>
          <w:tcPr>
            <w:tcW w:w="880" w:type="dxa"/>
            <w:vAlign w:val="bottom"/>
            <w:tcBorders>
              <w:top w:val="single" w:sz="8" w:color="D9D9D6"/>
            </w:tcBorders>
            <w:gridSpan w:val="3"/>
            <w:shd w:val="clear" w:color="auto" w:fill="D9D9D6"/>
          </w:tcPr>
          <w:p>
            <w:pPr>
              <w:jc w:val="right"/>
              <w:spacing w:after="0" w:line="169" w:lineRule="exact"/>
              <w:rPr>
                <w:sz w:val="20"/>
                <w:szCs w:val="20"/>
                <w:color w:val="auto"/>
              </w:rPr>
            </w:pPr>
            <w:r>
              <w:rPr>
                <w:rFonts w:ascii="Arial" w:cs="Arial" w:eastAsia="Arial" w:hAnsi="Arial"/>
                <w:sz w:val="14"/>
                <w:szCs w:val="14"/>
                <w:color w:val="auto"/>
              </w:rPr>
              <w:t>3Q20</w:t>
            </w:r>
            <w:r>
              <w:rPr>
                <w:rFonts w:ascii="Arial" w:cs="Arial" w:eastAsia="Arial" w:hAnsi="Arial"/>
                <w:sz w:val="18"/>
                <w:szCs w:val="18"/>
                <w:u w:val="single" w:color="auto"/>
                <w:color w:val="auto"/>
                <w:vertAlign w:val="superscript"/>
              </w:rPr>
              <w:t>6</w:t>
            </w:r>
          </w:p>
        </w:tc>
        <w:tc>
          <w:tcPr>
            <w:tcW w:w="1040" w:type="dxa"/>
            <w:vAlign w:val="bottom"/>
            <w:tcBorders>
              <w:top w:val="single" w:sz="8" w:color="D9D9D6"/>
            </w:tcBorders>
            <w:gridSpan w:val="2"/>
            <w:shd w:val="clear" w:color="auto" w:fill="D9D9D6"/>
          </w:tcPr>
          <w:p>
            <w:pPr>
              <w:spacing w:after="0"/>
              <w:rPr>
                <w:sz w:val="14"/>
                <w:szCs w:val="14"/>
                <w:color w:val="auto"/>
              </w:rPr>
            </w:pPr>
          </w:p>
        </w:tc>
        <w:tc>
          <w:tcPr>
            <w:tcW w:w="380" w:type="dxa"/>
            <w:vAlign w:val="bottom"/>
            <w:tcBorders>
              <w:top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360" w:type="dxa"/>
            <w:vAlign w:val="bottom"/>
            <w:tcBorders>
              <w:top w:val="single" w:sz="8" w:color="auto"/>
              <w:right w:val="single" w:sz="8" w:color="D9D9D6"/>
            </w:tcBorders>
            <w:shd w:val="clear" w:color="auto" w:fill="D9D9D6"/>
          </w:tcPr>
          <w:p>
            <w:pPr>
              <w:spacing w:after="0"/>
              <w:rPr>
                <w:sz w:val="14"/>
                <w:szCs w:val="14"/>
                <w:color w:val="auto"/>
              </w:rPr>
            </w:pPr>
          </w:p>
        </w:tc>
        <w:tc>
          <w:tcPr>
            <w:tcW w:w="52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240" w:type="dxa"/>
            <w:vAlign w:val="bottom"/>
            <w:tcBorders>
              <w:top w:val="single" w:sz="8" w:color="D9D9D6"/>
              <w:right w:val="single" w:sz="8" w:color="97999B"/>
            </w:tcBorders>
            <w:shd w:val="clear" w:color="auto" w:fill="D9D9D6"/>
          </w:tcPr>
          <w:p>
            <w:pPr>
              <w:spacing w:after="0"/>
              <w:rPr>
                <w:sz w:val="14"/>
                <w:szCs w:val="14"/>
                <w:color w:val="auto"/>
              </w:rPr>
            </w:pPr>
          </w:p>
        </w:tc>
        <w:tc>
          <w:tcPr>
            <w:tcW w:w="740" w:type="dxa"/>
            <w:vAlign w:val="bottom"/>
            <w:tcBorders>
              <w:top w:val="single" w:sz="8" w:color="D9D9D6"/>
              <w:right w:val="single" w:sz="8" w:color="D9D9D6"/>
            </w:tcBorders>
            <w:gridSpan w:val="2"/>
            <w:shd w:val="clear" w:color="auto" w:fill="D9D9D6"/>
          </w:tcPr>
          <w:p>
            <w:pPr>
              <w:spacing w:after="0"/>
              <w:rPr>
                <w:sz w:val="14"/>
                <w:szCs w:val="14"/>
                <w:color w:val="auto"/>
              </w:rPr>
            </w:pPr>
          </w:p>
        </w:tc>
        <w:tc>
          <w:tcPr>
            <w:tcW w:w="740" w:type="dxa"/>
            <w:vAlign w:val="bottom"/>
            <w:tcBorders>
              <w:top w:val="single" w:sz="8" w:color="auto"/>
            </w:tcBorders>
            <w:gridSpan w:val="2"/>
            <w:shd w:val="clear" w:color="auto" w:fill="D9D9D6"/>
          </w:tcPr>
          <w:p>
            <w:pPr>
              <w:jc w:val="right"/>
              <w:ind w:right="420"/>
              <w:spacing w:after="0"/>
              <w:rPr>
                <w:sz w:val="20"/>
                <w:szCs w:val="20"/>
                <w:color w:val="auto"/>
              </w:rPr>
            </w:pPr>
            <w:r>
              <w:rPr>
                <w:rFonts w:ascii="Arial" w:cs="Arial" w:eastAsia="Arial" w:hAnsi="Arial"/>
                <w:sz w:val="14"/>
                <w:szCs w:val="14"/>
                <w:color w:val="auto"/>
                <w:w w:val="96"/>
              </w:rPr>
              <w:t>2021</w:t>
            </w:r>
          </w:p>
        </w:tc>
        <w:tc>
          <w:tcPr>
            <w:tcW w:w="20" w:type="dxa"/>
            <w:vAlign w:val="bottom"/>
            <w:tcBorders>
              <w:top w:val="single" w:sz="8" w:color="D9D9D6"/>
            </w:tcBorders>
            <w:shd w:val="clear" w:color="auto" w:fill="D9D9D6"/>
          </w:tcPr>
          <w:p>
            <w:pPr>
              <w:spacing w:after="0"/>
              <w:rPr>
                <w:sz w:val="14"/>
                <w:szCs w:val="14"/>
                <w:color w:val="auto"/>
              </w:rPr>
            </w:pPr>
          </w:p>
        </w:tc>
        <w:tc>
          <w:tcPr>
            <w:tcW w:w="48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D9D9D6"/>
            </w:tcBorders>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4700" w:type="dxa"/>
            <w:vAlign w:val="bottom"/>
            <w:tcBorders>
              <w:top w:val="single" w:sz="8" w:color="D9D9D6"/>
            </w:tcBorders>
            <w:vMerge w:val="continue"/>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D9D9D6"/>
              <w:right w:val="single" w:sz="8" w:color="D9D9D6"/>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40" w:type="dxa"/>
            <w:vAlign w:val="bottom"/>
            <w:tcBorders>
              <w:top w:val="single" w:sz="8" w:color="D9D9D6"/>
              <w:right w:val="single" w:sz="8" w:color="97999B"/>
            </w:tcBorders>
            <w:shd w:val="clear" w:color="auto" w:fill="D9D9D6"/>
          </w:tcPr>
          <w:p>
            <w:pPr>
              <w:spacing w:after="0"/>
              <w:rPr>
                <w:sz w:val="17"/>
                <w:szCs w:val="17"/>
                <w:color w:val="auto"/>
              </w:rPr>
            </w:pPr>
          </w:p>
        </w:tc>
        <w:tc>
          <w:tcPr>
            <w:tcW w:w="20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right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42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31,576</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30,263</w:t>
            </w:r>
          </w:p>
        </w:tc>
        <w:tc>
          <w:tcPr>
            <w:tcW w:w="5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237</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539</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884</w:t>
            </w:r>
          </w:p>
        </w:tc>
        <w:tc>
          <w:tcPr>
            <w:tcW w:w="4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1,140</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7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Customer Relationships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2,473</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2,401</w:t>
            </w:r>
          </w:p>
        </w:tc>
        <w:tc>
          <w:tcPr>
            <w:tcW w:w="520" w:type="dxa"/>
            <w:vAlign w:val="bottom"/>
            <w:tcBorders>
              <w:bottom w:val="single" w:sz="8" w:color="D9D9D6"/>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18</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17</w:t>
            </w:r>
          </w:p>
        </w:tc>
        <w:tc>
          <w:tcPr>
            <w:tcW w:w="20" w:type="dxa"/>
            <w:vAlign w:val="bottom"/>
            <w:tcBorders>
              <w:bottom w:val="single" w:sz="8" w:color="auto"/>
            </w:tcBorders>
            <w:shd w:val="clear" w:color="auto" w:fill="D9D9D6"/>
          </w:tcPr>
          <w:p>
            <w:pPr>
              <w:spacing w:after="0"/>
              <w:rPr>
                <w:sz w:val="16"/>
                <w:szCs w:val="16"/>
                <w:color w:val="auto"/>
              </w:rPr>
            </w:pPr>
          </w:p>
        </w:tc>
        <w:tc>
          <w:tcPr>
            <w:tcW w:w="240" w:type="dxa"/>
            <w:vAlign w:val="bottom"/>
            <w:tcBorders>
              <w:bottom w:val="single" w:sz="8" w:color="D9D9D6"/>
              <w:right w:val="single" w:sz="8" w:color="97999B"/>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46</w:t>
            </w:r>
          </w:p>
        </w:tc>
        <w:tc>
          <w:tcPr>
            <w:tcW w:w="420" w:type="dxa"/>
            <w:vAlign w:val="bottom"/>
            <w:tcBorders>
              <w:bottom w:val="single" w:sz="8" w:color="auto"/>
            </w:tcBorders>
            <w:shd w:val="clear" w:color="auto" w:fill="D9D9D6"/>
          </w:tcPr>
          <w:p>
            <w:pPr>
              <w:spacing w:after="0"/>
              <w:rPr>
                <w:sz w:val="16"/>
                <w:szCs w:val="16"/>
                <w:color w:val="auto"/>
              </w:rPr>
            </w:pPr>
          </w:p>
        </w:tc>
        <w:tc>
          <w:tcPr>
            <w:tcW w:w="20" w:type="dxa"/>
            <w:vAlign w:val="bottom"/>
            <w:tcBorders>
              <w:bottom w:val="single" w:sz="8" w:color="auto"/>
            </w:tcBorders>
            <w:shd w:val="clear" w:color="auto" w:fill="D9D9D6"/>
          </w:tcPr>
          <w:p>
            <w:pPr>
              <w:spacing w:after="0"/>
              <w:rPr>
                <w:sz w:val="16"/>
                <w:szCs w:val="16"/>
                <w:color w:val="auto"/>
              </w:rPr>
            </w:pPr>
          </w:p>
        </w:tc>
        <w:tc>
          <w:tcPr>
            <w:tcW w:w="4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34,048</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32,664</w:t>
            </w:r>
          </w:p>
        </w:tc>
        <w:tc>
          <w:tcPr>
            <w:tcW w:w="5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255</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556</w:t>
            </w:r>
          </w:p>
        </w:tc>
        <w:tc>
          <w:tcPr>
            <w:tcW w:w="20" w:type="dxa"/>
            <w:vAlign w:val="bottom"/>
            <w:shd w:val="clear" w:color="auto" w:fill="D9D9D6"/>
          </w:tcPr>
          <w:p>
            <w:pPr>
              <w:spacing w:after="0"/>
              <w:rPr>
                <w:sz w:val="15"/>
                <w:szCs w:val="15"/>
                <w:color w:val="auto"/>
              </w:rPr>
            </w:pPr>
          </w:p>
        </w:tc>
        <w:tc>
          <w:tcPr>
            <w:tcW w:w="240" w:type="dxa"/>
            <w:vAlign w:val="bottom"/>
            <w:tcBorders>
              <w:right w:val="single" w:sz="8" w:color="97999B"/>
            </w:tcBorders>
            <w:shd w:val="clear" w:color="auto" w:fill="D9D9D6"/>
          </w:tcPr>
          <w:p>
            <w:pPr>
              <w:spacing w:after="0"/>
              <w:rPr>
                <w:sz w:val="15"/>
                <w:szCs w:val="15"/>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930</w:t>
            </w:r>
          </w:p>
        </w:tc>
        <w:tc>
          <w:tcPr>
            <w:tcW w:w="4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4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1,144</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Residential Customer Relationships Mix</w:t>
            </w: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60" w:type="dxa"/>
            <w:vAlign w:val="bottom"/>
            <w:tcBorders>
              <w:right w:val="single" w:sz="8" w:color="D9D9D6"/>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540" w:type="dxa"/>
            <w:vAlign w:val="bottom"/>
            <w:tcBorders>
              <w:right w:val="single" w:sz="8" w:color="D9D9D6"/>
            </w:tcBorders>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One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13,959</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11,931</w:t>
            </w:r>
          </w:p>
        </w:tc>
        <w:tc>
          <w:tcPr>
            <w:tcW w:w="5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481</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625</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1,551</w:t>
            </w:r>
          </w:p>
        </w:tc>
        <w:tc>
          <w:tcPr>
            <w:tcW w:w="4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1,710</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Two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8,473</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8,732</w:t>
            </w:r>
          </w:p>
        </w:tc>
        <w:tc>
          <w:tcPr>
            <w:tcW w:w="5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(89)</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(261)</w:t>
            </w:r>
          </w:p>
        </w:tc>
        <w:tc>
          <w:tcPr>
            <w:tcW w:w="4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(191)</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Three or More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9,144</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9,600</w:t>
            </w:r>
          </w:p>
        </w:tc>
        <w:tc>
          <w:tcPr>
            <w:tcW w:w="5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(156)</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(77)</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(406)</w:t>
            </w:r>
          </w:p>
        </w:tc>
        <w:tc>
          <w:tcPr>
            <w:tcW w:w="4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(379)</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Broadband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29,389</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27,811</w:t>
            </w:r>
          </w:p>
        </w:tc>
        <w:tc>
          <w:tcPr>
            <w:tcW w:w="5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281</w:t>
            </w:r>
          </w:p>
        </w:tc>
        <w:tc>
          <w:tcPr>
            <w:tcW w:w="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617</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1,063</w:t>
            </w:r>
          </w:p>
        </w:tc>
        <w:tc>
          <w:tcPr>
            <w:tcW w:w="4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1,423</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7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Broadband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2,300</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2,225</w:t>
            </w:r>
          </w:p>
        </w:tc>
        <w:tc>
          <w:tcPr>
            <w:tcW w:w="520" w:type="dxa"/>
            <w:vAlign w:val="bottom"/>
            <w:tcBorders>
              <w:bottom w:val="single" w:sz="8" w:color="D9D9D6"/>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19</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auto"/>
            </w:tcBorders>
            <w:shd w:val="clear" w:color="auto" w:fill="D9D9D6"/>
          </w:tcPr>
          <w:p>
            <w:pPr>
              <w:spacing w:after="0"/>
              <w:rPr>
                <w:sz w:val="16"/>
                <w:szCs w:val="16"/>
                <w:color w:val="auto"/>
              </w:rPr>
            </w:pPr>
          </w:p>
        </w:tc>
        <w:tc>
          <w:tcPr>
            <w:tcW w:w="240" w:type="dxa"/>
            <w:vAlign w:val="bottom"/>
            <w:tcBorders>
              <w:bottom w:val="single" w:sz="8" w:color="D9D9D6"/>
              <w:right w:val="single" w:sz="8" w:color="97999B"/>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52</w:t>
            </w:r>
          </w:p>
        </w:tc>
        <w:tc>
          <w:tcPr>
            <w:tcW w:w="420" w:type="dxa"/>
            <w:vAlign w:val="bottom"/>
            <w:tcBorders>
              <w:bottom w:val="single" w:sz="8" w:color="auto"/>
            </w:tcBorders>
            <w:shd w:val="clear" w:color="auto" w:fill="D9D9D6"/>
          </w:tcPr>
          <w:p>
            <w:pPr>
              <w:spacing w:after="0"/>
              <w:rPr>
                <w:sz w:val="16"/>
                <w:szCs w:val="16"/>
                <w:color w:val="auto"/>
              </w:rPr>
            </w:pPr>
          </w:p>
        </w:tc>
        <w:tc>
          <w:tcPr>
            <w:tcW w:w="20" w:type="dxa"/>
            <w:vAlign w:val="bottom"/>
            <w:tcBorders>
              <w:bottom w:val="single" w:sz="8" w:color="auto"/>
            </w:tcBorders>
            <w:shd w:val="clear" w:color="auto" w:fill="D9D9D6"/>
          </w:tcPr>
          <w:p>
            <w:pPr>
              <w:spacing w:after="0"/>
              <w:rPr>
                <w:sz w:val="16"/>
                <w:szCs w:val="16"/>
                <w:color w:val="auto"/>
              </w:rPr>
            </w:pPr>
          </w:p>
        </w:tc>
        <w:tc>
          <w:tcPr>
            <w:tcW w:w="4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Broadband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31,688</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30,036</w:t>
            </w:r>
          </w:p>
        </w:tc>
        <w:tc>
          <w:tcPr>
            <w:tcW w:w="5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300</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633</w:t>
            </w:r>
          </w:p>
        </w:tc>
        <w:tc>
          <w:tcPr>
            <w:tcW w:w="20" w:type="dxa"/>
            <w:vAlign w:val="bottom"/>
            <w:shd w:val="clear" w:color="auto" w:fill="D9D9D6"/>
          </w:tcPr>
          <w:p>
            <w:pPr>
              <w:spacing w:after="0"/>
              <w:rPr>
                <w:sz w:val="15"/>
                <w:szCs w:val="15"/>
                <w:color w:val="auto"/>
              </w:rPr>
            </w:pPr>
          </w:p>
        </w:tc>
        <w:tc>
          <w:tcPr>
            <w:tcW w:w="240" w:type="dxa"/>
            <w:vAlign w:val="bottom"/>
            <w:tcBorders>
              <w:right w:val="single" w:sz="8" w:color="97999B"/>
            </w:tcBorders>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1,115</w:t>
            </w:r>
          </w:p>
        </w:tc>
        <w:tc>
          <w:tcPr>
            <w:tcW w:w="4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4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1,433</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17,844</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19,220</w:t>
            </w:r>
          </w:p>
        </w:tc>
        <w:tc>
          <w:tcPr>
            <w:tcW w:w="5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(382)</w:t>
            </w:r>
          </w:p>
        </w:tc>
        <w:tc>
          <w:tcPr>
            <w:tcW w:w="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(253)</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(1,149)</w:t>
            </w:r>
          </w:p>
        </w:tc>
        <w:tc>
          <w:tcPr>
            <w:tcW w:w="4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w w:val="99"/>
              </w:rPr>
              <w:t>(1,068)</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7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Video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705</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874</w:t>
            </w:r>
          </w:p>
        </w:tc>
        <w:tc>
          <w:tcPr>
            <w:tcW w:w="520" w:type="dxa"/>
            <w:vAlign w:val="bottom"/>
            <w:tcBorders>
              <w:bottom w:val="single" w:sz="8" w:color="D9D9D6"/>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auto"/>
            </w:tcBorders>
            <w:shd w:val="clear" w:color="auto" w:fill="D9D9D6"/>
          </w:tcPr>
          <w:p>
            <w:pPr>
              <w:spacing w:after="0"/>
              <w:rPr>
                <w:sz w:val="16"/>
                <w:szCs w:val="16"/>
                <w:color w:val="auto"/>
              </w:rPr>
            </w:pPr>
          </w:p>
        </w:tc>
        <w:tc>
          <w:tcPr>
            <w:tcW w:w="240" w:type="dxa"/>
            <w:vAlign w:val="bottom"/>
            <w:tcBorders>
              <w:bottom w:val="single" w:sz="8" w:color="D9D9D6"/>
              <w:right w:val="single" w:sz="8" w:color="97999B"/>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(147)</w:t>
            </w:r>
          </w:p>
        </w:tc>
        <w:tc>
          <w:tcPr>
            <w:tcW w:w="420" w:type="dxa"/>
            <w:vAlign w:val="bottom"/>
            <w:tcBorders>
              <w:bottom w:val="single" w:sz="8" w:color="auto"/>
            </w:tcBorders>
            <w:shd w:val="clear" w:color="auto" w:fill="D9D9D6"/>
          </w:tcPr>
          <w:p>
            <w:pPr>
              <w:spacing w:after="0"/>
              <w:rPr>
                <w:sz w:val="16"/>
                <w:szCs w:val="16"/>
                <w:color w:val="auto"/>
              </w:rPr>
            </w:pPr>
          </w:p>
        </w:tc>
        <w:tc>
          <w:tcPr>
            <w:tcW w:w="20" w:type="dxa"/>
            <w:vAlign w:val="bottom"/>
            <w:tcBorders>
              <w:bottom w:val="single" w:sz="8" w:color="auto"/>
            </w:tcBorders>
            <w:shd w:val="clear" w:color="auto" w:fill="D9D9D6"/>
          </w:tcPr>
          <w:p>
            <w:pPr>
              <w:spacing w:after="0"/>
              <w:rPr>
                <w:sz w:val="16"/>
                <w:szCs w:val="16"/>
                <w:color w:val="auto"/>
              </w:rPr>
            </w:pPr>
          </w:p>
        </w:tc>
        <w:tc>
          <w:tcPr>
            <w:tcW w:w="4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(92)</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18,549</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20,094</w:t>
            </w:r>
          </w:p>
        </w:tc>
        <w:tc>
          <w:tcPr>
            <w:tcW w:w="5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(408)</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(273)</w:t>
            </w:r>
          </w:p>
        </w:tc>
        <w:tc>
          <w:tcPr>
            <w:tcW w:w="20" w:type="dxa"/>
            <w:vAlign w:val="bottom"/>
            <w:shd w:val="clear" w:color="auto" w:fill="D9D9D6"/>
          </w:tcPr>
          <w:p>
            <w:pPr>
              <w:spacing w:after="0"/>
              <w:rPr>
                <w:sz w:val="15"/>
                <w:szCs w:val="15"/>
                <w:color w:val="auto"/>
              </w:rPr>
            </w:pPr>
          </w:p>
        </w:tc>
        <w:tc>
          <w:tcPr>
            <w:tcW w:w="240" w:type="dxa"/>
            <w:vAlign w:val="bottom"/>
            <w:tcBorders>
              <w:right w:val="single" w:sz="8" w:color="97999B"/>
            </w:tcBorders>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(1,297)</w:t>
            </w:r>
          </w:p>
        </w:tc>
        <w:tc>
          <w:tcPr>
            <w:tcW w:w="4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4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w w:val="99"/>
              </w:rPr>
              <w:t>(1,160)</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9,245</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9,684</w:t>
            </w:r>
          </w:p>
        </w:tc>
        <w:tc>
          <w:tcPr>
            <w:tcW w:w="5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(167)</w:t>
            </w:r>
          </w:p>
        </w:tc>
        <w:tc>
          <w:tcPr>
            <w:tcW w:w="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(14)</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(400)</w:t>
            </w:r>
          </w:p>
        </w:tc>
        <w:tc>
          <w:tcPr>
            <w:tcW w:w="4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(250)</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7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Voice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1,384</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1,341</w:t>
            </w:r>
          </w:p>
        </w:tc>
        <w:tc>
          <w:tcPr>
            <w:tcW w:w="520" w:type="dxa"/>
            <w:vAlign w:val="bottom"/>
            <w:tcBorders>
              <w:bottom w:val="single" w:sz="8" w:color="D9D9D6"/>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D9D9D6"/>
          </w:tcPr>
          <w:p>
            <w:pPr>
              <w:spacing w:after="0"/>
              <w:rPr>
                <w:sz w:val="16"/>
                <w:szCs w:val="16"/>
                <w:color w:val="auto"/>
              </w:rPr>
            </w:pPr>
          </w:p>
        </w:tc>
        <w:tc>
          <w:tcPr>
            <w:tcW w:w="240" w:type="dxa"/>
            <w:vAlign w:val="bottom"/>
            <w:tcBorders>
              <w:bottom w:val="single" w:sz="8" w:color="D9D9D6"/>
              <w:right w:val="single" w:sz="8" w:color="97999B"/>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28</w:t>
            </w:r>
          </w:p>
        </w:tc>
        <w:tc>
          <w:tcPr>
            <w:tcW w:w="420" w:type="dxa"/>
            <w:vAlign w:val="bottom"/>
            <w:tcBorders>
              <w:bottom w:val="single" w:sz="8" w:color="auto"/>
            </w:tcBorders>
            <w:shd w:val="clear" w:color="auto" w:fill="D9D9D6"/>
          </w:tcPr>
          <w:p>
            <w:pPr>
              <w:spacing w:after="0"/>
              <w:rPr>
                <w:sz w:val="16"/>
                <w:szCs w:val="16"/>
                <w:color w:val="auto"/>
              </w:rPr>
            </w:pPr>
          </w:p>
        </w:tc>
        <w:tc>
          <w:tcPr>
            <w:tcW w:w="20" w:type="dxa"/>
            <w:vAlign w:val="bottom"/>
            <w:tcBorders>
              <w:bottom w:val="single" w:sz="8" w:color="auto"/>
            </w:tcBorders>
            <w:shd w:val="clear" w:color="auto" w:fill="D9D9D6"/>
          </w:tcPr>
          <w:p>
            <w:pPr>
              <w:spacing w:after="0"/>
              <w:rPr>
                <w:sz w:val="16"/>
                <w:szCs w:val="16"/>
                <w:color w:val="auto"/>
              </w:rPr>
            </w:pPr>
          </w:p>
        </w:tc>
        <w:tc>
          <w:tcPr>
            <w:tcW w:w="4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10,630</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11,025</w:t>
            </w:r>
          </w:p>
        </w:tc>
        <w:tc>
          <w:tcPr>
            <w:tcW w:w="5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(158)</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w:t>
            </w:r>
          </w:p>
        </w:tc>
        <w:tc>
          <w:tcPr>
            <w:tcW w:w="20" w:type="dxa"/>
            <w:vAlign w:val="bottom"/>
            <w:shd w:val="clear" w:color="auto" w:fill="D9D9D6"/>
          </w:tcPr>
          <w:p>
            <w:pPr>
              <w:spacing w:after="0"/>
              <w:rPr>
                <w:sz w:val="15"/>
                <w:szCs w:val="15"/>
                <w:color w:val="auto"/>
              </w:rPr>
            </w:pPr>
          </w:p>
        </w:tc>
        <w:tc>
          <w:tcPr>
            <w:tcW w:w="240" w:type="dxa"/>
            <w:vAlign w:val="bottom"/>
            <w:tcBorders>
              <w:right w:val="single" w:sz="8" w:color="97999B"/>
            </w:tcBorders>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(372)</w:t>
            </w:r>
          </w:p>
        </w:tc>
        <w:tc>
          <w:tcPr>
            <w:tcW w:w="4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4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(251)</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 w:type="dxa"/>
            <w:vAlign w:val="bottom"/>
            <w:tcBorders>
              <w:bottom w:val="single" w:sz="8" w:color="D9D9D6"/>
            </w:tcBorders>
            <w:shd w:val="clear" w:color="auto" w:fill="D9D9D6"/>
          </w:tcPr>
          <w:p>
            <w:pPr>
              <w:spacing w:after="0"/>
              <w:rPr>
                <w:sz w:val="24"/>
                <w:szCs w:val="24"/>
                <w:color w:val="auto"/>
              </w:rPr>
            </w:pPr>
          </w:p>
        </w:tc>
        <w:tc>
          <w:tcPr>
            <w:tcW w:w="47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Total Wireless Lines</w:t>
            </w:r>
          </w:p>
        </w:tc>
        <w:tc>
          <w:tcPr>
            <w:tcW w:w="8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3,668</w:t>
            </w:r>
          </w:p>
        </w:tc>
        <w:tc>
          <w:tcPr>
            <w:tcW w:w="2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2,580</w:t>
            </w:r>
          </w:p>
        </w:tc>
        <w:tc>
          <w:tcPr>
            <w:tcW w:w="52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285</w:t>
            </w:r>
          </w:p>
        </w:tc>
        <w:tc>
          <w:tcPr>
            <w:tcW w:w="20" w:type="dxa"/>
            <w:vAlign w:val="bottom"/>
            <w:tcBorders>
              <w:bottom w:val="single" w:sz="8" w:color="D9D9D6"/>
            </w:tcBorders>
            <w:shd w:val="clear" w:color="auto" w:fill="D9D9D6"/>
          </w:tcPr>
          <w:p>
            <w:pPr>
              <w:spacing w:after="0"/>
              <w:rPr>
                <w:sz w:val="24"/>
                <w:szCs w:val="24"/>
                <w:color w:val="auto"/>
              </w:rPr>
            </w:pPr>
          </w:p>
        </w:tc>
        <w:tc>
          <w:tcPr>
            <w:tcW w:w="860" w:type="dxa"/>
            <w:vAlign w:val="bottom"/>
            <w:tcBorders>
              <w:bottom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187</w:t>
            </w:r>
          </w:p>
        </w:tc>
        <w:tc>
          <w:tcPr>
            <w:tcW w:w="20" w:type="dxa"/>
            <w:vAlign w:val="bottom"/>
            <w:tcBorders>
              <w:bottom w:val="single" w:sz="8" w:color="D9D9D6"/>
            </w:tcBorders>
            <w:shd w:val="clear" w:color="auto" w:fill="D9D9D6"/>
          </w:tcPr>
          <w:p>
            <w:pPr>
              <w:spacing w:after="0"/>
              <w:rPr>
                <w:sz w:val="24"/>
                <w:szCs w:val="24"/>
                <w:color w:val="auto"/>
              </w:rPr>
            </w:pPr>
          </w:p>
        </w:tc>
        <w:tc>
          <w:tcPr>
            <w:tcW w:w="240" w:type="dxa"/>
            <w:vAlign w:val="bottom"/>
            <w:tcBorders>
              <w:bottom w:val="single" w:sz="8" w:color="D9D9D6"/>
              <w:right w:val="single" w:sz="8" w:color="97999B"/>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86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842</w:t>
            </w:r>
          </w:p>
        </w:tc>
        <w:tc>
          <w:tcPr>
            <w:tcW w:w="420" w:type="dxa"/>
            <w:vAlign w:val="bottom"/>
            <w:tcBorders>
              <w:bottom w:val="single" w:sz="8" w:color="D9D9D6"/>
            </w:tcBorders>
            <w:shd w:val="clear" w:color="auto" w:fill="D9D9D6"/>
          </w:tcPr>
          <w:p>
            <w:pPr>
              <w:spacing w:after="0"/>
              <w:rPr>
                <w:sz w:val="24"/>
                <w:szCs w:val="24"/>
                <w:color w:val="auto"/>
              </w:rPr>
            </w:pPr>
          </w:p>
        </w:tc>
        <w:tc>
          <w:tcPr>
            <w:tcW w:w="20" w:type="dxa"/>
            <w:vAlign w:val="bottom"/>
            <w:tcBorders>
              <w:bottom w:val="single" w:sz="8" w:color="D9D9D6"/>
            </w:tcBorders>
            <w:shd w:val="clear" w:color="auto" w:fill="D9D9D6"/>
          </w:tcPr>
          <w:p>
            <w:pPr>
              <w:spacing w:after="0"/>
              <w:rPr>
                <w:sz w:val="24"/>
                <w:szCs w:val="24"/>
                <w:color w:val="auto"/>
              </w:rPr>
            </w:pPr>
          </w:p>
        </w:tc>
        <w:tc>
          <w:tcPr>
            <w:tcW w:w="46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528</w:t>
            </w:r>
          </w:p>
        </w:tc>
        <w:tc>
          <w:tcPr>
            <w:tcW w:w="20" w:type="dxa"/>
            <w:vAlign w:val="bottom"/>
            <w:tcBorders>
              <w:bottom w:val="single" w:sz="8" w:color="D9D9D6"/>
            </w:tcBorders>
            <w:shd w:val="clear" w:color="auto" w:fill="D9D9D6"/>
          </w:tcPr>
          <w:p>
            <w:pPr>
              <w:spacing w:after="0"/>
              <w:rPr>
                <w:sz w:val="24"/>
                <w:szCs w:val="24"/>
                <w:color w:val="auto"/>
              </w:rPr>
            </w:pPr>
          </w:p>
        </w:tc>
        <w:tc>
          <w:tcPr>
            <w:tcW w:w="120" w:type="dxa"/>
            <w:vAlign w:val="bottom"/>
            <w:tcBorders>
              <w:bottom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10.3% to $7.1 billion in the third quarter of 2021,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5.3% increase in operating expenses. In the prior year period, total operating expenses benefited from adjustments for provisions in our programming distribution agreements with RSNs related to canceled sporting events as a result of COVID-19. In the third quarter of 2021, programming costs increased 7.6%, including the effects of the adjustment provisions in the prior year period. Excluding these adjustments</w:t>
      </w:r>
      <w:r>
        <w:rPr>
          <w:rFonts w:ascii="Arial" w:cs="Arial" w:eastAsia="Arial" w:hAnsi="Arial"/>
          <w:sz w:val="23"/>
          <w:szCs w:val="23"/>
          <w:color w:val="auto"/>
          <w:vertAlign w:val="superscript"/>
        </w:rPr>
        <w:t>5</w:t>
      </w:r>
      <w:r>
        <w:rPr>
          <w:rFonts w:ascii="Arial" w:cs="Arial" w:eastAsia="Arial" w:hAnsi="Arial"/>
          <w:sz w:val="18"/>
          <w:szCs w:val="18"/>
          <w:color w:val="auto"/>
        </w:rPr>
        <w:t>, programming costs increased 2.8%, reflecting the timing of contract renewals, partially offset by a decline in the number of video subscribers. Non-programming expenses increased 3.9%, primarily reflecting higher technical and product support expenses and advertising, marketing and promotion expenses, partially offset by lower other expenses and customer service expenses. Non-programming expenses per customer relationship decreased 0.8%. Adjusted EBITDA per customer relationship increased 5.3%, and Adjusted EBITDA margin was 43.9% compared to 42.7% in the prior year period. While the accrued RSN adjustments did not impact Adjusted EBITDA in the prior year period, they resulted in an increase to Adjusted EBITDA margin in that period. Cable Communications results include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of $51 million from our wireless business, compared to a loss of $50 million in the prior year period.</w:t>
      </w:r>
    </w:p>
    <w:p>
      <w:pPr>
        <w:spacing w:after="0" w:line="16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For the nine months ended September 30, 2021, Adjusted EBITDA for Cable Communications increased 12.4% to $21.0 billion compared to 2020, reflecting higher revenue, partially offset by a 4.9% increase in operating expenses. Programming costs increased 8.3%, reflecting the timing of contract renewals and adjustments in 2020 for provisions in our programming distribution agreements with RSNs related to canceled sporting events as a result of COVID-19, partially offset by a decline in the number of video subscribers. Excluding the impact of accrued RSN adjustments in 2020</w:t>
      </w:r>
      <w:r>
        <w:rPr>
          <w:rFonts w:ascii="Arial" w:cs="Arial" w:eastAsia="Arial" w:hAnsi="Arial"/>
          <w:sz w:val="23"/>
          <w:szCs w:val="23"/>
          <w:color w:val="auto"/>
          <w:vertAlign w:val="superscript"/>
        </w:rPr>
        <w:t>5</w:t>
      </w:r>
      <w:r>
        <w:rPr>
          <w:rFonts w:ascii="Arial" w:cs="Arial" w:eastAsia="Arial" w:hAnsi="Arial"/>
          <w:sz w:val="18"/>
          <w:szCs w:val="18"/>
          <w:color w:val="auto"/>
        </w:rPr>
        <w:t>, programming costs increased 4.4%. Non-programming expenses increased 2.8%. For the nine months ended September 30, 2021, Adjusted EBITDA per customer relationship increased 7.4%, and Adjusted EBITDA margin was 43.8% compared to 42.1% in 2020. While the accrued RSN adjustments did not impact Adjusted EBITDA for the nine months ended September 30, 2020, they resulted in an increase to Adjusted EBITDA margin in that period. Cable Communications results include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of $125 million from our wireless business, compared to a loss of $146 million in 2020.</w:t>
      </w:r>
    </w:p>
    <w:p>
      <w:pPr>
        <w:spacing w:after="0" w:line="21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decreased 5.4% to $1.7 billion in the third quarter of 2021, primarily reflecting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in customer premise equipment, partially offset by increased investment in line extensions and scalable infrastructure. Cable capital expenditures represented 10.4% of Cable revenue in the third quarter of 2021 compared to 11.8% in the prior year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733" w:right="339" w:bottom="1440" w:gutter="0" w:footer="0" w:header="0"/>
        </w:sectPr>
      </w:pPr>
    </w:p>
    <w:bookmarkStart w:id="7" w:name="page8"/>
    <w:bookmarkEnd w:id="7"/>
    <w:p>
      <w:pPr>
        <w:jc w:val="both"/>
        <w:spacing w:after="0"/>
        <w:rPr>
          <w:sz w:val="20"/>
          <w:szCs w:val="20"/>
          <w:color w:val="auto"/>
        </w:rPr>
      </w:pPr>
      <w:r>
        <w:rPr>
          <w:rFonts w:ascii="Arial" w:cs="Arial" w:eastAsia="Arial" w:hAnsi="Arial"/>
          <w:sz w:val="18"/>
          <w:szCs w:val="18"/>
          <w:color w:val="auto"/>
        </w:rPr>
        <w:t>For the nine months ended September 30, 2021, capital expenditures for Cable Communications increased 5.5% to $4.7 billion, primarily reflecting increased investment in scalable infrastructure and line extensions. Cable capital expenditures represented 9.9% of Cable revenue compared to 10.1% in 2020.</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49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3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4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right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4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6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D9D9D6"/>
          </w:tcPr>
          <w:p>
            <w:pPr>
              <w:spacing w:after="0"/>
              <w:rPr>
                <w:sz w:val="14"/>
                <w:szCs w:val="14"/>
                <w:color w:val="auto"/>
              </w:rPr>
            </w:pPr>
          </w:p>
        </w:tc>
        <w:tc>
          <w:tcPr>
            <w:tcW w:w="4920" w:type="dxa"/>
            <w:vAlign w:val="bottom"/>
            <w:shd w:val="clear" w:color="auto" w:fill="D9D9D6"/>
          </w:tcPr>
          <w:p>
            <w:pPr>
              <w:spacing w:after="0"/>
              <w:rPr>
                <w:sz w:val="14"/>
                <w:szCs w:val="14"/>
                <w:color w:val="auto"/>
              </w:rPr>
            </w:pP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40" w:type="dxa"/>
            <w:vAlign w:val="bottom"/>
            <w:shd w:val="clear" w:color="auto" w:fill="D9D9D6"/>
          </w:tcPr>
          <w:p>
            <w:pPr>
              <w:spacing w:after="0"/>
              <w:rPr>
                <w:sz w:val="14"/>
                <w:szCs w:val="14"/>
                <w:color w:val="auto"/>
              </w:rPr>
            </w:pPr>
          </w:p>
        </w:tc>
        <w:tc>
          <w:tcPr>
            <w:tcW w:w="96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3rd Quarter</w:t>
            </w:r>
          </w:p>
        </w:tc>
        <w:tc>
          <w:tcPr>
            <w:tcW w:w="2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260" w:type="dxa"/>
            <w:vAlign w:val="bottom"/>
            <w:tcBorders>
              <w:right w:val="single" w:sz="8" w:color="97999B"/>
            </w:tcBorders>
            <w:shd w:val="clear" w:color="auto" w:fill="D9D9D6"/>
          </w:tcPr>
          <w:p>
            <w:pPr>
              <w:spacing w:after="0"/>
              <w:rPr>
                <w:sz w:val="14"/>
                <w:szCs w:val="14"/>
                <w:color w:val="auto"/>
              </w:rPr>
            </w:pPr>
          </w:p>
        </w:tc>
        <w:tc>
          <w:tcPr>
            <w:tcW w:w="220" w:type="dxa"/>
            <w:vAlign w:val="bottom"/>
            <w:shd w:val="clear" w:color="auto" w:fill="D9D9D6"/>
          </w:tcPr>
          <w:p>
            <w:pPr>
              <w:spacing w:after="0"/>
              <w:rPr>
                <w:sz w:val="14"/>
                <w:szCs w:val="14"/>
                <w:color w:val="auto"/>
              </w:rPr>
            </w:pP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40" w:type="dxa"/>
            <w:vAlign w:val="bottom"/>
            <w:shd w:val="clear" w:color="auto" w:fill="D9D9D6"/>
          </w:tcPr>
          <w:p>
            <w:pPr>
              <w:spacing w:after="0"/>
              <w:rPr>
                <w:sz w:val="14"/>
                <w:szCs w:val="14"/>
                <w:color w:val="auto"/>
              </w:rPr>
            </w:pPr>
          </w:p>
        </w:tc>
        <w:tc>
          <w:tcPr>
            <w:tcW w:w="100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Year to Date</w:t>
            </w:r>
          </w:p>
        </w:tc>
        <w:tc>
          <w:tcPr>
            <w:tcW w:w="2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Borders>
              <w:top w:val="single" w:sz="8" w:color="D9D9D6"/>
            </w:tcBorders>
            <w:shd w:val="clear" w:color="auto" w:fill="D9D9D6"/>
          </w:tcPr>
          <w:p>
            <w:pPr>
              <w:spacing w:after="0"/>
              <w:rPr>
                <w:sz w:val="14"/>
                <w:szCs w:val="14"/>
                <w:color w:val="auto"/>
              </w:rPr>
            </w:pPr>
          </w:p>
        </w:tc>
        <w:tc>
          <w:tcPr>
            <w:tcW w:w="4920" w:type="dxa"/>
            <w:vAlign w:val="bottom"/>
            <w:tcBorders>
              <w:top w:val="single" w:sz="8" w:color="D9D9D6"/>
            </w:tcBorders>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8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40" w:type="dxa"/>
            <w:vAlign w:val="bottom"/>
            <w:tcBorders>
              <w:top w:val="single" w:sz="8" w:color="D9D9D6"/>
            </w:tcBorders>
            <w:shd w:val="clear" w:color="auto" w:fill="D9D9D6"/>
          </w:tcPr>
          <w:p>
            <w:pPr>
              <w:spacing w:after="0"/>
              <w:rPr>
                <w:sz w:val="14"/>
                <w:szCs w:val="14"/>
                <w:color w:val="auto"/>
              </w:rPr>
            </w:pPr>
          </w:p>
        </w:tc>
        <w:tc>
          <w:tcPr>
            <w:tcW w:w="740" w:type="dxa"/>
            <w:vAlign w:val="bottom"/>
            <w:tcBorders>
              <w:top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2020</w:t>
            </w:r>
          </w:p>
        </w:tc>
        <w:tc>
          <w:tcPr>
            <w:tcW w:w="220" w:type="dxa"/>
            <w:vAlign w:val="bottom"/>
            <w:tcBorders>
              <w:top w:val="single" w:sz="8" w:color="D9D9D6"/>
            </w:tcBorders>
            <w:shd w:val="clear" w:color="auto" w:fill="D9D9D6"/>
          </w:tcPr>
          <w:p>
            <w:pPr>
              <w:spacing w:after="0"/>
              <w:rPr>
                <w:sz w:val="14"/>
                <w:szCs w:val="14"/>
                <w:color w:val="auto"/>
              </w:rPr>
            </w:pPr>
          </w:p>
        </w:tc>
        <w:tc>
          <w:tcPr>
            <w:tcW w:w="800" w:type="dxa"/>
            <w:vAlign w:val="bottom"/>
            <w:tcBorders>
              <w:top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260" w:type="dxa"/>
            <w:vAlign w:val="bottom"/>
            <w:tcBorders>
              <w:top w:val="single" w:sz="8" w:color="D9D9D6"/>
              <w:right w:val="single" w:sz="8" w:color="97999B"/>
            </w:tcBorders>
            <w:shd w:val="clear" w:color="auto" w:fill="D9D9D6"/>
          </w:tcPr>
          <w:p>
            <w:pPr>
              <w:spacing w:after="0"/>
              <w:rPr>
                <w:sz w:val="14"/>
                <w:szCs w:val="14"/>
                <w:color w:val="auto"/>
              </w:rPr>
            </w:pPr>
          </w:p>
        </w:tc>
        <w:tc>
          <w:tcPr>
            <w:tcW w:w="1100" w:type="dxa"/>
            <w:vAlign w:val="bottom"/>
            <w:tcBorders>
              <w:top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40" w:type="dxa"/>
            <w:vAlign w:val="bottom"/>
            <w:tcBorders>
              <w:top w:val="single" w:sz="8" w:color="D9D9D6"/>
            </w:tcBorders>
            <w:shd w:val="clear" w:color="auto" w:fill="D9D9D6"/>
          </w:tcPr>
          <w:p>
            <w:pPr>
              <w:spacing w:after="0"/>
              <w:rPr>
                <w:sz w:val="14"/>
                <w:szCs w:val="14"/>
                <w:color w:val="auto"/>
              </w:rPr>
            </w:pPr>
          </w:p>
        </w:tc>
        <w:tc>
          <w:tcPr>
            <w:tcW w:w="780" w:type="dxa"/>
            <w:vAlign w:val="bottom"/>
            <w:tcBorders>
              <w:top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2020</w:t>
            </w:r>
          </w:p>
        </w:tc>
        <w:tc>
          <w:tcPr>
            <w:tcW w:w="220" w:type="dxa"/>
            <w:vAlign w:val="bottom"/>
            <w:tcBorders>
              <w:top w:val="single" w:sz="8" w:color="D9D9D6"/>
            </w:tcBorders>
            <w:shd w:val="clear" w:color="auto" w:fill="D9D9D6"/>
          </w:tcPr>
          <w:p>
            <w:pPr>
              <w:spacing w:after="0"/>
              <w:rPr>
                <w:sz w:val="14"/>
                <w:szCs w:val="14"/>
                <w:color w:val="auto"/>
              </w:rPr>
            </w:pPr>
          </w:p>
        </w:tc>
        <w:tc>
          <w:tcPr>
            <w:tcW w:w="920" w:type="dxa"/>
            <w:vAlign w:val="bottom"/>
            <w:tcBorders>
              <w:top w:val="single" w:sz="8" w:color="D9D9D6"/>
            </w:tcBorders>
            <w:gridSpan w:val="5"/>
            <w:shd w:val="clear" w:color="auto" w:fill="D9D9D6"/>
          </w:tcPr>
          <w:p>
            <w:pPr>
              <w:jc w:val="right"/>
              <w:ind w:right="1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4920" w:type="dxa"/>
            <w:vAlign w:val="bottom"/>
            <w:tcBorders>
              <w:top w:val="single" w:sz="8" w:color="D9D9D6"/>
            </w:tcBorders>
            <w:vMerge w:val="continue"/>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tcBorders>
            <w:shd w:val="clear" w:color="auto" w:fill="D9D9D6"/>
          </w:tcPr>
          <w:p>
            <w:pPr>
              <w:spacing w:after="0"/>
              <w:rPr>
                <w:sz w:val="17"/>
                <w:szCs w:val="17"/>
                <w:color w:val="auto"/>
              </w:rPr>
            </w:pPr>
          </w:p>
        </w:tc>
        <w:tc>
          <w:tcPr>
            <w:tcW w:w="3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40" w:type="dxa"/>
            <w:vAlign w:val="bottom"/>
            <w:tcBorders>
              <w:top w:val="single" w:sz="8" w:color="D9D9D6"/>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2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60" w:type="dxa"/>
            <w:vAlign w:val="bottom"/>
            <w:tcBorders>
              <w:top w:val="single" w:sz="8" w:color="D9D9D6"/>
              <w:right w:val="single" w:sz="8" w:color="97999B"/>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tcBorders>
            <w:shd w:val="clear" w:color="auto" w:fill="D9D9D6"/>
          </w:tcPr>
          <w:p>
            <w:pPr>
              <w:spacing w:after="0"/>
              <w:rPr>
                <w:sz w:val="17"/>
                <w:szCs w:val="17"/>
                <w:color w:val="auto"/>
              </w:rPr>
            </w:pPr>
          </w:p>
        </w:tc>
        <w:tc>
          <w:tcPr>
            <w:tcW w:w="4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2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$6,770</w:t>
            </w:r>
          </w:p>
        </w:tc>
        <w:tc>
          <w:tcPr>
            <w:tcW w:w="2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$4,589</w:t>
            </w:r>
          </w:p>
        </w:tc>
        <w:tc>
          <w:tcPr>
            <w:tcW w:w="4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47.5 %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$16,955</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$13,563</w:t>
            </w:r>
          </w:p>
        </w:tc>
        <w:tc>
          <w:tcPr>
            <w:tcW w:w="6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25.0 %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220"/>
              <w:spacing w:after="0"/>
              <w:rPr>
                <w:sz w:val="20"/>
                <w:szCs w:val="20"/>
                <w:color w:val="auto"/>
              </w:rPr>
            </w:pPr>
            <w:r>
              <w:rPr>
                <w:rFonts w:ascii="Arial" w:cs="Arial" w:eastAsia="Arial" w:hAnsi="Arial"/>
                <w:sz w:val="14"/>
                <w:szCs w:val="14"/>
                <w:i w:val="1"/>
                <w:iCs w:val="1"/>
                <w:color w:val="auto"/>
              </w:rPr>
              <w:t>Excluding Olympics</w:t>
            </w:r>
            <w:r>
              <w:rPr>
                <w:rFonts w:ascii="Arial" w:cs="Arial" w:eastAsia="Arial" w:hAnsi="Arial"/>
                <w:sz w:val="9"/>
                <w:szCs w:val="9"/>
                <w:i w:val="1"/>
                <w:iCs w:val="1"/>
                <w:color w:val="auto"/>
              </w:rPr>
              <w:t>5</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$5,011</w:t>
            </w:r>
          </w:p>
        </w:tc>
        <w:tc>
          <w:tcPr>
            <w:tcW w:w="2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$4,589</w:t>
            </w:r>
          </w:p>
        </w:tc>
        <w:tc>
          <w:tcPr>
            <w:tcW w:w="4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9.2 %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15,195</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13,563</w:t>
            </w:r>
          </w:p>
        </w:tc>
        <w:tc>
          <w:tcPr>
            <w:tcW w:w="6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12.0 %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2,407</w:t>
            </w:r>
          </w:p>
        </w:tc>
        <w:tc>
          <w:tcPr>
            <w:tcW w:w="2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1,898</w:t>
            </w:r>
          </w:p>
        </w:tc>
        <w:tc>
          <w:tcPr>
            <w:tcW w:w="4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26.8 %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7,027</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6,359</w:t>
            </w:r>
          </w:p>
        </w:tc>
        <w:tc>
          <w:tcPr>
            <w:tcW w:w="6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10.5 %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1,449</w:t>
            </w:r>
          </w:p>
        </w:tc>
        <w:tc>
          <w:tcPr>
            <w:tcW w:w="2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385</w:t>
            </w:r>
          </w:p>
        </w:tc>
        <w:tc>
          <w:tcPr>
            <w:tcW w:w="4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5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NM</w:t>
            </w: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3,163</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1,446</w:t>
            </w:r>
          </w:p>
        </w:tc>
        <w:tc>
          <w:tcPr>
            <w:tcW w:w="6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118.8 %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28</w:t>
            </w:r>
          </w:p>
        </w:tc>
        <w:tc>
          <w:tcPr>
            <w:tcW w:w="2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12</w:t>
            </w:r>
          </w:p>
        </w:tc>
        <w:tc>
          <w:tcPr>
            <w:tcW w:w="4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121.4</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65</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32</w:t>
            </w:r>
          </w:p>
        </w:tc>
        <w:tc>
          <w:tcPr>
            <w:tcW w:w="6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103.7 %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(654)</w:t>
            </w:r>
          </w:p>
        </w:tc>
        <w:tc>
          <w:tcPr>
            <w:tcW w:w="20" w:type="dxa"/>
            <w:vAlign w:val="bottom"/>
            <w:tcBorders>
              <w:bottom w:val="single" w:sz="8" w:color="auto"/>
            </w:tcBorders>
            <w:shd w:val="clear" w:color="auto" w:fill="D9D9D6"/>
          </w:tcPr>
          <w:p>
            <w:pPr>
              <w:spacing w:after="0"/>
              <w:rPr>
                <w:sz w:val="16"/>
                <w:szCs w:val="16"/>
                <w:color w:val="auto"/>
              </w:rPr>
            </w:pPr>
          </w:p>
        </w:tc>
        <w:tc>
          <w:tcPr>
            <w:tcW w:w="84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(551)</w:t>
            </w:r>
          </w:p>
        </w:tc>
        <w:tc>
          <w:tcPr>
            <w:tcW w:w="40" w:type="dxa"/>
            <w:vAlign w:val="bottom"/>
            <w:tcBorders>
              <w:bottom w:val="single" w:sz="8" w:color="auto"/>
            </w:tcBorders>
            <w:shd w:val="clear" w:color="auto" w:fill="D9D9D6"/>
          </w:tcPr>
          <w:p>
            <w:pPr>
              <w:spacing w:after="0"/>
              <w:rPr>
                <w:sz w:val="16"/>
                <w:szCs w:val="16"/>
                <w:color w:val="auto"/>
              </w:rPr>
            </w:pPr>
          </w:p>
        </w:tc>
        <w:tc>
          <w:tcPr>
            <w:tcW w:w="220" w:type="dxa"/>
            <w:vAlign w:val="bottom"/>
            <w:tcBorders>
              <w:bottom w:val="single" w:sz="8" w:color="auto"/>
            </w:tcBorders>
            <w:shd w:val="clear" w:color="auto" w:fill="D9D9D6"/>
          </w:tcPr>
          <w:p>
            <w:pPr>
              <w:spacing w:after="0"/>
              <w:rPr>
                <w:sz w:val="16"/>
                <w:szCs w:val="16"/>
                <w:color w:val="auto"/>
              </w:rPr>
            </w:pPr>
          </w:p>
        </w:tc>
        <w:tc>
          <w:tcPr>
            <w:tcW w:w="6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(18.4</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6"/>
                <w:szCs w:val="16"/>
                <w:color w:val="auto"/>
              </w:rPr>
            </w:pPr>
          </w:p>
        </w:tc>
        <w:tc>
          <w:tcPr>
            <w:tcW w:w="260" w:type="dxa"/>
            <w:vAlign w:val="bottom"/>
            <w:tcBorders>
              <w:bottom w:val="single" w:sz="8" w:color="D9D9D6"/>
              <w:right w:val="single" w:sz="8" w:color="97999B"/>
            </w:tcBorders>
            <w:shd w:val="clear" w:color="auto" w:fill="D9D9D6"/>
          </w:tcPr>
          <w:p>
            <w:pPr>
              <w:spacing w:after="0"/>
              <w:rPr>
                <w:sz w:val="16"/>
                <w:szCs w:val="16"/>
                <w:color w:val="auto"/>
              </w:rPr>
            </w:pPr>
          </w:p>
        </w:tc>
        <w:tc>
          <w:tcPr>
            <w:tcW w:w="22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(2,230)</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(1,623)</w:t>
            </w:r>
          </w:p>
        </w:tc>
        <w:tc>
          <w:tcPr>
            <w:tcW w:w="60" w:type="dxa"/>
            <w:vAlign w:val="bottom"/>
            <w:tcBorders>
              <w:bottom w:val="single" w:sz="8" w:color="auto"/>
            </w:tcBorders>
            <w:shd w:val="clear" w:color="auto" w:fill="D9D9D6"/>
          </w:tcPr>
          <w:p>
            <w:pPr>
              <w:spacing w:after="0"/>
              <w:rPr>
                <w:sz w:val="16"/>
                <w:szCs w:val="16"/>
                <w:color w:val="auto"/>
              </w:rPr>
            </w:pPr>
          </w:p>
        </w:tc>
        <w:tc>
          <w:tcPr>
            <w:tcW w:w="220" w:type="dxa"/>
            <w:vAlign w:val="bottom"/>
            <w:tcBorders>
              <w:bottom w:val="single" w:sz="8" w:color="auto"/>
            </w:tcBorders>
            <w:shd w:val="clear" w:color="auto" w:fill="D9D9D6"/>
          </w:tcPr>
          <w:p>
            <w:pPr>
              <w:spacing w:after="0"/>
              <w:rPr>
                <w:sz w:val="16"/>
                <w:szCs w:val="16"/>
                <w:color w:val="auto"/>
              </w:rPr>
            </w:pPr>
          </w:p>
        </w:tc>
        <w:tc>
          <w:tcPr>
            <w:tcW w:w="7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(37.3 %)</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$10,001</w:t>
            </w:r>
          </w:p>
        </w:tc>
        <w:tc>
          <w:tcPr>
            <w:tcW w:w="20" w:type="dxa"/>
            <w:vAlign w:val="bottom"/>
            <w:shd w:val="clear" w:color="auto" w:fill="D9D9D6"/>
          </w:tcPr>
          <w:p>
            <w:pPr>
              <w:spacing w:after="0"/>
              <w:rPr>
                <w:sz w:val="15"/>
                <w:szCs w:val="15"/>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$6,333</w:t>
            </w:r>
          </w:p>
        </w:tc>
        <w:tc>
          <w:tcPr>
            <w:tcW w:w="40" w:type="dxa"/>
            <w:vAlign w:val="bottom"/>
            <w:shd w:val="clear" w:color="auto" w:fill="D9D9D6"/>
          </w:tcPr>
          <w:p>
            <w:pPr>
              <w:spacing w:after="0"/>
              <w:rPr>
                <w:sz w:val="15"/>
                <w:szCs w:val="15"/>
                <w:color w:val="auto"/>
              </w:rPr>
            </w:pPr>
          </w:p>
        </w:tc>
        <w:tc>
          <w:tcPr>
            <w:tcW w:w="220" w:type="dxa"/>
            <w:vAlign w:val="bottom"/>
            <w:shd w:val="clear" w:color="auto" w:fill="D9D9D6"/>
          </w:tcPr>
          <w:p>
            <w:pPr>
              <w:spacing w:after="0"/>
              <w:rPr>
                <w:sz w:val="15"/>
                <w:szCs w:val="15"/>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57.9</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260" w:type="dxa"/>
            <w:vAlign w:val="bottom"/>
            <w:tcBorders>
              <w:right w:val="single" w:sz="8" w:color="97999B"/>
            </w:tcBorders>
            <w:shd w:val="clear" w:color="auto" w:fill="D9D9D6"/>
          </w:tcPr>
          <w:p>
            <w:pPr>
              <w:spacing w:after="0"/>
              <w:rPr>
                <w:sz w:val="15"/>
                <w:szCs w:val="15"/>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$24,981</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$19,777</w:t>
            </w:r>
          </w:p>
        </w:tc>
        <w:tc>
          <w:tcPr>
            <w:tcW w:w="60" w:type="dxa"/>
            <w:vAlign w:val="bottom"/>
            <w:shd w:val="clear" w:color="auto" w:fill="D9D9D6"/>
          </w:tcPr>
          <w:p>
            <w:pPr>
              <w:spacing w:after="0"/>
              <w:rPr>
                <w:sz w:val="15"/>
                <w:szCs w:val="15"/>
                <w:color w:val="auto"/>
              </w:rPr>
            </w:pPr>
          </w:p>
        </w:tc>
        <w:tc>
          <w:tcPr>
            <w:tcW w:w="220" w:type="dxa"/>
            <w:vAlign w:val="bottom"/>
            <w:shd w:val="clear" w:color="auto" w:fill="D9D9D6"/>
          </w:tcPr>
          <w:p>
            <w:pPr>
              <w:spacing w:after="0"/>
              <w:rPr>
                <w:sz w:val="15"/>
                <w:szCs w:val="15"/>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26.3 %</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5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2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60" w:type="dxa"/>
            <w:vAlign w:val="bottom"/>
            <w:tcBorders>
              <w:right w:val="single" w:sz="8" w:color="97999B"/>
            </w:tcBorders>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2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$997</w:t>
            </w:r>
          </w:p>
        </w:tc>
        <w:tc>
          <w:tcPr>
            <w:tcW w:w="2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$985</w:t>
            </w:r>
          </w:p>
        </w:tc>
        <w:tc>
          <w:tcPr>
            <w:tcW w:w="4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$3,847</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$4,150</w:t>
            </w:r>
          </w:p>
        </w:tc>
        <w:tc>
          <w:tcPr>
            <w:tcW w:w="6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(7.3 %)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179</w:t>
            </w:r>
          </w:p>
        </w:tc>
        <w:tc>
          <w:tcPr>
            <w:tcW w:w="2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340</w:t>
            </w:r>
          </w:p>
        </w:tc>
        <w:tc>
          <w:tcPr>
            <w:tcW w:w="4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(47.3 %)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833</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963</w:t>
            </w:r>
          </w:p>
        </w:tc>
        <w:tc>
          <w:tcPr>
            <w:tcW w:w="6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(13.6 %)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434</w:t>
            </w:r>
          </w:p>
        </w:tc>
        <w:tc>
          <w:tcPr>
            <w:tcW w:w="2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(174)</w:t>
            </w:r>
          </w:p>
        </w:tc>
        <w:tc>
          <w:tcPr>
            <w:tcW w:w="4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5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NM</w:t>
            </w: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593</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(480)</w:t>
            </w:r>
          </w:p>
        </w:tc>
        <w:tc>
          <w:tcPr>
            <w:tcW w:w="6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640" w:type="dxa"/>
            <w:vAlign w:val="bottom"/>
            <w:gridSpan w:val="4"/>
            <w:shd w:val="clear" w:color="auto" w:fill="D9D9D6"/>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(248)</w:t>
            </w:r>
          </w:p>
        </w:tc>
        <w:tc>
          <w:tcPr>
            <w:tcW w:w="2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(127)</w:t>
            </w:r>
          </w:p>
        </w:tc>
        <w:tc>
          <w:tcPr>
            <w:tcW w:w="4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(95.1 %)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(643)</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(430)</w:t>
            </w:r>
          </w:p>
        </w:tc>
        <w:tc>
          <w:tcPr>
            <w:tcW w:w="6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(49.4 %)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shd w:val="clear" w:color="auto" w:fill="D9D9D6"/>
          </w:tcPr>
          <w:p>
            <w:pPr>
              <w:spacing w:after="0"/>
              <w:rPr>
                <w:sz w:val="16"/>
                <w:szCs w:val="16"/>
                <w:color w:val="auto"/>
              </w:rPr>
            </w:pPr>
          </w:p>
        </w:tc>
        <w:tc>
          <w:tcPr>
            <w:tcW w:w="84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(114)</w:t>
            </w:r>
          </w:p>
        </w:tc>
        <w:tc>
          <w:tcPr>
            <w:tcW w:w="40" w:type="dxa"/>
            <w:vAlign w:val="bottom"/>
            <w:tcBorders>
              <w:bottom w:val="single" w:sz="8" w:color="auto"/>
            </w:tcBorders>
            <w:shd w:val="clear" w:color="auto" w:fill="D9D9D6"/>
          </w:tcPr>
          <w:p>
            <w:pPr>
              <w:spacing w:after="0"/>
              <w:rPr>
                <w:sz w:val="16"/>
                <w:szCs w:val="16"/>
                <w:color w:val="auto"/>
              </w:rPr>
            </w:pPr>
          </w:p>
        </w:tc>
        <w:tc>
          <w:tcPr>
            <w:tcW w:w="220" w:type="dxa"/>
            <w:vAlign w:val="bottom"/>
            <w:tcBorders>
              <w:bottom w:val="single" w:sz="8" w:color="auto"/>
            </w:tcBorders>
            <w:shd w:val="clear" w:color="auto" w:fill="D9D9D6"/>
          </w:tcPr>
          <w:p>
            <w:pPr>
              <w:spacing w:after="0"/>
              <w:rPr>
                <w:sz w:val="16"/>
                <w:szCs w:val="16"/>
                <w:color w:val="auto"/>
              </w:rPr>
            </w:pPr>
          </w:p>
        </w:tc>
        <w:tc>
          <w:tcPr>
            <w:tcW w:w="6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88.9</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260" w:type="dxa"/>
            <w:vAlign w:val="bottom"/>
            <w:tcBorders>
              <w:bottom w:val="single" w:sz="8" w:color="D9D9D6"/>
              <w:right w:val="single" w:sz="8" w:color="97999B"/>
            </w:tcBorders>
            <w:shd w:val="clear" w:color="auto" w:fill="D9D9D6"/>
          </w:tcPr>
          <w:p>
            <w:pPr>
              <w:spacing w:after="0"/>
              <w:rPr>
                <w:sz w:val="16"/>
                <w:szCs w:val="16"/>
                <w:color w:val="auto"/>
              </w:rPr>
            </w:pPr>
          </w:p>
        </w:tc>
        <w:tc>
          <w:tcPr>
            <w:tcW w:w="22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(238)</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(224)</w:t>
            </w:r>
          </w:p>
        </w:tc>
        <w:tc>
          <w:tcPr>
            <w:tcW w:w="60" w:type="dxa"/>
            <w:vAlign w:val="bottom"/>
            <w:tcBorders>
              <w:bottom w:val="single" w:sz="8" w:color="auto"/>
            </w:tcBorders>
            <w:shd w:val="clear" w:color="auto" w:fill="D9D9D6"/>
          </w:tcPr>
          <w:p>
            <w:pPr>
              <w:spacing w:after="0"/>
              <w:rPr>
                <w:sz w:val="16"/>
                <w:szCs w:val="16"/>
                <w:color w:val="auto"/>
              </w:rPr>
            </w:pPr>
          </w:p>
        </w:tc>
        <w:tc>
          <w:tcPr>
            <w:tcW w:w="220" w:type="dxa"/>
            <w:vAlign w:val="bottom"/>
            <w:tcBorders>
              <w:bottom w:val="single" w:sz="8" w:color="auto"/>
            </w:tcBorders>
            <w:shd w:val="clear" w:color="auto" w:fill="D9D9D6"/>
          </w:tcPr>
          <w:p>
            <w:pPr>
              <w:spacing w:after="0"/>
              <w:rPr>
                <w:sz w:val="16"/>
                <w:szCs w:val="16"/>
                <w:color w:val="auto"/>
              </w:rPr>
            </w:pPr>
          </w:p>
        </w:tc>
        <w:tc>
          <w:tcPr>
            <w:tcW w:w="6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(6.7</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$1,349</w:t>
            </w:r>
          </w:p>
        </w:tc>
        <w:tc>
          <w:tcPr>
            <w:tcW w:w="20" w:type="dxa"/>
            <w:vAlign w:val="bottom"/>
            <w:shd w:val="clear" w:color="auto" w:fill="D9D9D6"/>
          </w:tcPr>
          <w:p>
            <w:pPr>
              <w:spacing w:after="0"/>
              <w:rPr>
                <w:sz w:val="15"/>
                <w:szCs w:val="15"/>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$910</w:t>
            </w:r>
          </w:p>
        </w:tc>
        <w:tc>
          <w:tcPr>
            <w:tcW w:w="40" w:type="dxa"/>
            <w:vAlign w:val="bottom"/>
            <w:shd w:val="clear" w:color="auto" w:fill="D9D9D6"/>
          </w:tcPr>
          <w:p>
            <w:pPr>
              <w:spacing w:after="0"/>
              <w:rPr>
                <w:sz w:val="15"/>
                <w:szCs w:val="15"/>
                <w:color w:val="auto"/>
              </w:rPr>
            </w:pPr>
          </w:p>
        </w:tc>
        <w:tc>
          <w:tcPr>
            <w:tcW w:w="220" w:type="dxa"/>
            <w:vAlign w:val="bottom"/>
            <w:shd w:val="clear" w:color="auto" w:fill="D9D9D6"/>
          </w:tcPr>
          <w:p>
            <w:pPr>
              <w:spacing w:after="0"/>
              <w:rPr>
                <w:sz w:val="15"/>
                <w:szCs w:val="15"/>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48.2</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260" w:type="dxa"/>
            <w:vAlign w:val="bottom"/>
            <w:tcBorders>
              <w:right w:val="single" w:sz="8" w:color="97999B"/>
            </w:tcBorders>
            <w:shd w:val="clear" w:color="auto" w:fill="D9D9D6"/>
          </w:tcPr>
          <w:p>
            <w:pPr>
              <w:spacing w:after="0"/>
              <w:rPr>
                <w:sz w:val="15"/>
                <w:szCs w:val="15"/>
                <w:color w:val="auto"/>
              </w:rPr>
            </w:pPr>
          </w:p>
        </w:tc>
        <w:tc>
          <w:tcPr>
            <w:tcW w:w="22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$4,392</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$3,979</w:t>
            </w:r>
          </w:p>
        </w:tc>
        <w:tc>
          <w:tcPr>
            <w:tcW w:w="60" w:type="dxa"/>
            <w:vAlign w:val="bottom"/>
            <w:shd w:val="clear" w:color="auto" w:fill="D9D9D6"/>
          </w:tcPr>
          <w:p>
            <w:pPr>
              <w:spacing w:after="0"/>
              <w:rPr>
                <w:sz w:val="15"/>
                <w:szCs w:val="15"/>
                <w:color w:val="auto"/>
              </w:rPr>
            </w:pPr>
          </w:p>
        </w:tc>
        <w:tc>
          <w:tcPr>
            <w:tcW w:w="220" w:type="dxa"/>
            <w:vAlign w:val="bottom"/>
            <w:shd w:val="clear" w:color="auto" w:fill="D9D9D6"/>
          </w:tcPr>
          <w:p>
            <w:pPr>
              <w:spacing w:after="0"/>
              <w:rPr>
                <w:sz w:val="15"/>
                <w:szCs w:val="15"/>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10.4</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20"/>
              <w:spacing w:after="0"/>
              <w:rPr>
                <w:sz w:val="20"/>
                <w:szCs w:val="20"/>
                <w:color w:val="auto"/>
              </w:rPr>
            </w:pPr>
            <w:r>
              <w:rPr>
                <w:rFonts w:ascii="Arial" w:cs="Arial" w:eastAsia="Arial" w:hAnsi="Arial"/>
                <w:sz w:val="14"/>
                <w:szCs w:val="14"/>
                <w:color w:val="auto"/>
              </w:rPr>
              <w:t>NM=comparison not meaningful.</w:t>
            </w: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60" w:type="dxa"/>
            <w:vAlign w:val="bottom"/>
            <w:tcBorders>
              <w:right w:val="single" w:sz="8" w:color="D9D9D6"/>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4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49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4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260" w:type="dxa"/>
            <w:vAlign w:val="bottom"/>
            <w:tcBorders>
              <w:right w:val="single" w:sz="8" w:color="D9D9D6"/>
            </w:tcBorders>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Beginning in the first quarter of 2021, the operations of Peacock, which were previously reported in Corporate and Other, are now included with NBCUniversal results and the operations of NBCUniversal are now presented in three reportable business segments: Media, Studios and Theme Parks. Prior periods have been adjusted to reflect this presentation.</w:t>
      </w:r>
    </w:p>
    <w:p>
      <w:pPr>
        <w:spacing w:after="0" w:line="20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57.9% to $10.0 billion in the third quarter of 2021, including $1.8 billion of revenue from the Tokyo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Olympics included in the Media segment.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increased 48.2% to $1.3 billion.</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nine months ended September 30, 2021, NBCUniversal revenue increased 26.3% to $25.0 billion compared to 2020. Adjusted EBITDA increased 10.4% to $4.4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Media revenue increased 47.5% to $6.8 billion in the third quarter of 2021, reflecting higher advertising revenue and distribution revenue. Excluding $1.8 billion of revenue generated by the broadcast of the Tokyo Olympics</w:t>
      </w:r>
      <w:r>
        <w:rPr>
          <w:rFonts w:ascii="Arial" w:cs="Arial" w:eastAsia="Arial" w:hAnsi="Arial"/>
          <w:sz w:val="23"/>
          <w:szCs w:val="23"/>
          <w:color w:val="auto"/>
          <w:vertAlign w:val="superscript"/>
        </w:rPr>
        <w:t>5</w:t>
      </w:r>
      <w:r>
        <w:rPr>
          <w:rFonts w:ascii="Arial" w:cs="Arial" w:eastAsia="Arial" w:hAnsi="Arial"/>
          <w:sz w:val="18"/>
          <w:szCs w:val="18"/>
          <w:color w:val="auto"/>
        </w:rPr>
        <w:t>, Media revenue increased 9.2%. Advertising revenue increased 73.0%, reflecting the broadcast of the Tokyo Olympics, higher pricing, and additional Peacock sales, partially offset by the timing of other sporting events and a decline in ratings. Distribution revenue increased 36.2%, driven by the broadcast of the Tokyo Olympics, contractual rate increases in the current period, and increases at Peacock, partially offset by a decline in subscribers at our networks. Adjusted EBITDA increased 1.2% to $997 million in the third quarter of 2021, reflecting higher revenue, partially offset by an increase in operating expenses. The increase in operating expenses was primarily driven by higher programming and production expenses, reflecting higher sports programming costs associated with the broadcast of the Tokyo Olympics and higher amortization expense related to programming at Peacock, partially offset by the timing of other sporting events. Media results include $230 million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$520 million related to Peacock, compared to $41 million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$233 million in the prior year period.</w:t>
      </w:r>
    </w:p>
    <w:p>
      <w:pPr>
        <w:spacing w:after="0" w:line="2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nine months ended September 30, 2021, revenue from the Media segment increased 25.0% to $17.0 billion compared to 2020, reflecting higher advertising revenue, distribution revenue, and other revenue. Excluding $1.8 billion of revenue associated with the broadcast of the Tokyo Olympics in the third quarter of 2021</w:t>
      </w:r>
      <w:r>
        <w:rPr>
          <w:rFonts w:ascii="Arial" w:cs="Arial" w:eastAsia="Arial" w:hAnsi="Arial"/>
          <w:sz w:val="23"/>
          <w:szCs w:val="23"/>
          <w:color w:val="auto"/>
          <w:vertAlign w:val="superscript"/>
        </w:rPr>
        <w:t>5</w:t>
      </w:r>
      <w:r>
        <w:rPr>
          <w:rFonts w:ascii="Arial" w:cs="Arial" w:eastAsia="Arial" w:hAnsi="Arial"/>
          <w:sz w:val="18"/>
          <w:szCs w:val="18"/>
          <w:color w:val="auto"/>
        </w:rPr>
        <w:t>, revenue increased 12.0%. Adjusted EBITDA decreased 7.3% to $3.8 billion compared to 2020, reflecting higher operating expenses, which more than offset higher revenue. The increase in operating expenses was primarily driven by higher programming and production expenses,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949" w:right="339" w:bottom="1440" w:gutter="0" w:footer="0" w:header="0"/>
        </w:sectPr>
      </w:pPr>
    </w:p>
    <w:bookmarkStart w:id="8" w:name="page9"/>
    <w:bookmarkEnd w:id="8"/>
    <w:p>
      <w:pPr>
        <w:jc w:val="both"/>
        <w:spacing w:after="0" w:line="238" w:lineRule="auto"/>
        <w:rPr>
          <w:sz w:val="20"/>
          <w:szCs w:val="20"/>
          <w:color w:val="auto"/>
        </w:rPr>
      </w:pPr>
      <w:r>
        <w:rPr>
          <w:rFonts w:ascii="Arial" w:cs="Arial" w:eastAsia="Arial" w:hAnsi="Arial"/>
          <w:sz w:val="18"/>
          <w:szCs w:val="18"/>
          <w:color w:val="auto"/>
        </w:rPr>
        <w:t>reflecting higher sports programming costs due to the broadcast of the Tokyo Olympics and an increase in the number of other sporting events compared to the prior year period when sports were postponed due to COVID-19, as well as higher amortization expense related to programming at Peacock. Media results include $443 million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$1.2 billion related to Peacock, compared to $47 million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$409 million in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Studios revenue increased 26.8% to $2.4 billion in the third quarter of 2021, primarily reflecting higher theatrical revenue and content licensing revenue. Theatrical revenue increased by $279 million, primarily due to current year releases, including </w:t>
      </w:r>
      <w:r>
        <w:rPr>
          <w:rFonts w:ascii="Arial" w:cs="Arial" w:eastAsia="Arial" w:hAnsi="Arial"/>
          <w:sz w:val="18"/>
          <w:szCs w:val="18"/>
          <w:i w:val="1"/>
          <w:iCs w:val="1"/>
          <w:color w:val="auto"/>
        </w:rPr>
        <w:t>F9</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Boss Baby:</w:t>
      </w:r>
      <w:r>
        <w:rPr>
          <w:rFonts w:ascii="Arial" w:cs="Arial" w:eastAsia="Arial" w:hAnsi="Arial"/>
          <w:sz w:val="18"/>
          <w:szCs w:val="18"/>
          <w:color w:val="auto"/>
        </w:rPr>
        <w:t xml:space="preserve"> </w:t>
      </w:r>
      <w:r>
        <w:rPr>
          <w:rFonts w:ascii="Arial" w:cs="Arial" w:eastAsia="Arial" w:hAnsi="Arial"/>
          <w:sz w:val="18"/>
          <w:szCs w:val="18"/>
          <w:i w:val="1"/>
          <w:iCs w:val="1"/>
          <w:color w:val="auto"/>
        </w:rPr>
        <w:t>Family Business</w:t>
      </w:r>
      <w:r>
        <w:rPr>
          <w:rFonts w:ascii="Arial" w:cs="Arial" w:eastAsia="Arial" w:hAnsi="Arial"/>
          <w:sz w:val="18"/>
          <w:szCs w:val="18"/>
          <w:color w:val="auto"/>
        </w:rPr>
        <w:t>, and the impact of theater closures in the prior year period. Content licensing revenue increased by $243 million, reflecting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timing of when content was made available under licensing agreements. Adjusted EBITDA decreased 47.3% to $179 million in the third quarter of 2021, reflecting higher operating expenses, which more than offset higher revenue. The increase in operating expenses was driven by higher programming and production expenses, reflecting higher amortization of television and film production costs in the current year period and compared to the prior year period when production was impacted due to COVID-19, as well as an increase in advertising, marketing and promotion expenses, reflecting a higher number of theatrical releases in the current period.</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September 30, 2021, revenue from the Studios segment increased 10.5% to $7.0 billion compared to 2020, primarily reflecting higher content licensing revenue and theatrical revenue. Adjusted EBITDA decreased 13.6% to $833 million compared to 2020, reflecting higher revenue more than offset by higher 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Theme Parks revenue increased $1.1 billion to $1.4 billion in the third quarter of 2021, reflecting improved operating conditions compared to the prior year period, when each of our theme parks was either operating at limited capacity or closed as a result of COVID-19. Theme Parks Adjusted EBITDA was $434 million in the third quarter of 2021, which included pre-opening costs related to Universal Beijing Resort, compared to a $174 million Adjusted EBITDA loss in the prior year period.</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nine months ended September 30, 2021, revenue from the Theme Parks segment increased $1.7 billion to $ 3.2 billion compared to 2020, reflecting improved operating conditions compared to 2020, when each of our theme parks was either closed or operating at limited capacity for the majority of the period as a result of COVID-19. Theme Parks Adjusted EBITDA was $593 million, which included pre-opening costs related to Universal Beijing Resort, compared to a $480 million Adjusted EBITDA loss in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NBCUniversal Headquarters and Other includes overhead, personnel costs and costs associated with corporate initiatives. Headquarters and Other Adjusted EBITDA loss was $248 million compared to a loss of $127 million in the prior year period.</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nine months ended September 30, 2021, Headquarters and Other Adjusted EBITDA loss was $643 million compared to a loss of $430 million in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Amounts represent eliminations of transactions between our NBCUniversal segments, which are affected by the timing of recognition of content licenses between our Studios and Media segments. Revenue eliminations for the quarter ended September 30, 2021 were $ 654 million compared to $551 million in the prior year period, and Adjusted EBITDA eliminations were $12 million compared to $114 million in the prior year period.</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nine months ended September 30, 2021, revenue eliminations were $2.2 billion compared to $1.6 billion in 2020, and Adjusted EBITDA eliminations were $238 million compared to $224 million in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70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28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46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6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right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66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4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46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6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240" w:type="dxa"/>
            <w:vAlign w:val="bottom"/>
            <w:gridSpan w:val="7"/>
            <w:shd w:val="clear" w:color="auto" w:fill="D9D9D6"/>
          </w:tcPr>
          <w:p>
            <w:pPr>
              <w:spacing w:after="0"/>
              <w:rPr>
                <w:sz w:val="20"/>
                <w:szCs w:val="20"/>
                <w:color w:val="auto"/>
              </w:rPr>
            </w:pPr>
            <w:r>
              <w:rPr>
                <w:rFonts w:ascii="Arial" w:cs="Arial" w:eastAsia="Arial" w:hAnsi="Arial"/>
                <w:sz w:val="14"/>
                <w:szCs w:val="14"/>
                <w:color w:val="auto"/>
              </w:rPr>
              <w:t>3rd Quarter</w:t>
            </w:r>
          </w:p>
        </w:tc>
        <w:tc>
          <w:tcPr>
            <w:tcW w:w="50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6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420" w:type="dxa"/>
            <w:vAlign w:val="bottom"/>
            <w:shd w:val="clear" w:color="auto" w:fill="D9D9D6"/>
          </w:tcPr>
          <w:p>
            <w:pPr>
              <w:spacing w:after="0"/>
              <w:rPr>
                <w:sz w:val="16"/>
                <w:szCs w:val="16"/>
                <w:color w:val="auto"/>
              </w:rPr>
            </w:pPr>
          </w:p>
        </w:tc>
        <w:tc>
          <w:tcPr>
            <w:tcW w:w="82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Year to Date</w:t>
            </w:r>
          </w:p>
        </w:tc>
        <w:tc>
          <w:tcPr>
            <w:tcW w:w="50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20" w:type="dxa"/>
            <w:vAlign w:val="bottom"/>
            <w:tcBorders>
              <w:top w:val="single" w:sz="8" w:color="D9D9D6"/>
            </w:tcBorders>
            <w:shd w:val="clear" w:color="auto" w:fill="D9D9D6"/>
          </w:tcPr>
          <w:p>
            <w:pPr>
              <w:spacing w:after="0"/>
              <w:rPr>
                <w:sz w:val="20"/>
                <w:szCs w:val="20"/>
                <w:color w:val="auto"/>
              </w:rPr>
            </w:pPr>
          </w:p>
        </w:tc>
        <w:tc>
          <w:tcPr>
            <w:tcW w:w="2860" w:type="dxa"/>
            <w:vAlign w:val="bottom"/>
            <w:tcBorders>
              <w:top w:val="single" w:sz="8" w:color="D9D9D6"/>
            </w:tcBorders>
            <w:shd w:val="clear" w:color="auto" w:fill="D9D9D6"/>
          </w:tcPr>
          <w:p>
            <w:pPr>
              <w:spacing w:after="0"/>
              <w:rPr>
                <w:sz w:val="20"/>
                <w:szCs w:val="20"/>
                <w:color w:val="auto"/>
              </w:rPr>
            </w:pPr>
          </w:p>
        </w:tc>
        <w:tc>
          <w:tcPr>
            <w:tcW w:w="58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580" w:type="dxa"/>
            <w:vAlign w:val="bottom"/>
            <w:tcBorders>
              <w:top w:val="single" w:sz="8" w:color="D9D9D6"/>
            </w:tcBorders>
            <w:shd w:val="clear" w:color="auto" w:fill="D9D9D6"/>
          </w:tcPr>
          <w:p>
            <w:pPr>
              <w:spacing w:after="0"/>
              <w:rPr>
                <w:sz w:val="20"/>
                <w:szCs w:val="20"/>
                <w:color w:val="auto"/>
              </w:rPr>
            </w:pPr>
          </w:p>
        </w:tc>
        <w:tc>
          <w:tcPr>
            <w:tcW w:w="80" w:type="dxa"/>
            <w:vAlign w:val="bottom"/>
            <w:tcBorders>
              <w:top w:val="single" w:sz="8" w:color="D9D9D6"/>
            </w:tcBorders>
            <w:shd w:val="clear" w:color="auto" w:fill="D9D9D6"/>
          </w:tcPr>
          <w:p>
            <w:pPr>
              <w:spacing w:after="0"/>
              <w:rPr>
                <w:sz w:val="20"/>
                <w:szCs w:val="20"/>
                <w:color w:val="auto"/>
              </w:rPr>
            </w:pPr>
          </w:p>
        </w:tc>
        <w:tc>
          <w:tcPr>
            <w:tcW w:w="24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auto"/>
            </w:tcBorders>
            <w:shd w:val="clear" w:color="auto" w:fill="D9D9D6"/>
          </w:tcPr>
          <w:p>
            <w:pPr>
              <w:spacing w:after="0"/>
              <w:rPr>
                <w:sz w:val="20"/>
                <w:szCs w:val="20"/>
                <w:color w:val="auto"/>
              </w:rPr>
            </w:pPr>
          </w:p>
        </w:tc>
        <w:tc>
          <w:tcPr>
            <w:tcW w:w="46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auto"/>
            </w:tcBorders>
            <w:shd w:val="clear" w:color="auto" w:fill="D9D9D6"/>
          </w:tcPr>
          <w:p>
            <w:pPr>
              <w:spacing w:after="0"/>
              <w:rPr>
                <w:sz w:val="20"/>
                <w:szCs w:val="20"/>
                <w:color w:val="auto"/>
              </w:rPr>
            </w:pPr>
          </w:p>
        </w:tc>
        <w:tc>
          <w:tcPr>
            <w:tcW w:w="300" w:type="dxa"/>
            <w:vAlign w:val="bottom"/>
            <w:tcBorders>
              <w:top w:val="single" w:sz="8" w:color="D9D9D6"/>
            </w:tcBorders>
            <w:shd w:val="clear" w:color="auto" w:fill="D9D9D6"/>
          </w:tcPr>
          <w:p>
            <w:pPr>
              <w:spacing w:after="0"/>
              <w:rPr>
                <w:sz w:val="20"/>
                <w:szCs w:val="20"/>
                <w:color w:val="auto"/>
              </w:rPr>
            </w:pPr>
          </w:p>
        </w:tc>
        <w:tc>
          <w:tcPr>
            <w:tcW w:w="18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1060" w:type="dxa"/>
            <w:vAlign w:val="bottom"/>
            <w:tcBorders>
              <w:top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40" w:type="dxa"/>
            <w:vAlign w:val="bottom"/>
            <w:tcBorders>
              <w:top w:val="single" w:sz="8" w:color="D9D9D6"/>
              <w:right w:val="single" w:sz="8" w:color="97999B"/>
            </w:tcBorders>
            <w:shd w:val="clear" w:color="auto" w:fill="D9D9D6"/>
          </w:tcPr>
          <w:p>
            <w:pPr>
              <w:spacing w:after="0"/>
              <w:rPr>
                <w:sz w:val="20"/>
                <w:szCs w:val="20"/>
                <w:color w:val="auto"/>
              </w:rPr>
            </w:pPr>
          </w:p>
        </w:tc>
        <w:tc>
          <w:tcPr>
            <w:tcW w:w="100" w:type="dxa"/>
            <w:vAlign w:val="bottom"/>
            <w:tcBorders>
              <w:top w:val="single" w:sz="8" w:color="D9D9D6"/>
            </w:tcBorders>
            <w:shd w:val="clear" w:color="auto" w:fill="D9D9D6"/>
          </w:tcPr>
          <w:p>
            <w:pPr>
              <w:spacing w:after="0"/>
              <w:rPr>
                <w:sz w:val="20"/>
                <w:szCs w:val="20"/>
                <w:color w:val="auto"/>
              </w:rPr>
            </w:pPr>
          </w:p>
        </w:tc>
        <w:tc>
          <w:tcPr>
            <w:tcW w:w="66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220" w:type="dxa"/>
            <w:vAlign w:val="bottom"/>
            <w:tcBorders>
              <w:top w:val="single" w:sz="8" w:color="D9D9D6"/>
            </w:tcBorders>
            <w:shd w:val="clear" w:color="auto" w:fill="D9D9D6"/>
          </w:tcPr>
          <w:p>
            <w:pPr>
              <w:spacing w:after="0"/>
              <w:rPr>
                <w:sz w:val="20"/>
                <w:szCs w:val="20"/>
                <w:color w:val="auto"/>
              </w:rPr>
            </w:pPr>
          </w:p>
        </w:tc>
        <w:tc>
          <w:tcPr>
            <w:tcW w:w="42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auto"/>
            </w:tcBorders>
            <w:shd w:val="clear" w:color="auto" w:fill="D9D9D6"/>
          </w:tcPr>
          <w:p>
            <w:pPr>
              <w:spacing w:after="0"/>
              <w:rPr>
                <w:sz w:val="20"/>
                <w:szCs w:val="20"/>
                <w:color w:val="auto"/>
              </w:rPr>
            </w:pPr>
          </w:p>
        </w:tc>
        <w:tc>
          <w:tcPr>
            <w:tcW w:w="320" w:type="dxa"/>
            <w:vAlign w:val="bottom"/>
            <w:tcBorders>
              <w:top w:val="single" w:sz="8" w:color="auto"/>
            </w:tcBorders>
            <w:shd w:val="clear" w:color="auto" w:fill="D9D9D6"/>
          </w:tcPr>
          <w:p>
            <w:pPr>
              <w:spacing w:after="0"/>
              <w:rPr>
                <w:sz w:val="20"/>
                <w:szCs w:val="20"/>
                <w:color w:val="auto"/>
              </w:rPr>
            </w:pPr>
          </w:p>
        </w:tc>
        <w:tc>
          <w:tcPr>
            <w:tcW w:w="46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500" w:type="dxa"/>
            <w:vAlign w:val="bottom"/>
            <w:tcBorders>
              <w:top w:val="single" w:sz="8" w:color="D9D9D6"/>
            </w:tcBorders>
            <w:shd w:val="clear" w:color="auto" w:fill="D9D9D6"/>
          </w:tcPr>
          <w:p>
            <w:pPr>
              <w:spacing w:after="0"/>
              <w:rPr>
                <w:sz w:val="20"/>
                <w:szCs w:val="20"/>
                <w:color w:val="auto"/>
              </w:rPr>
            </w:pPr>
          </w:p>
        </w:tc>
        <w:tc>
          <w:tcPr>
            <w:tcW w:w="220" w:type="dxa"/>
            <w:vAlign w:val="bottom"/>
            <w:tcBorders>
              <w:top w:val="single" w:sz="8" w:color="D9D9D6"/>
            </w:tcBorders>
            <w:shd w:val="clear" w:color="auto" w:fill="D9D9D6"/>
          </w:tcPr>
          <w:p>
            <w:pPr>
              <w:spacing w:after="0"/>
              <w:rPr>
                <w:sz w:val="20"/>
                <w:szCs w:val="20"/>
                <w:color w:val="auto"/>
              </w:rPr>
            </w:pPr>
          </w:p>
        </w:tc>
        <w:tc>
          <w:tcPr>
            <w:tcW w:w="980" w:type="dxa"/>
            <w:vAlign w:val="bottom"/>
            <w:tcBorders>
              <w:top w:val="single" w:sz="8" w:color="D9D9D6"/>
            </w:tcBorders>
            <w:gridSpan w:val="4"/>
            <w:shd w:val="clear" w:color="auto" w:fill="D9D9D6"/>
          </w:tcPr>
          <w:p>
            <w:pPr>
              <w:jc w:val="right"/>
              <w:ind w:right="18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35"/>
        </w:trPr>
        <w:tc>
          <w:tcPr>
            <w:tcW w:w="120" w:type="dxa"/>
            <w:vAlign w:val="bottom"/>
            <w:shd w:val="clear" w:color="auto" w:fill="D9D9D6"/>
          </w:tcPr>
          <w:p>
            <w:pPr>
              <w:spacing w:after="0"/>
              <w:rPr>
                <w:sz w:val="11"/>
                <w:szCs w:val="11"/>
                <w:color w:val="auto"/>
              </w:rPr>
            </w:pPr>
          </w:p>
        </w:tc>
        <w:tc>
          <w:tcPr>
            <w:tcW w:w="2860" w:type="dxa"/>
            <w:vAlign w:val="bottom"/>
            <w:shd w:val="clear" w:color="auto" w:fill="D9D9D6"/>
          </w:tcPr>
          <w:p>
            <w:pPr>
              <w:spacing w:after="0"/>
              <w:rPr>
                <w:sz w:val="11"/>
                <w:szCs w:val="11"/>
                <w:color w:val="auto"/>
              </w:rPr>
            </w:pPr>
          </w:p>
        </w:tc>
        <w:tc>
          <w:tcPr>
            <w:tcW w:w="92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92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980" w:type="dxa"/>
            <w:vAlign w:val="bottom"/>
            <w:gridSpan w:val="5"/>
            <w:vMerge w:val="restart"/>
            <w:shd w:val="clear" w:color="auto" w:fill="D9D9D6"/>
          </w:tcPr>
          <w:p>
            <w:pPr>
              <w:ind w:left="460"/>
              <w:spacing w:after="0"/>
              <w:rPr>
                <w:sz w:val="20"/>
                <w:szCs w:val="20"/>
                <w:color w:val="auto"/>
              </w:rPr>
            </w:pPr>
            <w:r>
              <w:rPr>
                <w:rFonts w:ascii="Arial" w:cs="Arial" w:eastAsia="Arial" w:hAnsi="Arial"/>
                <w:sz w:val="14"/>
                <w:szCs w:val="14"/>
                <w:color w:val="auto"/>
              </w:rPr>
              <w:t>Change</w:t>
            </w:r>
          </w:p>
        </w:tc>
        <w:tc>
          <w:tcPr>
            <w:tcW w:w="1060" w:type="dxa"/>
            <w:vAlign w:val="bottom"/>
            <w:gridSpan w:val="4"/>
            <w:shd w:val="clear" w:color="auto" w:fill="D9D9D6"/>
          </w:tcPr>
          <w:p>
            <w:pPr>
              <w:jc w:val="right"/>
              <w:ind w:right="60"/>
              <w:spacing w:after="0" w:line="135" w:lineRule="exact"/>
              <w:rPr>
                <w:sz w:val="20"/>
                <w:szCs w:val="20"/>
                <w:color w:val="auto"/>
              </w:rPr>
            </w:pPr>
            <w:r>
              <w:rPr>
                <w:rFonts w:ascii="Arial" w:cs="Arial" w:eastAsia="Arial" w:hAnsi="Arial"/>
                <w:sz w:val="14"/>
                <w:szCs w:val="14"/>
                <w:color w:val="auto"/>
              </w:rPr>
              <w:t>Currency</w:t>
            </w:r>
          </w:p>
        </w:tc>
        <w:tc>
          <w:tcPr>
            <w:tcW w:w="140" w:type="dxa"/>
            <w:vAlign w:val="bottom"/>
            <w:tcBorders>
              <w:right w:val="single" w:sz="8" w:color="97999B"/>
            </w:tcBorders>
            <w:shd w:val="clear" w:color="auto" w:fill="D9D9D6"/>
          </w:tcPr>
          <w:p>
            <w:pPr>
              <w:spacing w:after="0"/>
              <w:rPr>
                <w:sz w:val="11"/>
                <w:szCs w:val="11"/>
                <w:color w:val="auto"/>
              </w:rPr>
            </w:pPr>
          </w:p>
        </w:tc>
        <w:tc>
          <w:tcPr>
            <w:tcW w:w="1300" w:type="dxa"/>
            <w:vAlign w:val="bottom"/>
            <w:gridSpan w:val="4"/>
            <w:vMerge w:val="restart"/>
            <w:shd w:val="clear" w:color="auto" w:fill="D9D9D6"/>
          </w:tcPr>
          <w:p>
            <w:pPr>
              <w:jc w:val="right"/>
              <w:ind w:right="220"/>
              <w:spacing w:after="0"/>
              <w:rPr>
                <w:sz w:val="20"/>
                <w:szCs w:val="20"/>
                <w:color w:val="auto"/>
              </w:rPr>
            </w:pPr>
            <w:r>
              <w:rPr>
                <w:rFonts w:ascii="Arial" w:cs="Arial" w:eastAsia="Arial" w:hAnsi="Arial"/>
                <w:sz w:val="14"/>
                <w:szCs w:val="14"/>
                <w:color w:val="auto"/>
              </w:rPr>
              <w:t>2021</w:t>
            </w:r>
          </w:p>
        </w:tc>
        <w:tc>
          <w:tcPr>
            <w:tcW w:w="1220" w:type="dxa"/>
            <w:vAlign w:val="bottom"/>
            <w:gridSpan w:val="4"/>
            <w:vMerge w:val="restart"/>
            <w:shd w:val="clear" w:color="auto" w:fill="D9D9D6"/>
          </w:tcPr>
          <w:p>
            <w:pPr>
              <w:jc w:val="right"/>
              <w:ind w:right="460"/>
              <w:spacing w:after="0"/>
              <w:rPr>
                <w:sz w:val="20"/>
                <w:szCs w:val="20"/>
                <w:color w:val="auto"/>
              </w:rPr>
            </w:pPr>
            <w:r>
              <w:rPr>
                <w:rFonts w:ascii="Arial" w:cs="Arial" w:eastAsia="Arial" w:hAnsi="Arial"/>
                <w:sz w:val="14"/>
                <w:szCs w:val="14"/>
                <w:color w:val="auto"/>
              </w:rPr>
              <w:t>2020</w:t>
            </w:r>
          </w:p>
        </w:tc>
        <w:tc>
          <w:tcPr>
            <w:tcW w:w="20" w:type="dxa"/>
            <w:vAlign w:val="bottom"/>
            <w:shd w:val="clear" w:color="auto" w:fill="D9D9D6"/>
          </w:tcPr>
          <w:p>
            <w:pPr>
              <w:spacing w:after="0"/>
              <w:rPr>
                <w:sz w:val="11"/>
                <w:szCs w:val="11"/>
                <w:color w:val="auto"/>
              </w:rPr>
            </w:pPr>
          </w:p>
        </w:tc>
        <w:tc>
          <w:tcPr>
            <w:tcW w:w="72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Change</w:t>
            </w:r>
          </w:p>
        </w:tc>
        <w:tc>
          <w:tcPr>
            <w:tcW w:w="980" w:type="dxa"/>
            <w:vAlign w:val="bottom"/>
            <w:gridSpan w:val="4"/>
            <w:shd w:val="clear" w:color="auto" w:fill="D9D9D6"/>
          </w:tcPr>
          <w:p>
            <w:pPr>
              <w:jc w:val="right"/>
              <w:ind w:right="180"/>
              <w:spacing w:after="0" w:line="135"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44"/>
        </w:trPr>
        <w:tc>
          <w:tcPr>
            <w:tcW w:w="120" w:type="dxa"/>
            <w:vAlign w:val="bottom"/>
            <w:shd w:val="clear" w:color="auto" w:fill="D9D9D6"/>
          </w:tcPr>
          <w:p>
            <w:pPr>
              <w:spacing w:after="0"/>
              <w:rPr>
                <w:sz w:val="12"/>
                <w:szCs w:val="12"/>
                <w:color w:val="auto"/>
              </w:rPr>
            </w:pPr>
          </w:p>
        </w:tc>
        <w:tc>
          <w:tcPr>
            <w:tcW w:w="286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20" w:type="dxa"/>
            <w:vAlign w:val="bottom"/>
            <w:gridSpan w:val="3"/>
            <w:vMerge w:val="continue"/>
            <w:shd w:val="clear" w:color="auto" w:fill="D9D9D6"/>
          </w:tcPr>
          <w:p>
            <w:pPr>
              <w:spacing w:after="0"/>
              <w:rPr>
                <w:sz w:val="12"/>
                <w:szCs w:val="12"/>
                <w:color w:val="auto"/>
              </w:rPr>
            </w:pPr>
          </w:p>
        </w:tc>
        <w:tc>
          <w:tcPr>
            <w:tcW w:w="920" w:type="dxa"/>
            <w:vAlign w:val="bottom"/>
            <w:gridSpan w:val="4"/>
            <w:vMerge w:val="continue"/>
            <w:shd w:val="clear" w:color="auto" w:fill="D9D9D6"/>
          </w:tcPr>
          <w:p>
            <w:pPr>
              <w:spacing w:after="0"/>
              <w:rPr>
                <w:sz w:val="12"/>
                <w:szCs w:val="12"/>
                <w:color w:val="auto"/>
              </w:rPr>
            </w:pPr>
          </w:p>
        </w:tc>
        <w:tc>
          <w:tcPr>
            <w:tcW w:w="980" w:type="dxa"/>
            <w:vAlign w:val="bottom"/>
            <w:gridSpan w:val="5"/>
            <w:vMerge w:val="continue"/>
            <w:shd w:val="clear" w:color="auto" w:fill="D9D9D6"/>
          </w:tcPr>
          <w:p>
            <w:pPr>
              <w:spacing w:after="0"/>
              <w:rPr>
                <w:sz w:val="12"/>
                <w:szCs w:val="12"/>
                <w:color w:val="auto"/>
              </w:rPr>
            </w:pPr>
          </w:p>
        </w:tc>
        <w:tc>
          <w:tcPr>
            <w:tcW w:w="1060" w:type="dxa"/>
            <w:vAlign w:val="bottom"/>
            <w:gridSpan w:val="4"/>
            <w:shd w:val="clear" w:color="auto" w:fill="D9D9D6"/>
          </w:tcPr>
          <w:p>
            <w:pPr>
              <w:jc w:val="right"/>
              <w:ind w:right="20"/>
              <w:spacing w:after="0" w:line="144"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u w:val="single" w:color="auto"/>
                <w:color w:val="auto"/>
              </w:rPr>
              <w:t>8</w:t>
            </w:r>
          </w:p>
        </w:tc>
        <w:tc>
          <w:tcPr>
            <w:tcW w:w="140" w:type="dxa"/>
            <w:vAlign w:val="bottom"/>
            <w:tcBorders>
              <w:right w:val="single" w:sz="8" w:color="97999B"/>
            </w:tcBorders>
            <w:shd w:val="clear" w:color="auto" w:fill="D9D9D6"/>
          </w:tcPr>
          <w:p>
            <w:pPr>
              <w:spacing w:after="0"/>
              <w:rPr>
                <w:sz w:val="12"/>
                <w:szCs w:val="12"/>
                <w:color w:val="auto"/>
              </w:rPr>
            </w:pPr>
          </w:p>
        </w:tc>
        <w:tc>
          <w:tcPr>
            <w:tcW w:w="1300" w:type="dxa"/>
            <w:vAlign w:val="bottom"/>
            <w:gridSpan w:val="4"/>
            <w:vMerge w:val="continue"/>
            <w:shd w:val="clear" w:color="auto" w:fill="D9D9D6"/>
          </w:tcPr>
          <w:p>
            <w:pPr>
              <w:spacing w:after="0"/>
              <w:rPr>
                <w:sz w:val="12"/>
                <w:szCs w:val="12"/>
                <w:color w:val="auto"/>
              </w:rPr>
            </w:pPr>
          </w:p>
        </w:tc>
        <w:tc>
          <w:tcPr>
            <w:tcW w:w="1220" w:type="dxa"/>
            <w:vAlign w:val="bottom"/>
            <w:gridSpan w:val="4"/>
            <w:vMerge w:val="continue"/>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720" w:type="dxa"/>
            <w:vAlign w:val="bottom"/>
            <w:gridSpan w:val="2"/>
            <w:vMerge w:val="continue"/>
            <w:shd w:val="clear" w:color="auto" w:fill="D9D9D6"/>
          </w:tcPr>
          <w:p>
            <w:pPr>
              <w:spacing w:after="0"/>
              <w:rPr>
                <w:sz w:val="12"/>
                <w:szCs w:val="12"/>
                <w:color w:val="auto"/>
              </w:rPr>
            </w:pPr>
          </w:p>
        </w:tc>
        <w:tc>
          <w:tcPr>
            <w:tcW w:w="280" w:type="dxa"/>
            <w:vAlign w:val="bottom"/>
            <w:shd w:val="clear" w:color="auto" w:fill="D9D9D6"/>
          </w:tcPr>
          <w:p>
            <w:pPr>
              <w:spacing w:after="0"/>
              <w:rPr>
                <w:sz w:val="12"/>
                <w:szCs w:val="12"/>
                <w:color w:val="auto"/>
              </w:rPr>
            </w:pPr>
          </w:p>
        </w:tc>
        <w:tc>
          <w:tcPr>
            <w:tcW w:w="700" w:type="dxa"/>
            <w:vAlign w:val="bottom"/>
            <w:gridSpan w:val="3"/>
            <w:shd w:val="clear" w:color="auto" w:fill="D9D9D6"/>
          </w:tcPr>
          <w:p>
            <w:pPr>
              <w:spacing w:after="0" w:line="144"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u w:val="single" w:color="auto"/>
                <w:color w:val="auto"/>
              </w:rPr>
              <w:t>8</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2860" w:type="dxa"/>
            <w:vAlign w:val="bottom"/>
            <w:tcBorders>
              <w:top w:val="single" w:sz="8" w:color="D9D9D6"/>
            </w:tcBorders>
            <w:vMerge w:val="continue"/>
            <w:shd w:val="clear" w:color="auto" w:fill="D9D9D6"/>
          </w:tcPr>
          <w:p>
            <w:pPr>
              <w:spacing w:after="0"/>
              <w:rPr>
                <w:sz w:val="17"/>
                <w:szCs w:val="17"/>
                <w:color w:val="auto"/>
              </w:rPr>
            </w:pPr>
          </w:p>
        </w:tc>
        <w:tc>
          <w:tcPr>
            <w:tcW w:w="5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80" w:type="dxa"/>
            <w:vAlign w:val="bottom"/>
            <w:tcBorders>
              <w:top w:val="single" w:sz="8" w:color="D9D9D6"/>
            </w:tcBorders>
            <w:shd w:val="clear" w:color="auto" w:fill="D9D9D6"/>
          </w:tcPr>
          <w:p>
            <w:pPr>
              <w:spacing w:after="0"/>
              <w:rPr>
                <w:sz w:val="17"/>
                <w:szCs w:val="17"/>
                <w:color w:val="auto"/>
              </w:rPr>
            </w:pPr>
          </w:p>
        </w:tc>
        <w:tc>
          <w:tcPr>
            <w:tcW w:w="80" w:type="dxa"/>
            <w:vAlign w:val="bottom"/>
            <w:tcBorders>
              <w:top w:val="single" w:sz="8" w:color="auto"/>
            </w:tcBorders>
            <w:shd w:val="clear" w:color="auto" w:fill="D9D9D6"/>
          </w:tcPr>
          <w:p>
            <w:pPr>
              <w:spacing w:after="0"/>
              <w:rPr>
                <w:sz w:val="17"/>
                <w:szCs w:val="17"/>
                <w:color w:val="auto"/>
              </w:rPr>
            </w:pPr>
          </w:p>
        </w:tc>
        <w:tc>
          <w:tcPr>
            <w:tcW w:w="24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auto"/>
            </w:tcBorders>
            <w:shd w:val="clear" w:color="auto" w:fill="D9D9D6"/>
          </w:tcPr>
          <w:p>
            <w:pPr>
              <w:spacing w:after="0"/>
              <w:rPr>
                <w:sz w:val="17"/>
                <w:szCs w:val="17"/>
                <w:color w:val="auto"/>
              </w:rPr>
            </w:pPr>
          </w:p>
        </w:tc>
        <w:tc>
          <w:tcPr>
            <w:tcW w:w="30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14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right w:val="single" w:sz="8" w:color="97999B"/>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66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42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28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Direct-to-Consumer</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$4,127</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$3,943</w:t>
            </w: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(0.1 %)</w:t>
            </w:r>
          </w:p>
        </w:tc>
        <w:tc>
          <w:tcPr>
            <w:tcW w:w="14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$12,415</w:t>
            </w:r>
          </w:p>
        </w:tc>
        <w:tc>
          <w:tcPr>
            <w:tcW w:w="1220" w:type="dxa"/>
            <w:vAlign w:val="bottom"/>
            <w:gridSpan w:val="4"/>
            <w:shd w:val="clear" w:color="auto" w:fill="D9D9D6"/>
          </w:tcPr>
          <w:p>
            <w:pPr>
              <w:jc w:val="right"/>
              <w:ind w:right="460"/>
              <w:spacing w:after="0"/>
              <w:rPr>
                <w:sz w:val="20"/>
                <w:szCs w:val="20"/>
                <w:color w:val="auto"/>
              </w:rPr>
            </w:pPr>
            <w:r>
              <w:rPr>
                <w:rFonts w:ascii="Arial" w:cs="Arial" w:eastAsia="Arial" w:hAnsi="Arial"/>
                <w:sz w:val="14"/>
                <w:szCs w:val="14"/>
                <w:color w:val="auto"/>
              </w:rPr>
              <w:t>$11,146</w:t>
            </w: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jc w:val="right"/>
              <w:spacing w:after="0"/>
              <w:rPr>
                <w:sz w:val="20"/>
                <w:szCs w:val="20"/>
                <w:color w:val="auto"/>
              </w:rPr>
            </w:pPr>
            <w:r>
              <w:rPr>
                <w:rFonts w:ascii="Arial" w:cs="Arial" w:eastAsia="Arial" w:hAnsi="Arial"/>
                <w:sz w:val="14"/>
                <w:szCs w:val="14"/>
                <w:color w:val="auto"/>
              </w:rPr>
              <w:t>11.4 %</w:t>
            </w:r>
          </w:p>
        </w:tc>
        <w:tc>
          <w:tcPr>
            <w:tcW w:w="22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3.1 %</w:t>
            </w: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300</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388</w:t>
            </w: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(22.8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(26.4 %)</w:t>
            </w:r>
          </w:p>
        </w:tc>
        <w:tc>
          <w:tcPr>
            <w:tcW w:w="14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1,013</w:t>
            </w:r>
          </w:p>
        </w:tc>
        <w:tc>
          <w:tcPr>
            <w:tcW w:w="1220" w:type="dxa"/>
            <w:vAlign w:val="bottom"/>
            <w:gridSpan w:val="4"/>
            <w:shd w:val="clear" w:color="auto" w:fill="D9D9D6"/>
          </w:tcPr>
          <w:p>
            <w:pPr>
              <w:jc w:val="right"/>
              <w:ind w:right="460"/>
              <w:spacing w:after="0"/>
              <w:rPr>
                <w:sz w:val="20"/>
                <w:szCs w:val="20"/>
                <w:color w:val="auto"/>
              </w:rPr>
            </w:pPr>
            <w:r>
              <w:rPr>
                <w:rFonts w:ascii="Arial" w:cs="Arial" w:eastAsia="Arial" w:hAnsi="Arial"/>
                <w:sz w:val="14"/>
                <w:szCs w:val="14"/>
                <w:color w:val="auto"/>
              </w:rPr>
              <w:t>947</w:t>
            </w: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jc w:val="right"/>
              <w:spacing w:after="0"/>
              <w:rPr>
                <w:sz w:val="20"/>
                <w:szCs w:val="20"/>
                <w:color w:val="auto"/>
              </w:rPr>
            </w:pPr>
            <w:r>
              <w:rPr>
                <w:rFonts w:ascii="Arial" w:cs="Arial" w:eastAsia="Arial" w:hAnsi="Arial"/>
                <w:sz w:val="14"/>
                <w:szCs w:val="14"/>
                <w:color w:val="auto"/>
              </w:rPr>
              <w:t>7.0 %</w:t>
            </w:r>
          </w:p>
        </w:tc>
        <w:tc>
          <w:tcPr>
            <w:tcW w:w="2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(0.7 %)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28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9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561</w:t>
            </w:r>
          </w:p>
        </w:tc>
        <w:tc>
          <w:tcPr>
            <w:tcW w:w="9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462</w:t>
            </w:r>
          </w:p>
        </w:tc>
        <w:tc>
          <w:tcPr>
            <w:tcW w:w="7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21.4</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15.6</w:t>
            </w:r>
          </w:p>
        </w:tc>
        <w:tc>
          <w:tcPr>
            <w:tcW w:w="14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6"/>
              </w:rPr>
              <w:t>%</w:t>
            </w:r>
          </w:p>
        </w:tc>
        <w:tc>
          <w:tcPr>
            <w:tcW w:w="60" w:type="dxa"/>
            <w:vAlign w:val="bottom"/>
            <w:tcBorders>
              <w:bottom w:val="single" w:sz="8" w:color="auto"/>
            </w:tcBorders>
            <w:shd w:val="clear" w:color="auto" w:fill="D9D9D6"/>
          </w:tcPr>
          <w:p>
            <w:pPr>
              <w:spacing w:after="0"/>
              <w:rPr>
                <w:sz w:val="16"/>
                <w:szCs w:val="16"/>
                <w:color w:val="auto"/>
              </w:rPr>
            </w:pPr>
          </w:p>
        </w:tc>
        <w:tc>
          <w:tcPr>
            <w:tcW w:w="140" w:type="dxa"/>
            <w:vAlign w:val="bottom"/>
            <w:tcBorders>
              <w:bottom w:val="single" w:sz="8" w:color="D9D9D6"/>
              <w:right w:val="single" w:sz="8" w:color="97999B"/>
            </w:tcBorders>
            <w:shd w:val="clear" w:color="auto" w:fill="D9D9D6"/>
          </w:tcPr>
          <w:p>
            <w:pPr>
              <w:spacing w:after="0"/>
              <w:rPr>
                <w:sz w:val="16"/>
                <w:szCs w:val="16"/>
                <w:color w:val="auto"/>
              </w:rPr>
            </w:pPr>
          </w:p>
        </w:tc>
        <w:tc>
          <w:tcPr>
            <w:tcW w:w="100" w:type="dxa"/>
            <w:vAlign w:val="bottom"/>
            <w:tcBorders>
              <w:bottom w:val="single" w:sz="8" w:color="D9D9D6"/>
            </w:tcBorders>
            <w:shd w:val="clear" w:color="auto" w:fill="D9D9D6"/>
          </w:tcPr>
          <w:p>
            <w:pPr>
              <w:spacing w:after="0"/>
              <w:rPr>
                <w:sz w:val="16"/>
                <w:szCs w:val="16"/>
                <w:color w:val="auto"/>
              </w:rPr>
            </w:pPr>
          </w:p>
        </w:tc>
        <w:tc>
          <w:tcPr>
            <w:tcW w:w="1200" w:type="dxa"/>
            <w:vAlign w:val="bottom"/>
            <w:tcBorders>
              <w:bottom w:val="single" w:sz="8" w:color="auto"/>
            </w:tcBorders>
            <w:gridSpan w:val="3"/>
            <w:shd w:val="clear" w:color="auto" w:fill="D9D9D6"/>
          </w:tcPr>
          <w:p>
            <w:pPr>
              <w:jc w:val="right"/>
              <w:ind w:right="220"/>
              <w:spacing w:after="0"/>
              <w:rPr>
                <w:sz w:val="20"/>
                <w:szCs w:val="20"/>
                <w:color w:val="auto"/>
              </w:rPr>
            </w:pPr>
            <w:r>
              <w:rPr>
                <w:rFonts w:ascii="Arial" w:cs="Arial" w:eastAsia="Arial" w:hAnsi="Arial"/>
                <w:sz w:val="14"/>
                <w:szCs w:val="14"/>
                <w:color w:val="auto"/>
              </w:rPr>
              <w:t>1,777</w:t>
            </w:r>
          </w:p>
        </w:tc>
        <w:tc>
          <w:tcPr>
            <w:tcW w:w="1220" w:type="dxa"/>
            <w:vAlign w:val="bottom"/>
            <w:tcBorders>
              <w:bottom w:val="single" w:sz="8" w:color="auto"/>
            </w:tcBorders>
            <w:gridSpan w:val="4"/>
            <w:shd w:val="clear" w:color="auto" w:fill="D9D9D6"/>
          </w:tcPr>
          <w:p>
            <w:pPr>
              <w:jc w:val="right"/>
              <w:ind w:right="460"/>
              <w:spacing w:after="0"/>
              <w:rPr>
                <w:sz w:val="20"/>
                <w:szCs w:val="20"/>
                <w:color w:val="auto"/>
              </w:rPr>
            </w:pPr>
            <w:r>
              <w:rPr>
                <w:rFonts w:ascii="Arial" w:cs="Arial" w:eastAsia="Arial" w:hAnsi="Arial"/>
                <w:sz w:val="14"/>
                <w:szCs w:val="14"/>
                <w:color w:val="auto"/>
              </w:rPr>
              <w:t>1,296</w:t>
            </w:r>
          </w:p>
        </w:tc>
        <w:tc>
          <w:tcPr>
            <w:tcW w:w="20" w:type="dxa"/>
            <w:vAlign w:val="bottom"/>
            <w:tcBorders>
              <w:bottom w:val="single" w:sz="8" w:color="auto"/>
            </w:tcBorders>
            <w:shd w:val="clear" w:color="auto" w:fill="D9D9D6"/>
          </w:tcPr>
          <w:p>
            <w:pPr>
              <w:spacing w:after="0"/>
              <w:rPr>
                <w:sz w:val="16"/>
                <w:szCs w:val="16"/>
                <w:color w:val="auto"/>
              </w:rPr>
            </w:pPr>
          </w:p>
        </w:tc>
        <w:tc>
          <w:tcPr>
            <w:tcW w:w="50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37.1 %</w:t>
            </w:r>
          </w:p>
        </w:tc>
        <w:tc>
          <w:tcPr>
            <w:tcW w:w="220" w:type="dxa"/>
            <w:vAlign w:val="bottom"/>
            <w:tcBorders>
              <w:bottom w:val="single" w:sz="8" w:color="auto"/>
            </w:tcBorders>
            <w:shd w:val="clear" w:color="auto" w:fill="D9D9D6"/>
          </w:tcPr>
          <w:p>
            <w:pPr>
              <w:spacing w:after="0"/>
              <w:rPr>
                <w:sz w:val="16"/>
                <w:szCs w:val="16"/>
                <w:color w:val="auto"/>
              </w:rPr>
            </w:pPr>
          </w:p>
        </w:tc>
        <w:tc>
          <w:tcPr>
            <w:tcW w:w="7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27.0 %</w:t>
            </w:r>
          </w:p>
        </w:tc>
        <w:tc>
          <w:tcPr>
            <w:tcW w:w="8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28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$4,988</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$4,793</w:t>
            </w: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4.1</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(0.7</w:t>
            </w:r>
          </w:p>
        </w:tc>
        <w:tc>
          <w:tcPr>
            <w:tcW w:w="200" w:type="dxa"/>
            <w:vAlign w:val="bottom"/>
            <w:gridSpan w:val="2"/>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97999B"/>
            </w:tcBorders>
            <w:shd w:val="clear" w:color="auto" w:fill="D9D9D6"/>
          </w:tcPr>
          <w:p>
            <w:pPr>
              <w:spacing w:after="0"/>
              <w:rPr>
                <w:sz w:val="15"/>
                <w:szCs w:val="15"/>
                <w:color w:val="auto"/>
              </w:rPr>
            </w:pPr>
          </w:p>
        </w:tc>
        <w:tc>
          <w:tcPr>
            <w:tcW w:w="130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$15,205</w:t>
            </w:r>
          </w:p>
        </w:tc>
        <w:tc>
          <w:tcPr>
            <w:tcW w:w="1220" w:type="dxa"/>
            <w:vAlign w:val="bottom"/>
            <w:gridSpan w:val="4"/>
            <w:shd w:val="clear" w:color="auto" w:fill="D9D9D6"/>
          </w:tcPr>
          <w:p>
            <w:pPr>
              <w:jc w:val="right"/>
              <w:ind w:right="460"/>
              <w:spacing w:after="0"/>
              <w:rPr>
                <w:sz w:val="20"/>
                <w:szCs w:val="20"/>
                <w:color w:val="auto"/>
              </w:rPr>
            </w:pPr>
            <w:r>
              <w:rPr>
                <w:rFonts w:ascii="Arial" w:cs="Arial" w:eastAsia="Arial" w:hAnsi="Arial"/>
                <w:sz w:val="14"/>
                <w:szCs w:val="14"/>
                <w:b w:val="1"/>
                <w:bCs w:val="1"/>
                <w:color w:val="auto"/>
              </w:rPr>
              <w:t>$13,389</w:t>
            </w:r>
          </w:p>
        </w:tc>
        <w:tc>
          <w:tcPr>
            <w:tcW w:w="20" w:type="dxa"/>
            <w:vAlign w:val="bottom"/>
            <w:shd w:val="clear" w:color="auto" w:fill="D9D9D6"/>
          </w:tcPr>
          <w:p>
            <w:pPr>
              <w:spacing w:after="0"/>
              <w:rPr>
                <w:sz w:val="15"/>
                <w:szCs w:val="15"/>
                <w:color w:val="auto"/>
              </w:rPr>
            </w:pPr>
          </w:p>
        </w:tc>
        <w:tc>
          <w:tcPr>
            <w:tcW w:w="50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13.6 %</w:t>
            </w:r>
          </w:p>
        </w:tc>
        <w:tc>
          <w:tcPr>
            <w:tcW w:w="220" w:type="dxa"/>
            <w:vAlign w:val="bottom"/>
            <w:shd w:val="clear" w:color="auto" w:fill="D9D9D6"/>
          </w:tcPr>
          <w:p>
            <w:pPr>
              <w:spacing w:after="0"/>
              <w:rPr>
                <w:sz w:val="15"/>
                <w:szCs w:val="15"/>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5.1 %</w:t>
            </w:r>
          </w:p>
        </w:tc>
        <w:tc>
          <w:tcPr>
            <w:tcW w:w="8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28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Operating Costs and Expenses</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$4,016</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$4,278</w:t>
            </w: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(6.1 %)</w:t>
            </w:r>
          </w:p>
        </w:tc>
        <w:tc>
          <w:tcPr>
            <w:tcW w:w="20" w:type="dxa"/>
            <w:vAlign w:val="bottom"/>
            <w:shd w:val="clear" w:color="auto" w:fill="D9D9D6"/>
          </w:tcPr>
          <w:p>
            <w:pPr>
              <w:spacing w:after="0"/>
              <w:rPr>
                <w:sz w:val="24"/>
                <w:szCs w:val="24"/>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(10.2 %)</w:t>
            </w:r>
          </w:p>
        </w:tc>
        <w:tc>
          <w:tcPr>
            <w:tcW w:w="140" w:type="dxa"/>
            <w:vAlign w:val="bottom"/>
            <w:tcBorders>
              <w:right w:val="single" w:sz="8" w:color="97999B"/>
            </w:tcBorders>
            <w:shd w:val="clear" w:color="auto" w:fill="D9D9D6"/>
          </w:tcPr>
          <w:p>
            <w:pPr>
              <w:spacing w:after="0"/>
              <w:rPr>
                <w:sz w:val="24"/>
                <w:szCs w:val="24"/>
                <w:color w:val="auto"/>
              </w:rPr>
            </w:pPr>
          </w:p>
        </w:tc>
        <w:tc>
          <w:tcPr>
            <w:tcW w:w="130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$13,310</w:t>
            </w:r>
          </w:p>
        </w:tc>
        <w:tc>
          <w:tcPr>
            <w:tcW w:w="1220" w:type="dxa"/>
            <w:vAlign w:val="bottom"/>
            <w:gridSpan w:val="4"/>
            <w:shd w:val="clear" w:color="auto" w:fill="D9D9D6"/>
          </w:tcPr>
          <w:p>
            <w:pPr>
              <w:jc w:val="right"/>
              <w:ind w:right="460"/>
              <w:spacing w:after="0"/>
              <w:rPr>
                <w:sz w:val="20"/>
                <w:szCs w:val="20"/>
                <w:color w:val="auto"/>
              </w:rPr>
            </w:pPr>
            <w:r>
              <w:rPr>
                <w:rFonts w:ascii="Arial" w:cs="Arial" w:eastAsia="Arial" w:hAnsi="Arial"/>
                <w:sz w:val="14"/>
                <w:szCs w:val="14"/>
                <w:b w:val="1"/>
                <w:bCs w:val="1"/>
                <w:color w:val="auto"/>
              </w:rPr>
              <w:t>$11,574</w:t>
            </w: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15.0 %</w:t>
            </w:r>
          </w:p>
        </w:tc>
        <w:tc>
          <w:tcPr>
            <w:tcW w:w="220" w:type="dxa"/>
            <w:vAlign w:val="bottom"/>
            <w:shd w:val="clear" w:color="auto" w:fill="D9D9D6"/>
          </w:tcPr>
          <w:p>
            <w:pPr>
              <w:spacing w:after="0"/>
              <w:rPr>
                <w:sz w:val="24"/>
                <w:szCs w:val="24"/>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6.6 %</w:t>
            </w:r>
          </w:p>
        </w:tc>
        <w:tc>
          <w:tcPr>
            <w:tcW w:w="8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28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Adjusted EBITDA</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$971</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$515</w:t>
            </w: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88.8 %</w:t>
            </w:r>
          </w:p>
        </w:tc>
        <w:tc>
          <w:tcPr>
            <w:tcW w:w="2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76.2 %</w:t>
            </w:r>
          </w:p>
        </w:tc>
        <w:tc>
          <w:tcPr>
            <w:tcW w:w="60" w:type="dxa"/>
            <w:vAlign w:val="bottom"/>
            <w:shd w:val="clear" w:color="auto" w:fill="D9D9D6"/>
          </w:tcPr>
          <w:p>
            <w:pPr>
              <w:spacing w:after="0"/>
              <w:rPr>
                <w:sz w:val="24"/>
                <w:szCs w:val="24"/>
                <w:color w:val="auto"/>
              </w:rPr>
            </w:pPr>
          </w:p>
        </w:tc>
        <w:tc>
          <w:tcPr>
            <w:tcW w:w="140" w:type="dxa"/>
            <w:vAlign w:val="bottom"/>
            <w:tcBorders>
              <w:right w:val="single" w:sz="8" w:color="97999B"/>
            </w:tcBorders>
            <w:shd w:val="clear" w:color="auto" w:fill="D9D9D6"/>
          </w:tcPr>
          <w:p>
            <w:pPr>
              <w:spacing w:after="0"/>
              <w:rPr>
                <w:sz w:val="24"/>
                <w:szCs w:val="24"/>
                <w:color w:val="auto"/>
              </w:rPr>
            </w:pPr>
          </w:p>
        </w:tc>
        <w:tc>
          <w:tcPr>
            <w:tcW w:w="130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$1,895</w:t>
            </w:r>
          </w:p>
        </w:tc>
        <w:tc>
          <w:tcPr>
            <w:tcW w:w="1220" w:type="dxa"/>
            <w:vAlign w:val="bottom"/>
            <w:gridSpan w:val="4"/>
            <w:shd w:val="clear" w:color="auto" w:fill="D9D9D6"/>
          </w:tcPr>
          <w:p>
            <w:pPr>
              <w:jc w:val="right"/>
              <w:ind w:right="460"/>
              <w:spacing w:after="0"/>
              <w:rPr>
                <w:sz w:val="20"/>
                <w:szCs w:val="20"/>
                <w:color w:val="auto"/>
              </w:rPr>
            </w:pPr>
            <w:r>
              <w:rPr>
                <w:rFonts w:ascii="Arial" w:cs="Arial" w:eastAsia="Arial" w:hAnsi="Arial"/>
                <w:sz w:val="14"/>
                <w:szCs w:val="14"/>
                <w:b w:val="1"/>
                <w:bCs w:val="1"/>
                <w:color w:val="auto"/>
              </w:rPr>
              <w:t>$1,815</w:t>
            </w: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4.4 %</w:t>
            </w:r>
          </w:p>
        </w:tc>
        <w:tc>
          <w:tcPr>
            <w:tcW w:w="2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(4.3 %)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6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19.5 %</w:t>
            </w:r>
          </w:p>
        </w:tc>
        <w:tc>
          <w:tcPr>
            <w:tcW w:w="20" w:type="dxa"/>
            <w:vAlign w:val="bottom"/>
            <w:shd w:val="clear" w:color="auto" w:fill="D9D9D6"/>
          </w:tcPr>
          <w:p>
            <w:pPr>
              <w:spacing w:after="0"/>
              <w:rPr>
                <w:sz w:val="16"/>
                <w:szCs w:val="16"/>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10.7 %</w:t>
            </w:r>
          </w:p>
        </w:tc>
        <w:tc>
          <w:tcPr>
            <w:tcW w:w="2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12.5 %</w:t>
            </w:r>
          </w:p>
        </w:tc>
        <w:tc>
          <w:tcPr>
            <w:tcW w:w="220" w:type="dxa"/>
            <w:vAlign w:val="bottom"/>
            <w:shd w:val="clear" w:color="auto" w:fill="D9D9D6"/>
          </w:tcPr>
          <w:p>
            <w:pPr>
              <w:spacing w:after="0"/>
              <w:rPr>
                <w:sz w:val="16"/>
                <w:szCs w:val="16"/>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13.6 %</w:t>
            </w:r>
          </w:p>
        </w:tc>
        <w:tc>
          <w:tcPr>
            <w:tcW w:w="4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2860" w:type="dxa"/>
            <w:vAlign w:val="bottom"/>
            <w:shd w:val="clear" w:color="auto" w:fill="D9D9D6"/>
          </w:tcPr>
          <w:p>
            <w:pPr>
              <w:spacing w:after="0"/>
              <w:rPr>
                <w:sz w:val="4"/>
                <w:szCs w:val="4"/>
                <w:color w:val="auto"/>
              </w:rPr>
            </w:pPr>
          </w:p>
        </w:tc>
        <w:tc>
          <w:tcPr>
            <w:tcW w:w="5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8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2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140" w:type="dxa"/>
            <w:vAlign w:val="bottom"/>
            <w:tcBorders>
              <w:right w:val="single" w:sz="8" w:color="97999B"/>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6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4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Sky increased 4.1% to $5.0 billion in the third quarter of 2021. Excluding the impact of currency, revenue was consistent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reflecting lower content revenue partially offset by higher advertising revenue and consistent direct-to-consumer revenue. Content revenue decreased 26.4% to $300 million due to a change in sports programming licensing agreements in Italy and Germany, as well as the timing of sporting events compared to the prior year period due to COVID-19. Advertising revenue increased 15.6% to $561 million, reflecting an overall market recovery compared to the prior year period. Direct-to-consumer revenue of $ 4.1 billion was consistent with the prior year period, primarily reflecting an increase in customer relationships and average revenue per customer relationship in the U.K., offset by a decrease in customer relationships and average revenue per relationship in Italy mainly due to the negative impact of the reduction in Sky's rights to Serie A.</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nine months ended September 30, 2021, Sky revenue increased 13.6% to $15.2 billion compared to 2020. Excluding the impact of currency, revenue increased 5.1%, primarily reflecting higher direct-to-consumer revenue and advertising revenue.</w:t>
      </w:r>
    </w:p>
    <w:p>
      <w:pPr>
        <w:spacing w:after="0" w:line="18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decreased by 233,000 to 23.0 million in the third quarter of 2021, primarily reflecting the negative impact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reduction in Sky's broadcast rights to Serie A in Italy, partially offset by an increase in customer relationships in the U.K. For the nine months ended September 30, 2021, total customer relationships decreased by 259,000.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00" w:type="dxa"/>
            <w:vAlign w:val="bottom"/>
            <w:shd w:val="clear" w:color="auto" w:fill="D9D9D6"/>
          </w:tcPr>
          <w:p>
            <w:pPr>
              <w:ind w:left="140"/>
              <w:spacing w:after="0"/>
              <w:rPr>
                <w:sz w:val="20"/>
                <w:szCs w:val="20"/>
                <w:color w:val="auto"/>
              </w:rPr>
            </w:pPr>
            <w:r>
              <w:rPr>
                <w:rFonts w:ascii="Arial" w:cs="Arial" w:eastAsia="Arial" w:hAnsi="Arial"/>
                <w:sz w:val="11"/>
                <w:szCs w:val="11"/>
                <w:i w:val="1"/>
                <w:iCs w:val="1"/>
                <w:color w:val="auto"/>
              </w:rPr>
              <w:t>(in thousands)</w:t>
            </w:r>
          </w:p>
        </w:tc>
        <w:tc>
          <w:tcPr>
            <w:tcW w:w="66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170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40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40" w:type="dxa"/>
            <w:vAlign w:val="bottom"/>
            <w:tcBorders>
              <w:right w:val="single" w:sz="8" w:color="D9D9D6"/>
            </w:tcBorders>
            <w:shd w:val="clear" w:color="auto" w:fill="D9D9D6"/>
          </w:tcPr>
          <w:p>
            <w:pPr>
              <w:spacing w:after="0"/>
              <w:rPr>
                <w:sz w:val="16"/>
                <w:szCs w:val="16"/>
                <w:color w:val="auto"/>
              </w:rPr>
            </w:pPr>
          </w:p>
        </w:tc>
        <w:tc>
          <w:tcPr>
            <w:tcW w:w="680" w:type="dxa"/>
            <w:vAlign w:val="bottom"/>
            <w:shd w:val="clear" w:color="auto" w:fill="D9D9D6"/>
          </w:tcPr>
          <w:p>
            <w:pPr>
              <w:spacing w:after="0"/>
              <w:rPr>
                <w:sz w:val="16"/>
                <w:szCs w:val="16"/>
                <w:color w:val="auto"/>
              </w:rPr>
            </w:pPr>
          </w:p>
        </w:tc>
        <w:tc>
          <w:tcPr>
            <w:tcW w:w="10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4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r>
      <w:tr>
        <w:trPr>
          <w:trHeight w:val="191"/>
        </w:trPr>
        <w:tc>
          <w:tcPr>
            <w:tcW w:w="3900" w:type="dxa"/>
            <w:vAlign w:val="bottom"/>
            <w:shd w:val="clear" w:color="auto" w:fill="D9D9D6"/>
          </w:tcPr>
          <w:p>
            <w:pPr>
              <w:spacing w:after="0"/>
              <w:rPr>
                <w:sz w:val="16"/>
                <w:szCs w:val="16"/>
                <w:color w:val="auto"/>
              </w:rPr>
            </w:pPr>
          </w:p>
        </w:tc>
        <w:tc>
          <w:tcPr>
            <w:tcW w:w="660" w:type="dxa"/>
            <w:vAlign w:val="bottom"/>
            <w:tcBorders>
              <w:right w:val="single" w:sz="8" w:color="D9D9D6"/>
            </w:tcBorders>
            <w:shd w:val="clear" w:color="auto" w:fill="D9D9D6"/>
          </w:tcPr>
          <w:p>
            <w:pPr>
              <w:spacing w:after="0"/>
              <w:rPr>
                <w:sz w:val="16"/>
                <w:szCs w:val="16"/>
                <w:color w:val="auto"/>
              </w:rPr>
            </w:pPr>
          </w:p>
        </w:tc>
        <w:tc>
          <w:tcPr>
            <w:tcW w:w="76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Customers</w:t>
            </w:r>
          </w:p>
        </w:tc>
        <w:tc>
          <w:tcPr>
            <w:tcW w:w="16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170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400" w:type="dxa"/>
            <w:vAlign w:val="bottom"/>
            <w:shd w:val="clear" w:color="auto" w:fill="D9D9D6"/>
          </w:tcPr>
          <w:p>
            <w:pPr>
              <w:spacing w:after="0"/>
              <w:rPr>
                <w:sz w:val="16"/>
                <w:szCs w:val="16"/>
                <w:color w:val="auto"/>
              </w:rPr>
            </w:pPr>
          </w:p>
        </w:tc>
        <w:tc>
          <w:tcPr>
            <w:tcW w:w="1620" w:type="dxa"/>
            <w:vAlign w:val="bottom"/>
            <w:tcBorders>
              <w:right w:val="single" w:sz="8" w:color="D9D9D6"/>
            </w:tcBorders>
            <w:gridSpan w:val="5"/>
            <w:shd w:val="clear" w:color="auto" w:fill="D9D9D6"/>
          </w:tcPr>
          <w:p>
            <w:pPr>
              <w:spacing w:after="0"/>
              <w:rPr>
                <w:sz w:val="20"/>
                <w:szCs w:val="20"/>
                <w:color w:val="auto"/>
              </w:rPr>
            </w:pPr>
            <w:r>
              <w:rPr>
                <w:rFonts w:ascii="Arial" w:cs="Arial" w:eastAsia="Arial" w:hAnsi="Arial"/>
                <w:sz w:val="14"/>
                <w:szCs w:val="14"/>
                <w:color w:val="auto"/>
              </w:rPr>
              <w:t>Net Additions / (Losses)</w:t>
            </w:r>
          </w:p>
        </w:tc>
        <w:tc>
          <w:tcPr>
            <w:tcW w:w="320" w:type="dxa"/>
            <w:vAlign w:val="bottom"/>
            <w:shd w:val="clear" w:color="auto" w:fill="D9D9D6"/>
          </w:tcPr>
          <w:p>
            <w:pPr>
              <w:spacing w:after="0"/>
              <w:rPr>
                <w:sz w:val="16"/>
                <w:szCs w:val="16"/>
                <w:color w:val="auto"/>
              </w:rPr>
            </w:pPr>
          </w:p>
        </w:tc>
        <w:tc>
          <w:tcPr>
            <w:tcW w:w="4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r>
      <w:tr>
        <w:trPr>
          <w:trHeight w:val="162"/>
        </w:trPr>
        <w:tc>
          <w:tcPr>
            <w:tcW w:w="3900" w:type="dxa"/>
            <w:vAlign w:val="bottom"/>
            <w:tcBorders>
              <w:top w:val="single" w:sz="8" w:color="D9D9D6"/>
            </w:tcBorders>
            <w:shd w:val="clear" w:color="auto" w:fill="D9D9D6"/>
          </w:tcPr>
          <w:p>
            <w:pPr>
              <w:spacing w:after="0"/>
              <w:rPr>
                <w:sz w:val="14"/>
                <w:szCs w:val="14"/>
                <w:color w:val="auto"/>
              </w:rPr>
            </w:pPr>
          </w:p>
        </w:tc>
        <w:tc>
          <w:tcPr>
            <w:tcW w:w="660" w:type="dxa"/>
            <w:vAlign w:val="bottom"/>
            <w:tcBorders>
              <w:top w:val="single" w:sz="8" w:color="D9D9D6"/>
              <w:right w:val="single" w:sz="8" w:color="D9D9D6"/>
            </w:tcBorders>
            <w:shd w:val="clear" w:color="auto" w:fill="D9D9D6"/>
          </w:tcPr>
          <w:p>
            <w:pPr>
              <w:spacing w:after="0"/>
              <w:rPr>
                <w:sz w:val="14"/>
                <w:szCs w:val="14"/>
                <w:color w:val="auto"/>
              </w:rPr>
            </w:pPr>
          </w:p>
        </w:tc>
        <w:tc>
          <w:tcPr>
            <w:tcW w:w="320" w:type="dxa"/>
            <w:vAlign w:val="bottom"/>
            <w:tcBorders>
              <w:top w:val="single" w:sz="8" w:color="auto"/>
            </w:tcBorders>
            <w:shd w:val="clear" w:color="auto" w:fill="D9D9D6"/>
          </w:tcPr>
          <w:p>
            <w:pPr>
              <w:spacing w:after="0"/>
              <w:rPr>
                <w:sz w:val="14"/>
                <w:szCs w:val="14"/>
                <w:color w:val="auto"/>
              </w:rPr>
            </w:pPr>
          </w:p>
        </w:tc>
        <w:tc>
          <w:tcPr>
            <w:tcW w:w="360" w:type="dxa"/>
            <w:vAlign w:val="bottom"/>
            <w:tcBorders>
              <w:top w:val="single" w:sz="8" w:color="auto"/>
            </w:tcBorders>
            <w:shd w:val="clear" w:color="auto" w:fill="D9D9D6"/>
          </w:tcPr>
          <w:p>
            <w:pPr>
              <w:spacing w:after="0"/>
              <w:rPr>
                <w:sz w:val="14"/>
                <w:szCs w:val="14"/>
                <w:color w:val="auto"/>
              </w:rPr>
            </w:pPr>
          </w:p>
        </w:tc>
        <w:tc>
          <w:tcPr>
            <w:tcW w:w="80" w:type="dxa"/>
            <w:vAlign w:val="bottom"/>
            <w:tcBorders>
              <w:top w:val="single" w:sz="8" w:color="D9D9D6"/>
            </w:tcBorders>
            <w:shd w:val="clear" w:color="auto" w:fill="D9D9D6"/>
          </w:tcPr>
          <w:p>
            <w:pPr>
              <w:spacing w:after="0"/>
              <w:rPr>
                <w:sz w:val="14"/>
                <w:szCs w:val="14"/>
                <w:color w:val="auto"/>
              </w:rPr>
            </w:pPr>
          </w:p>
        </w:tc>
        <w:tc>
          <w:tcPr>
            <w:tcW w:w="160" w:type="dxa"/>
            <w:vAlign w:val="bottom"/>
            <w:tcBorders>
              <w:top w:val="single" w:sz="8" w:color="D9D9D6"/>
            </w:tcBorders>
            <w:shd w:val="clear" w:color="auto" w:fill="D9D9D6"/>
          </w:tcPr>
          <w:p>
            <w:pPr>
              <w:spacing w:after="0"/>
              <w:rPr>
                <w:sz w:val="14"/>
                <w:szCs w:val="14"/>
                <w:color w:val="auto"/>
              </w:rPr>
            </w:pPr>
          </w:p>
        </w:tc>
        <w:tc>
          <w:tcPr>
            <w:tcW w:w="340" w:type="dxa"/>
            <w:vAlign w:val="bottom"/>
            <w:tcBorders>
              <w:top w:val="single" w:sz="8" w:color="D9D9D6"/>
            </w:tcBorders>
            <w:shd w:val="clear" w:color="auto" w:fill="D9D9D6"/>
          </w:tcPr>
          <w:p>
            <w:pPr>
              <w:spacing w:after="0"/>
              <w:rPr>
                <w:sz w:val="14"/>
                <w:szCs w:val="14"/>
                <w:color w:val="auto"/>
              </w:rPr>
            </w:pPr>
          </w:p>
        </w:tc>
        <w:tc>
          <w:tcPr>
            <w:tcW w:w="1700" w:type="dxa"/>
            <w:vAlign w:val="bottom"/>
            <w:tcBorders>
              <w:top w:val="single" w:sz="8" w:color="D9D9D6"/>
              <w:right w:val="single" w:sz="8" w:color="D9D9D6"/>
            </w:tcBorders>
            <w:shd w:val="clear" w:color="auto" w:fill="D9D9D6"/>
          </w:tcPr>
          <w:p>
            <w:pPr>
              <w:spacing w:after="0"/>
              <w:rPr>
                <w:sz w:val="14"/>
                <w:szCs w:val="14"/>
                <w:color w:val="auto"/>
              </w:rPr>
            </w:pPr>
          </w:p>
        </w:tc>
        <w:tc>
          <w:tcPr>
            <w:tcW w:w="72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w w:val="97"/>
              </w:rPr>
              <w:t>3rd Quarter</w:t>
            </w:r>
          </w:p>
        </w:tc>
        <w:tc>
          <w:tcPr>
            <w:tcW w:w="280" w:type="dxa"/>
            <w:vAlign w:val="bottom"/>
            <w:tcBorders>
              <w:top w:val="single" w:sz="8" w:color="auto"/>
            </w:tcBorders>
            <w:shd w:val="clear" w:color="auto" w:fill="D9D9D6"/>
          </w:tcPr>
          <w:p>
            <w:pPr>
              <w:spacing w:after="0"/>
              <w:rPr>
                <w:sz w:val="14"/>
                <w:szCs w:val="14"/>
                <w:color w:val="auto"/>
              </w:rPr>
            </w:pPr>
          </w:p>
        </w:tc>
        <w:tc>
          <w:tcPr>
            <w:tcW w:w="320" w:type="dxa"/>
            <w:vAlign w:val="bottom"/>
            <w:tcBorders>
              <w:top w:val="single" w:sz="8" w:color="auto"/>
            </w:tcBorders>
            <w:shd w:val="clear" w:color="auto" w:fill="D9D9D6"/>
          </w:tcPr>
          <w:p>
            <w:pPr>
              <w:spacing w:after="0"/>
              <w:rPr>
                <w:sz w:val="14"/>
                <w:szCs w:val="14"/>
                <w:color w:val="auto"/>
              </w:rPr>
            </w:pPr>
          </w:p>
        </w:tc>
        <w:tc>
          <w:tcPr>
            <w:tcW w:w="240" w:type="dxa"/>
            <w:vAlign w:val="bottom"/>
            <w:tcBorders>
              <w:top w:val="single" w:sz="8" w:color="auto"/>
              <w:right w:val="single" w:sz="8" w:color="97999B"/>
            </w:tcBorders>
            <w:shd w:val="clear" w:color="auto" w:fill="D9D9D6"/>
          </w:tcPr>
          <w:p>
            <w:pPr>
              <w:spacing w:after="0"/>
              <w:rPr>
                <w:sz w:val="14"/>
                <w:szCs w:val="14"/>
                <w:color w:val="auto"/>
              </w:rPr>
            </w:pPr>
          </w:p>
        </w:tc>
        <w:tc>
          <w:tcPr>
            <w:tcW w:w="680" w:type="dxa"/>
            <w:vAlign w:val="bottom"/>
            <w:tcBorders>
              <w:top w:val="single" w:sz="8" w:color="auto"/>
            </w:tcBorders>
            <w:shd w:val="clear" w:color="auto" w:fill="D9D9D6"/>
          </w:tcPr>
          <w:p>
            <w:pPr>
              <w:spacing w:after="0"/>
              <w:rPr>
                <w:sz w:val="14"/>
                <w:szCs w:val="14"/>
                <w:color w:val="auto"/>
              </w:rPr>
            </w:pPr>
          </w:p>
        </w:tc>
        <w:tc>
          <w:tcPr>
            <w:tcW w:w="100" w:type="dxa"/>
            <w:vAlign w:val="bottom"/>
            <w:tcBorders>
              <w:top w:val="single" w:sz="8" w:color="D9D9D6"/>
              <w:right w:val="single" w:sz="8" w:color="D9D9D6"/>
            </w:tcBorders>
            <w:shd w:val="clear" w:color="auto" w:fill="D9D9D6"/>
          </w:tcPr>
          <w:p>
            <w:pPr>
              <w:spacing w:after="0"/>
              <w:rPr>
                <w:sz w:val="14"/>
                <w:szCs w:val="14"/>
                <w:color w:val="auto"/>
              </w:rPr>
            </w:pPr>
          </w:p>
        </w:tc>
        <w:tc>
          <w:tcPr>
            <w:tcW w:w="820" w:type="dxa"/>
            <w:vAlign w:val="bottom"/>
            <w:tcBorders>
              <w:top w:val="single" w:sz="8" w:color="D9D9D6"/>
            </w:tcBorders>
            <w:gridSpan w:val="3"/>
            <w:shd w:val="clear" w:color="auto" w:fill="D9D9D6"/>
          </w:tcPr>
          <w:p>
            <w:pPr>
              <w:spacing w:after="0"/>
              <w:rPr>
                <w:sz w:val="20"/>
                <w:szCs w:val="20"/>
                <w:color w:val="auto"/>
              </w:rPr>
            </w:pPr>
            <w:r>
              <w:rPr>
                <w:rFonts w:ascii="Arial" w:cs="Arial" w:eastAsia="Arial" w:hAnsi="Arial"/>
                <w:sz w:val="14"/>
                <w:szCs w:val="14"/>
                <w:color w:val="auto"/>
              </w:rPr>
              <w:t>Year to Date</w:t>
            </w:r>
          </w:p>
        </w:tc>
        <w:tc>
          <w:tcPr>
            <w:tcW w:w="100" w:type="dxa"/>
            <w:vAlign w:val="bottom"/>
            <w:tcBorders>
              <w:top w:val="single" w:sz="8" w:color="D9D9D6"/>
            </w:tcBorders>
            <w:shd w:val="clear" w:color="auto" w:fill="D9D9D6"/>
          </w:tcPr>
          <w:p>
            <w:pPr>
              <w:spacing w:after="0"/>
              <w:rPr>
                <w:sz w:val="14"/>
                <w:szCs w:val="14"/>
                <w:color w:val="auto"/>
              </w:rPr>
            </w:pPr>
          </w:p>
        </w:tc>
        <w:tc>
          <w:tcPr>
            <w:tcW w:w="320" w:type="dxa"/>
            <w:vAlign w:val="bottom"/>
            <w:tcBorders>
              <w:top w:val="single" w:sz="8" w:color="D9D9D6"/>
            </w:tcBorders>
            <w:shd w:val="clear" w:color="auto" w:fill="D9D9D6"/>
          </w:tcPr>
          <w:p>
            <w:pPr>
              <w:spacing w:after="0"/>
              <w:rPr>
                <w:sz w:val="14"/>
                <w:szCs w:val="14"/>
                <w:color w:val="auto"/>
              </w:rPr>
            </w:pPr>
          </w:p>
        </w:tc>
        <w:tc>
          <w:tcPr>
            <w:tcW w:w="140" w:type="dxa"/>
            <w:vAlign w:val="bottom"/>
            <w:tcBorders>
              <w:top w:val="single" w:sz="8" w:color="D9D9D6"/>
            </w:tcBorders>
            <w:shd w:val="clear" w:color="auto" w:fill="D9D9D6"/>
          </w:tcPr>
          <w:p>
            <w:pPr>
              <w:spacing w:after="0"/>
              <w:rPr>
                <w:sz w:val="14"/>
                <w:szCs w:val="14"/>
                <w:color w:val="auto"/>
              </w:rPr>
            </w:pPr>
          </w:p>
        </w:tc>
      </w:tr>
      <w:tr>
        <w:trPr>
          <w:trHeight w:val="169"/>
        </w:trPr>
        <w:tc>
          <w:tcPr>
            <w:tcW w:w="3900" w:type="dxa"/>
            <w:vAlign w:val="bottom"/>
            <w:tcBorders>
              <w:top w:val="single" w:sz="8" w:color="D9D9D6"/>
            </w:tcBorders>
            <w:shd w:val="clear" w:color="auto" w:fill="D9D9D6"/>
          </w:tcPr>
          <w:p>
            <w:pPr>
              <w:spacing w:after="0"/>
              <w:rPr>
                <w:sz w:val="14"/>
                <w:szCs w:val="14"/>
                <w:color w:val="auto"/>
              </w:rPr>
            </w:pPr>
          </w:p>
        </w:tc>
        <w:tc>
          <w:tcPr>
            <w:tcW w:w="660" w:type="dxa"/>
            <w:vAlign w:val="bottom"/>
            <w:tcBorders>
              <w:top w:val="single" w:sz="8" w:color="D9D9D6"/>
              <w:right w:val="single" w:sz="8" w:color="D9D9D6"/>
            </w:tcBorders>
            <w:shd w:val="clear" w:color="auto" w:fill="D9D9D6"/>
          </w:tcPr>
          <w:p>
            <w:pPr>
              <w:spacing w:after="0"/>
              <w:rPr>
                <w:sz w:val="14"/>
                <w:szCs w:val="14"/>
                <w:color w:val="auto"/>
              </w:rPr>
            </w:pPr>
          </w:p>
        </w:tc>
        <w:tc>
          <w:tcPr>
            <w:tcW w:w="320" w:type="dxa"/>
            <w:vAlign w:val="bottom"/>
            <w:tcBorders>
              <w:top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87"/>
              </w:rPr>
              <w:t>3Q21</w:t>
            </w:r>
          </w:p>
        </w:tc>
        <w:tc>
          <w:tcPr>
            <w:tcW w:w="360" w:type="dxa"/>
            <w:vAlign w:val="bottom"/>
            <w:tcBorders>
              <w:top w:val="single" w:sz="8" w:color="D9D9D6"/>
            </w:tcBorders>
            <w:shd w:val="clear" w:color="auto" w:fill="D9D9D6"/>
          </w:tcPr>
          <w:p>
            <w:pPr>
              <w:spacing w:after="0"/>
              <w:rPr>
                <w:sz w:val="14"/>
                <w:szCs w:val="14"/>
                <w:color w:val="auto"/>
              </w:rPr>
            </w:pPr>
          </w:p>
        </w:tc>
        <w:tc>
          <w:tcPr>
            <w:tcW w:w="80" w:type="dxa"/>
            <w:vAlign w:val="bottom"/>
            <w:tcBorders>
              <w:top w:val="single" w:sz="8" w:color="D9D9D6"/>
            </w:tcBorders>
            <w:shd w:val="clear" w:color="auto" w:fill="D9D9D6"/>
          </w:tcPr>
          <w:p>
            <w:pPr>
              <w:spacing w:after="0"/>
              <w:rPr>
                <w:sz w:val="14"/>
                <w:szCs w:val="14"/>
                <w:color w:val="auto"/>
              </w:rPr>
            </w:pPr>
          </w:p>
        </w:tc>
        <w:tc>
          <w:tcPr>
            <w:tcW w:w="160" w:type="dxa"/>
            <w:vAlign w:val="bottom"/>
            <w:tcBorders>
              <w:top w:val="single" w:sz="8" w:color="D9D9D6"/>
            </w:tcBorders>
            <w:shd w:val="clear" w:color="auto" w:fill="D9D9D6"/>
          </w:tcPr>
          <w:p>
            <w:pPr>
              <w:spacing w:after="0"/>
              <w:rPr>
                <w:sz w:val="14"/>
                <w:szCs w:val="14"/>
                <w:color w:val="auto"/>
              </w:rPr>
            </w:pPr>
          </w:p>
        </w:tc>
        <w:tc>
          <w:tcPr>
            <w:tcW w:w="2040" w:type="dxa"/>
            <w:vAlign w:val="bottom"/>
            <w:tcBorders>
              <w:top w:val="single" w:sz="8" w:color="D9D9D6"/>
              <w:right w:val="single" w:sz="8" w:color="D9D9D6"/>
            </w:tcBorders>
            <w:gridSpan w:val="2"/>
            <w:shd w:val="clear" w:color="auto" w:fill="D9D9D6"/>
          </w:tcPr>
          <w:p>
            <w:pPr>
              <w:jc w:val="right"/>
              <w:ind w:right="1640"/>
              <w:spacing w:after="0" w:line="169" w:lineRule="exact"/>
              <w:rPr>
                <w:sz w:val="20"/>
                <w:szCs w:val="20"/>
                <w:color w:val="auto"/>
              </w:rPr>
            </w:pPr>
            <w:r>
              <w:rPr>
                <w:rFonts w:ascii="Arial" w:cs="Arial" w:eastAsia="Arial" w:hAnsi="Arial"/>
                <w:sz w:val="14"/>
                <w:szCs w:val="14"/>
                <w:color w:val="auto"/>
                <w:w w:val="92"/>
              </w:rPr>
              <w:t>3Q20</w:t>
            </w:r>
            <w:r>
              <w:rPr>
                <w:rFonts w:ascii="Arial" w:cs="Arial" w:eastAsia="Arial" w:hAnsi="Arial"/>
                <w:sz w:val="18"/>
                <w:szCs w:val="18"/>
                <w:u w:val="single" w:color="auto"/>
                <w:color w:val="auto"/>
                <w:w w:val="92"/>
                <w:vertAlign w:val="superscript"/>
              </w:rPr>
              <w:t>9</w:t>
            </w:r>
          </w:p>
        </w:tc>
        <w:tc>
          <w:tcPr>
            <w:tcW w:w="720" w:type="dxa"/>
            <w:vAlign w:val="bottom"/>
            <w:tcBorders>
              <w:top w:val="single" w:sz="8" w:color="auto"/>
            </w:tcBorders>
            <w:gridSpan w:val="2"/>
            <w:shd w:val="clear" w:color="auto" w:fill="D9D9D6"/>
          </w:tcPr>
          <w:p>
            <w:pPr>
              <w:jc w:val="right"/>
              <w:ind w:right="400"/>
              <w:spacing w:after="0"/>
              <w:rPr>
                <w:sz w:val="20"/>
                <w:szCs w:val="20"/>
                <w:color w:val="auto"/>
              </w:rPr>
            </w:pPr>
            <w:r>
              <w:rPr>
                <w:rFonts w:ascii="Arial" w:cs="Arial" w:eastAsia="Arial" w:hAnsi="Arial"/>
                <w:sz w:val="14"/>
                <w:szCs w:val="14"/>
                <w:color w:val="auto"/>
                <w:w w:val="96"/>
              </w:rPr>
              <w:t>2021</w:t>
            </w:r>
          </w:p>
        </w:tc>
        <w:tc>
          <w:tcPr>
            <w:tcW w:w="840" w:type="dxa"/>
            <w:vAlign w:val="bottom"/>
            <w:tcBorders>
              <w:top w:val="single" w:sz="8" w:color="D9D9D6"/>
              <w:right w:val="single" w:sz="8" w:color="97999B"/>
            </w:tcBorders>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2020</w:t>
            </w:r>
          </w:p>
        </w:tc>
        <w:tc>
          <w:tcPr>
            <w:tcW w:w="680" w:type="dxa"/>
            <w:vAlign w:val="bottom"/>
            <w:tcBorders>
              <w:top w:val="single" w:sz="8" w:color="D9D9D6"/>
            </w:tcBorders>
            <w:shd w:val="clear" w:color="auto" w:fill="D9D9D6"/>
          </w:tcPr>
          <w:p>
            <w:pPr>
              <w:spacing w:after="0"/>
              <w:rPr>
                <w:sz w:val="14"/>
                <w:szCs w:val="14"/>
                <w:color w:val="auto"/>
              </w:rPr>
            </w:pPr>
          </w:p>
        </w:tc>
        <w:tc>
          <w:tcPr>
            <w:tcW w:w="100" w:type="dxa"/>
            <w:vAlign w:val="bottom"/>
            <w:tcBorders>
              <w:top w:val="single" w:sz="8" w:color="D9D9D6"/>
              <w:right w:val="single" w:sz="8" w:color="D9D9D6"/>
            </w:tcBorders>
            <w:shd w:val="clear" w:color="auto" w:fill="D9D9D6"/>
          </w:tcPr>
          <w:p>
            <w:pPr>
              <w:spacing w:after="0"/>
              <w:rPr>
                <w:sz w:val="14"/>
                <w:szCs w:val="14"/>
                <w:color w:val="auto"/>
              </w:rPr>
            </w:pPr>
          </w:p>
        </w:tc>
        <w:tc>
          <w:tcPr>
            <w:tcW w:w="740" w:type="dxa"/>
            <w:vAlign w:val="bottom"/>
            <w:tcBorders>
              <w:top w:val="single" w:sz="8" w:color="auto"/>
            </w:tcBorders>
            <w:gridSpan w:val="2"/>
            <w:shd w:val="clear" w:color="auto" w:fill="D9D9D6"/>
          </w:tcPr>
          <w:p>
            <w:pPr>
              <w:jc w:val="right"/>
              <w:ind w:right="420"/>
              <w:spacing w:after="0"/>
              <w:rPr>
                <w:sz w:val="20"/>
                <w:szCs w:val="20"/>
                <w:color w:val="auto"/>
              </w:rPr>
            </w:pPr>
            <w:r>
              <w:rPr>
                <w:rFonts w:ascii="Arial" w:cs="Arial" w:eastAsia="Arial" w:hAnsi="Arial"/>
                <w:sz w:val="14"/>
                <w:szCs w:val="14"/>
                <w:color w:val="auto"/>
                <w:w w:val="96"/>
              </w:rPr>
              <w:t>2021</w:t>
            </w:r>
          </w:p>
        </w:tc>
        <w:tc>
          <w:tcPr>
            <w:tcW w:w="80" w:type="dxa"/>
            <w:vAlign w:val="bottom"/>
            <w:tcBorders>
              <w:top w:val="single" w:sz="8" w:color="D9D9D6"/>
            </w:tcBorders>
            <w:shd w:val="clear" w:color="auto" w:fill="D9D9D6"/>
          </w:tcPr>
          <w:p>
            <w:pPr>
              <w:spacing w:after="0"/>
              <w:rPr>
                <w:sz w:val="14"/>
                <w:szCs w:val="14"/>
                <w:color w:val="auto"/>
              </w:rPr>
            </w:pPr>
          </w:p>
        </w:tc>
        <w:tc>
          <w:tcPr>
            <w:tcW w:w="560" w:type="dxa"/>
            <w:vAlign w:val="bottom"/>
            <w:tcBorders>
              <w:top w:val="single" w:sz="8" w:color="D9D9D6"/>
            </w:tcBorders>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2020</w:t>
            </w:r>
          </w:p>
        </w:tc>
      </w:tr>
      <w:tr>
        <w:trPr>
          <w:trHeight w:val="20"/>
        </w:trPr>
        <w:tc>
          <w:tcPr>
            <w:tcW w:w="3900" w:type="dxa"/>
            <w:vAlign w:val="bottom"/>
            <w:shd w:val="clear" w:color="auto" w:fill="D9D9D6"/>
          </w:tcPr>
          <w:p>
            <w:pPr>
              <w:spacing w:after="0" w:line="20" w:lineRule="exact"/>
              <w:rPr>
                <w:sz w:val="1"/>
                <w:szCs w:val="1"/>
                <w:color w:val="auto"/>
              </w:rPr>
            </w:pPr>
          </w:p>
        </w:tc>
        <w:tc>
          <w:tcPr>
            <w:tcW w:w="660" w:type="dxa"/>
            <w:vAlign w:val="bottom"/>
            <w:tcBorders>
              <w:right w:val="single" w:sz="8" w:color="auto"/>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0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97999B"/>
            </w:tcBorders>
            <w:shd w:val="clear" w:color="auto" w:fill="D9D9D6"/>
          </w:tcPr>
          <w:p>
            <w:pPr>
              <w:spacing w:after="0" w:line="20" w:lineRule="exact"/>
              <w:rPr>
                <w:sz w:val="1"/>
                <w:szCs w:val="1"/>
                <w:color w:val="auto"/>
              </w:rPr>
            </w:pPr>
          </w:p>
        </w:tc>
        <w:tc>
          <w:tcPr>
            <w:tcW w:w="680" w:type="dxa"/>
            <w:vAlign w:val="bottom"/>
            <w:shd w:val="clear" w:color="auto" w:fill="D9D9D6"/>
          </w:tcPr>
          <w:p>
            <w:pPr>
              <w:spacing w:after="0" w:line="20" w:lineRule="exact"/>
              <w:rPr>
                <w:sz w:val="1"/>
                <w:szCs w:val="1"/>
                <w:color w:val="auto"/>
              </w:rPr>
            </w:pPr>
          </w:p>
        </w:tc>
        <w:tc>
          <w:tcPr>
            <w:tcW w:w="10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r>
      <w:tr>
        <w:trPr>
          <w:trHeight w:val="230"/>
        </w:trPr>
        <w:tc>
          <w:tcPr>
            <w:tcW w:w="3900" w:type="dxa"/>
            <w:vAlign w:val="bottom"/>
            <w:tcBorders>
              <w:bottom w:val="single" w:sz="8" w:color="D9D9D6"/>
            </w:tcBorders>
            <w:shd w:val="clear" w:color="auto" w:fill="D9D9D6"/>
          </w:tcPr>
          <w:p>
            <w:pPr>
              <w:ind w:left="260"/>
              <w:spacing w:after="0"/>
              <w:rPr>
                <w:sz w:val="20"/>
                <w:szCs w:val="20"/>
                <w:color w:val="auto"/>
              </w:rPr>
            </w:pPr>
            <w:r>
              <w:rPr>
                <w:rFonts w:ascii="Arial" w:cs="Arial" w:eastAsia="Arial" w:hAnsi="Arial"/>
                <w:sz w:val="14"/>
                <w:szCs w:val="14"/>
                <w:b w:val="1"/>
                <w:bCs w:val="1"/>
                <w:color w:val="auto"/>
              </w:rPr>
              <w:t>Total Customer Relationships</w:t>
            </w:r>
          </w:p>
        </w:tc>
        <w:tc>
          <w:tcPr>
            <w:tcW w:w="9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22,966</w:t>
            </w:r>
          </w:p>
        </w:tc>
        <w:tc>
          <w:tcPr>
            <w:tcW w:w="360" w:type="dxa"/>
            <w:vAlign w:val="bottom"/>
            <w:tcBorders>
              <w:bottom w:val="single" w:sz="8" w:color="D9D9D6"/>
            </w:tcBorders>
            <w:shd w:val="clear" w:color="auto" w:fill="D9D9D6"/>
          </w:tcPr>
          <w:p>
            <w:pPr>
              <w:spacing w:after="0"/>
              <w:rPr>
                <w:sz w:val="20"/>
                <w:szCs w:val="20"/>
                <w:color w:val="auto"/>
              </w:rPr>
            </w:pPr>
          </w:p>
        </w:tc>
        <w:tc>
          <w:tcPr>
            <w:tcW w:w="80" w:type="dxa"/>
            <w:vAlign w:val="bottom"/>
            <w:tcBorders>
              <w:bottom w:val="single" w:sz="8" w:color="D9D9D6"/>
            </w:tcBorders>
            <w:shd w:val="clear" w:color="auto" w:fill="D9D9D6"/>
          </w:tcPr>
          <w:p>
            <w:pPr>
              <w:spacing w:after="0"/>
              <w:rPr>
                <w:sz w:val="20"/>
                <w:szCs w:val="20"/>
                <w:color w:val="auto"/>
              </w:rPr>
            </w:pPr>
          </w:p>
        </w:tc>
        <w:tc>
          <w:tcPr>
            <w:tcW w:w="2200" w:type="dxa"/>
            <w:vAlign w:val="bottom"/>
            <w:tcBorders>
              <w:bottom w:val="single" w:sz="8" w:color="D9D9D6"/>
              <w:right w:val="single" w:sz="8" w:color="D9D9D6"/>
            </w:tcBorders>
            <w:gridSpan w:val="3"/>
            <w:shd w:val="clear" w:color="auto" w:fill="D9D9D6"/>
          </w:tcPr>
          <w:p>
            <w:pPr>
              <w:jc w:val="right"/>
              <w:ind w:right="1700"/>
              <w:spacing w:after="0"/>
              <w:rPr>
                <w:sz w:val="20"/>
                <w:szCs w:val="20"/>
                <w:color w:val="auto"/>
              </w:rPr>
            </w:pPr>
            <w:r>
              <w:rPr>
                <w:rFonts w:ascii="Arial" w:cs="Arial" w:eastAsia="Arial" w:hAnsi="Arial"/>
                <w:sz w:val="14"/>
                <w:szCs w:val="14"/>
                <w:b w:val="1"/>
                <w:bCs w:val="1"/>
                <w:color w:val="auto"/>
              </w:rPr>
              <w:t>22,981</w:t>
            </w:r>
          </w:p>
        </w:tc>
        <w:tc>
          <w:tcPr>
            <w:tcW w:w="32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w w:val="91"/>
              </w:rPr>
              <w:t>(233)</w:t>
            </w:r>
          </w:p>
        </w:tc>
        <w:tc>
          <w:tcPr>
            <w:tcW w:w="400" w:type="dxa"/>
            <w:vAlign w:val="bottom"/>
            <w:tcBorders>
              <w:bottom w:val="single" w:sz="8" w:color="D9D9D6"/>
            </w:tcBorders>
            <w:shd w:val="clear" w:color="auto" w:fill="D9D9D6"/>
          </w:tcPr>
          <w:p>
            <w:pPr>
              <w:spacing w:after="0"/>
              <w:rPr>
                <w:sz w:val="20"/>
                <w:szCs w:val="20"/>
                <w:color w:val="auto"/>
              </w:rPr>
            </w:pPr>
          </w:p>
        </w:tc>
        <w:tc>
          <w:tcPr>
            <w:tcW w:w="600" w:type="dxa"/>
            <w:vAlign w:val="bottom"/>
            <w:tcBorders>
              <w:bottom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(21)</w:t>
            </w:r>
          </w:p>
        </w:tc>
        <w:tc>
          <w:tcPr>
            <w:tcW w:w="240" w:type="dxa"/>
            <w:vAlign w:val="bottom"/>
            <w:tcBorders>
              <w:bottom w:val="single" w:sz="8" w:color="D9D9D6"/>
              <w:right w:val="single" w:sz="8" w:color="97999B"/>
            </w:tcBorders>
            <w:shd w:val="clear" w:color="auto" w:fill="D9D9D6"/>
          </w:tcPr>
          <w:p>
            <w:pPr>
              <w:spacing w:after="0"/>
              <w:rPr>
                <w:sz w:val="20"/>
                <w:szCs w:val="20"/>
                <w:color w:val="auto"/>
              </w:rPr>
            </w:pPr>
          </w:p>
        </w:tc>
        <w:tc>
          <w:tcPr>
            <w:tcW w:w="680" w:type="dxa"/>
            <w:vAlign w:val="bottom"/>
            <w:tcBorders>
              <w:bottom w:val="single" w:sz="8" w:color="D9D9D6"/>
            </w:tcBorders>
            <w:shd w:val="clear" w:color="auto" w:fill="D9D9D6"/>
          </w:tcPr>
          <w:p>
            <w:pPr>
              <w:spacing w:after="0"/>
              <w:rPr>
                <w:sz w:val="20"/>
                <w:szCs w:val="20"/>
                <w:color w:val="auto"/>
              </w:rPr>
            </w:pPr>
          </w:p>
        </w:tc>
        <w:tc>
          <w:tcPr>
            <w:tcW w:w="100" w:type="dxa"/>
            <w:vAlign w:val="bottom"/>
            <w:tcBorders>
              <w:bottom w:val="single" w:sz="8" w:color="D9D9D6"/>
              <w:right w:val="single" w:sz="8" w:color="D9D9D6"/>
            </w:tcBorders>
            <w:shd w:val="clear" w:color="auto" w:fill="D9D9D6"/>
          </w:tcPr>
          <w:p>
            <w:pPr>
              <w:spacing w:after="0"/>
              <w:rPr>
                <w:sz w:val="20"/>
                <w:szCs w:val="20"/>
                <w:color w:val="auto"/>
              </w:rPr>
            </w:pPr>
          </w:p>
        </w:tc>
        <w:tc>
          <w:tcPr>
            <w:tcW w:w="32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w w:val="91"/>
              </w:rPr>
              <w:t>(259)</w:t>
            </w:r>
          </w:p>
        </w:tc>
        <w:tc>
          <w:tcPr>
            <w:tcW w:w="420" w:type="dxa"/>
            <w:vAlign w:val="bottom"/>
            <w:tcBorders>
              <w:bottom w:val="single" w:sz="8" w:color="D9D9D6"/>
            </w:tcBorders>
            <w:shd w:val="clear" w:color="auto" w:fill="D9D9D6"/>
          </w:tcPr>
          <w:p>
            <w:pPr>
              <w:spacing w:after="0"/>
              <w:rPr>
                <w:sz w:val="20"/>
                <w:szCs w:val="20"/>
                <w:color w:val="auto"/>
              </w:rPr>
            </w:pPr>
          </w:p>
        </w:tc>
        <w:tc>
          <w:tcPr>
            <w:tcW w:w="80" w:type="dxa"/>
            <w:vAlign w:val="bottom"/>
            <w:tcBorders>
              <w:bottom w:val="single" w:sz="8" w:color="D9D9D6"/>
            </w:tcBorders>
            <w:shd w:val="clear" w:color="auto" w:fill="D9D9D6"/>
          </w:tcPr>
          <w:p>
            <w:pPr>
              <w:spacing w:after="0"/>
              <w:rPr>
                <w:sz w:val="20"/>
                <w:szCs w:val="20"/>
                <w:color w:val="auto"/>
              </w:rPr>
            </w:pPr>
          </w:p>
        </w:tc>
        <w:tc>
          <w:tcPr>
            <w:tcW w:w="42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(299)</w:t>
            </w:r>
          </w:p>
        </w:tc>
        <w:tc>
          <w:tcPr>
            <w:tcW w:w="140" w:type="dxa"/>
            <w:vAlign w:val="bottom"/>
            <w:tcBorders>
              <w:bottom w:val="single" w:sz="8" w:color="D9D9D6"/>
            </w:tcBorders>
            <w:shd w:val="clear" w:color="auto" w:fill="D9D9D6"/>
          </w:tcPr>
          <w:p>
            <w:pPr>
              <w:spacing w:after="0"/>
              <w:rPr>
                <w:sz w:val="20"/>
                <w:szCs w:val="20"/>
                <w:color w:val="auto"/>
              </w:rPr>
            </w:pPr>
          </w:p>
        </w:tc>
      </w:tr>
    </w:tbl>
    <w:p>
      <w:pPr>
        <w:spacing w:after="0" w:line="3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Sky increased 88.8% to $971 million in the third quarter of 2021. Excluding the impact of currency, Adjusted EBITDA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76.2%, primarily reflecting lower operating expenses. The decrease in operating expenses was due to lower programming and production expenses, primarily reflecting lower sports programming costs associated with the timing of sports rights amortization and the reduction in Sky's broadcast rights to Serie A in Italy.</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nine months ended September 30, 2021, Adjusted EBITDA for Sky increased 4.4% to $1.9 billion compared to 2020. Excluding the impact of currency, Adjusted EBITDA decreased 4.3%.</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Corporate and Other primarily relates to corporate operations and Comcast Spectacor. Revenue for the quarter ended September 30, 2021 was $65 million compared to $44 million in the prior year period.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Corporate and Other Adjusted EBITDA loss was $335 million compared to a loss of $264 million in the prior year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2021, Corporate and Other revenue was $246 million compared to $204 million in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Adjusted EBITDA loss was $876 million compared to a loss of $846 million in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Amounts represent eliminations of transactions between Cable Communications, NBCUniversal, Sky and other businesses. Eliminations of transactions between NBCUniversal segments are presented separately. Revenue eliminations for the quarter ended September 30, 2021 were $871 million compared to $638 million in the prior year period, and Adjusted EBITDA eliminations were a loss of $98 million compared to a benefit of $11 million in the prior year period, reflecting an increase in eliminations associated with the Tokyo Olympics.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nine months ended September 30, 2021 revenue eliminations were $2.3 billion compared to $1.9 billion in 2020, and Adjusted EBITDA eliminations were a loss of $87 million compared to a benefit of $29 million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160655</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369" w:lineRule="exact"/>
        <w:rPr>
          <w:sz w:val="20"/>
          <w:szCs w:val="20"/>
          <w:color w:val="auto"/>
        </w:rPr>
      </w:pPr>
    </w:p>
    <w:p>
      <w:pPr>
        <w:jc w:val="both"/>
        <w:ind w:left="180" w:hanging="161"/>
        <w:spacing w:after="0" w:line="253"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51"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54"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5 From time to time, we may present adjusted information (e.g., Adjusted Revenues) to exclude the impact of certain events, gains, losses or other charges affecting period-to-period comparability of our operating performance. See Table 7 and Table 8 for reconciliations of non-GAAP financial measures.</w:t>
      </w:r>
    </w:p>
    <w:p>
      <w:pPr>
        <w:spacing w:after="0" w:line="14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6 In the first quarter of 2021, we updated Cable Communications' total residential customer relationships and broadband customers due to a conforming change to methodology resulting in a reduction of approximately 26,000 customers. There was no impact to net additions and prior periods have been recast on a comparable basis.</w:t>
      </w:r>
    </w:p>
    <w:p>
      <w:pPr>
        <w:spacing w:after="0" w:line="14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7 Adjusted EBITDA is the measure of profit or loss for our segments. From time to time, we may present Adjusted EBITDA for components of our reportable segments, such as Peacock and the wireless business within Cable Communications. We believe these measures are useful to evaluate our financial results and provide a basis of comparison to others, although our definition of Adjusted EBITDA may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706" w:right="339" w:bottom="1440" w:gutter="0" w:footer="0" w:header="0"/>
        </w:sectPr>
      </w:pPr>
    </w:p>
    <w:bookmarkStart w:id="11" w:name="page12"/>
    <w:bookmarkEnd w:id="11"/>
    <w:p>
      <w:pPr>
        <w:jc w:val="both"/>
        <w:ind w:left="180" w:right="20"/>
        <w:spacing w:after="0" w:line="256" w:lineRule="auto"/>
        <w:rPr>
          <w:sz w:val="20"/>
          <w:szCs w:val="20"/>
          <w:color w:val="auto"/>
        </w:rPr>
      </w:pPr>
      <w:r>
        <w:rPr>
          <w:rFonts w:ascii="Arial" w:cs="Arial" w:eastAsia="Arial" w:hAnsi="Arial"/>
          <w:sz w:val="18"/>
          <w:szCs w:val="18"/>
          <w:color w:val="auto"/>
        </w:rPr>
        <w:t>not be directly comparable to similar measures used by other companies. Adjusted EBITDA for components are generally presented on a consistent basis with the respective segments and include direct revenue and operating costs and expenses attributed to the component operations.</w:t>
      </w:r>
    </w:p>
    <w:p>
      <w:pPr>
        <w:spacing w:after="0" w:line="14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8 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6 for reconciliation of Sky's constant currency growth.</w:t>
      </w:r>
    </w:p>
    <w:p>
      <w:pPr>
        <w:spacing w:after="0" w:line="148" w:lineRule="exact"/>
        <w:rPr>
          <w:sz w:val="20"/>
          <w:szCs w:val="20"/>
          <w:color w:val="auto"/>
        </w:rPr>
      </w:pPr>
    </w:p>
    <w:p>
      <w:pPr>
        <w:jc w:val="both"/>
        <w:ind w:left="180" w:hanging="161"/>
        <w:spacing w:after="0" w:line="253" w:lineRule="auto"/>
        <w:rPr>
          <w:sz w:val="20"/>
          <w:szCs w:val="20"/>
          <w:color w:val="auto"/>
        </w:rPr>
      </w:pPr>
      <w:r>
        <w:rPr>
          <w:rFonts w:ascii="Arial" w:cs="Arial" w:eastAsia="Arial" w:hAnsi="Arial"/>
          <w:sz w:val="18"/>
          <w:szCs w:val="18"/>
          <w:color w:val="auto"/>
        </w:rPr>
        <w:t>9 In the first quarter of 2021, we implemented conforming changes in the methodology for counting commercial customer relationships in Italy and Germany, which are now counted on a consistent basis with customers in the United Kingdom. The change resulted in a reduction in Sky’s total customer relationships of 714,000 as of December 31, 2020. The impact of the change in methodology to customer relationship net additions for any period was not material. For comparative purposes, we have recast Sky’s historical total customer relationships to reflect this adjustment.</w:t>
      </w:r>
    </w:p>
    <w:p>
      <w:pPr>
        <w:spacing w:after="0" w:line="151" w:lineRule="exact"/>
        <w:rPr>
          <w:sz w:val="20"/>
          <w:szCs w:val="20"/>
          <w:color w:val="auto"/>
        </w:rPr>
      </w:pPr>
    </w:p>
    <w:p>
      <w:pPr>
        <w:ind w:left="180"/>
        <w:spacing w:after="0" w:line="261" w:lineRule="auto"/>
        <w:rPr>
          <w:sz w:val="20"/>
          <w:szCs w:val="20"/>
          <w:color w:val="auto"/>
        </w:rPr>
      </w:pPr>
      <w:r>
        <w:rPr>
          <w:rFonts w:ascii="Arial" w:cs="Arial" w:eastAsia="Arial" w:hAnsi="Arial"/>
          <w:sz w:val="18"/>
          <w:szCs w:val="18"/>
          <w:color w:val="auto"/>
        </w:rPr>
        <w:t>Numerical information is presented on a rounded basis using actual amounts. Minor differences in totals and percentage calculations may exist due to rounding.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October 28, 2021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(833) 618-9487. A replay of the call will be available starting at 12:00 p.m. ET on October 28, 2021, on the Investor Relations website or by telephone. To access the telephone replay, which will be available until Thursday, November 4, 2021 at midnight ET, please dial (855) 859-2056 and enter the conference ID number 4073347.</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9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16"/>
                <w:szCs w:val="16"/>
                <w:color w:val="auto"/>
              </w:rPr>
            </w:pPr>
          </w:p>
        </w:tc>
      </w:tr>
      <w:tr>
        <w:trPr>
          <w:trHeight w:val="324"/>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760" w:type="dxa"/>
            <w:vAlign w:val="bottom"/>
          </w:tcPr>
          <w:p>
            <w:pPr>
              <w:spacing w:after="0"/>
              <w:rPr>
                <w:sz w:val="24"/>
                <w:szCs w:val="24"/>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760" w:type="dxa"/>
            <w:vAlign w:val="bottom"/>
          </w:tcPr>
          <w:p>
            <w:pPr>
              <w:jc w:val="right"/>
              <w:spacing w:after="0"/>
              <w:rPr>
                <w:sz w:val="20"/>
                <w:szCs w:val="20"/>
                <w:color w:val="auto"/>
              </w:rPr>
            </w:pPr>
            <w:r>
              <w:rPr>
                <w:rFonts w:ascii="Arial" w:cs="Arial" w:eastAsia="Arial" w:hAnsi="Arial"/>
                <w:sz w:val="16"/>
                <w:szCs w:val="16"/>
                <w:color w:val="auto"/>
              </w:rPr>
              <w:t>(215) 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760" w:type="dxa"/>
            <w:vAlign w:val="bottom"/>
          </w:tcPr>
          <w:p>
            <w:pPr>
              <w:jc w:val="right"/>
              <w:spacing w:after="0"/>
              <w:rPr>
                <w:sz w:val="20"/>
                <w:szCs w:val="20"/>
                <w:color w:val="auto"/>
              </w:rPr>
            </w:pPr>
            <w:r>
              <w:rPr>
                <w:rFonts w:ascii="Arial" w:cs="Arial" w:eastAsia="Arial" w:hAnsi="Arial"/>
                <w:sz w:val="16"/>
                <w:szCs w:val="16"/>
                <w:color w:val="auto"/>
              </w:rPr>
              <w:t>(215) 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760" w:type="dxa"/>
            <w:vAlign w:val="bottom"/>
          </w:tcPr>
          <w:p>
            <w:pPr>
              <w:spacing w:after="0"/>
              <w:rPr>
                <w:sz w:val="18"/>
                <w:szCs w:val="18"/>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press release includes statements that may constitute forward-looking statements.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We undertake no obligation to update or revise publicly any forward-looking statements, whether because of new information, future events or otherwise.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706"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Comcast Corporation (Nasdaq: CMCSA) is a global media and technology company that connects people to moments that matter. We are principally focused on broadband, aggregation, and streaming with 57 million customer relationships across the United States and Europe. We deliver broadband, wireless, and video through our Xfinity, Comcast Business, and Sky brands; create, distribute, and stream leading entertainment, sports, and news through Universal Filmed Entertainment Group, Universal Studio Group, Sky Studios, the NBC and Telemundo broadcast networks, multiple cable networks, Peacock, NBCUniversal News Group, NBC Sports, Sky News, and Sky Sports; and provide memorable experiences at Universal Parks and Resorts in the United States and Asia.</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w:t>
      </w:r>
      <w:r>
        <w:rPr>
          <w:rFonts w:ascii="Arial" w:cs="Arial" w:eastAsia="Arial" w:hAnsi="Arial"/>
          <w:sz w:val="16"/>
          <w:szCs w:val="16"/>
          <w:u w:val="single" w:color="auto"/>
          <w:color w:val="0000FF"/>
        </w:rPr>
        <w:t>www.comcastcorporation.com</w:t>
      </w:r>
      <w:r>
        <w:rPr>
          <w:rFonts w:ascii="Arial" w:cs="Arial" w:eastAsia="Arial" w:hAnsi="Arial"/>
          <w:sz w:val="16"/>
          <w:szCs w:val="16"/>
          <w:color w:val="auto"/>
        </w:rPr>
        <w:t xml:space="preserve"> for more information.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17"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328930</wp:posOffset>
            </wp:positionV>
            <wp:extent cx="102870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September 30,</w:t>
            </w:r>
          </w:p>
        </w:tc>
        <w:tc>
          <w:tcPr>
            <w:tcW w:w="224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4"/>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$30,298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$25,532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$86,049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$75,856</w:t>
            </w:r>
          </w:p>
        </w:tc>
        <w:tc>
          <w:tcPr>
            <w:tcW w:w="0" w:type="dxa"/>
            <w:vAlign w:val="bottom"/>
          </w:tcPr>
          <w:p>
            <w:pPr>
              <w:spacing w:after="0"/>
              <w:rPr>
                <w:sz w:val="1"/>
                <w:szCs w:val="1"/>
                <w:color w:val="auto"/>
              </w:rPr>
            </w:pPr>
          </w:p>
        </w:tc>
      </w:tr>
      <w:tr>
        <w:trPr>
          <w:trHeight w:val="481"/>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10,395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8,565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28,570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23,683</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8,981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8,059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25,799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23,959</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Advertising, 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1,995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5,462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4,791</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2,177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2,122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6,407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6,328</w:t>
            </w:r>
          </w:p>
        </w:tc>
        <w:tc>
          <w:tcPr>
            <w:tcW w:w="0" w:type="dxa"/>
            <w:vAlign w:val="bottom"/>
          </w:tcPr>
          <w:p>
            <w:pPr>
              <w:spacing w:after="0"/>
              <w:rPr>
                <w:sz w:val="1"/>
                <w:szCs w:val="1"/>
                <w:color w:val="auto"/>
              </w:rPr>
            </w:pPr>
          </w:p>
        </w:tc>
      </w:tr>
      <w:tr>
        <w:trPr>
          <w:trHeight w:val="219"/>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1,301</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3,815</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c>
          <w:tcPr>
            <w:tcW w:w="0" w:type="dxa"/>
            <w:vAlign w:val="bottom"/>
          </w:tcPr>
          <w:p>
            <w:pPr>
              <w:spacing w:after="0"/>
              <w:rPr>
                <w:sz w:val="1"/>
                <w:szCs w:val="1"/>
                <w:color w:val="auto"/>
              </w:rPr>
            </w:pPr>
          </w:p>
        </w:tc>
      </w:tr>
      <w:tr>
        <w:trPr>
          <w:trHeight w:val="212"/>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24,848</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21,456</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70,053</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62,281</w:t>
            </w:r>
          </w:p>
        </w:tc>
        <w:tc>
          <w:tcPr>
            <w:tcW w:w="0" w:type="dxa"/>
            <w:vAlign w:val="bottom"/>
          </w:tcPr>
          <w:p>
            <w:pPr>
              <w:spacing w:after="0"/>
              <w:rPr>
                <w:sz w:val="1"/>
                <w:szCs w:val="1"/>
                <w:color w:val="auto"/>
              </w:rPr>
            </w:pPr>
          </w:p>
        </w:tc>
      </w:tr>
      <w:tr>
        <w:trPr>
          <w:trHeight w:val="407"/>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5,450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4,076</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15,996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13,575</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(1,050)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(3,161)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(3,544)</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602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1,696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532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9"/>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2"/>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766</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2,374</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461"/>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5,166</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2,770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15,208</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9,649</w:t>
            </w:r>
          </w:p>
        </w:tc>
        <w:tc>
          <w:tcPr>
            <w:tcW w:w="0" w:type="dxa"/>
            <w:vAlign w:val="bottom"/>
          </w:tcPr>
          <w:p>
            <w:pPr>
              <w:spacing w:after="0"/>
              <w:rPr>
                <w:sz w:val="1"/>
                <w:szCs w:val="1"/>
                <w:color w:val="auto"/>
              </w:rPr>
            </w:pPr>
          </w:p>
        </w:tc>
      </w:tr>
      <w:tr>
        <w:trPr>
          <w:trHeight w:val="489"/>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(1,235)</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(4,354)</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w:t>
            </w:r>
          </w:p>
        </w:tc>
        <w:tc>
          <w:tcPr>
            <w:tcW w:w="0" w:type="dxa"/>
            <w:vAlign w:val="bottom"/>
          </w:tcPr>
          <w:p>
            <w:pPr>
              <w:spacing w:after="0"/>
              <w:rPr>
                <w:sz w:val="1"/>
                <w:szCs w:val="1"/>
                <w:color w:val="auto"/>
              </w:rPr>
            </w:pPr>
          </w:p>
        </w:tc>
      </w:tr>
      <w:tr>
        <w:trPr>
          <w:trHeight w:val="463"/>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3,931</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2,031</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10,854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7,264</w:t>
            </w: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 and redeemable subsidiary</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(104)</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(249)</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540" w:type="dxa"/>
            <w:vAlign w:val="bottom"/>
          </w:tcPr>
          <w:p>
            <w:pPr>
              <w:ind w:left="160"/>
              <w:spacing w:after="0"/>
              <w:rPr>
                <w:sz w:val="20"/>
                <w:szCs w:val="20"/>
                <w:color w:val="auto"/>
              </w:rPr>
            </w:pPr>
            <w:r>
              <w:rPr>
                <w:rFonts w:ascii="Arial" w:cs="Arial" w:eastAsia="Arial" w:hAnsi="Arial"/>
                <w:sz w:val="16"/>
                <w:szCs w:val="16"/>
                <w:color w:val="auto"/>
              </w:rPr>
              <w:t>preferred stock</w:t>
            </w: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76"/>
        </w:trPr>
        <w:tc>
          <w:tcPr>
            <w:tcW w:w="65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$4,035</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$11,102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$7,154</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$0.86</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$0.44</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$2.38</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94"/>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4,665</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4,628</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4,668</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4,616</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44"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354965</wp:posOffset>
            </wp:positionV>
            <wp:extent cx="10287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232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23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r>
      <w:tr>
        <w:trPr>
          <w:trHeight w:val="216"/>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$10,854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$7,264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10,222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9,848</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1,019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922</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287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(1,953)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2,087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(720)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982</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(541)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667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19"/>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409"/>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21,457</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19,695</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(6,146)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(6,344)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(2,006)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(1,771)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(825)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19"/>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359</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409"/>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(8,406)</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(7,973)</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2,515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18,339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(9,041)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(16,771)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(2,617)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(3,387)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(3,086)</w:t>
            </w:r>
          </w:p>
        </w:tc>
      </w:tr>
      <w:tr>
        <w:trPr>
          <w:trHeight w:val="219"/>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(12,946)</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(3,591)</w:t>
            </w:r>
          </w:p>
        </w:tc>
      </w:tr>
      <w:tr>
        <w:trPr>
          <w:trHeight w:val="409"/>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8,148</w:t>
            </w:r>
          </w:p>
        </w:tc>
      </w:tr>
      <w:tr>
        <w:trPr>
          <w:trHeight w:val="435"/>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11,768</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5,589</w:t>
            </w:r>
          </w:p>
        </w:tc>
      </w:tr>
      <w:tr>
        <w:trPr>
          <w:trHeight w:val="415"/>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$11,858</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$13,737</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40" w:top="784"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328930</wp:posOffset>
            </wp:positionV>
            <wp:extent cx="10287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(in millions)</w:t>
            </w: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9"/>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778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$11,806</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11,974</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3,646</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27,427</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26,741</w:t>
            </w:r>
          </w:p>
        </w:tc>
        <w:tc>
          <w:tcPr>
            <w:tcW w:w="0" w:type="dxa"/>
            <w:vAlign w:val="bottom"/>
          </w:tcPr>
          <w:p>
            <w:pPr>
              <w:spacing w:after="0"/>
              <w:rPr>
                <w:sz w:val="1"/>
                <w:szCs w:val="1"/>
                <w:color w:val="auto"/>
              </w:rPr>
            </w:pPr>
          </w:p>
        </w:tc>
      </w:tr>
      <w:tr>
        <w:trPr>
          <w:trHeight w:val="426"/>
        </w:trPr>
        <w:tc>
          <w:tcPr>
            <w:tcW w:w="77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12,645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Investments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9,163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Investment securing 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563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52,809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51,995</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69,626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70,669</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Franchise rights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33,393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35,389</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12,070</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$277,061</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$273,869</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$12,020</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Accrued participations and residuals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1,683</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3,091</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9,250</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26,738</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28,796</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96,522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100,614</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5,169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30,050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28,051</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20,756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18,222</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Equity</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95,782</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Comcast Corporation shareholders' equity</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90,323</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1,524</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97,306</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91,738</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$277,061</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$273,869</w:t>
            </w:r>
          </w:p>
        </w:tc>
        <w:tc>
          <w:tcPr>
            <w:tcW w:w="0" w:type="dxa"/>
            <w:vAlign w:val="bottom"/>
          </w:tcPr>
          <w:p>
            <w:pPr>
              <w:spacing w:after="0"/>
              <w:rPr>
                <w:sz w:val="1"/>
                <w:szCs w:val="1"/>
                <w:color w:val="auto"/>
              </w:rPr>
            </w:pPr>
          </w:p>
        </w:tc>
      </w:tr>
      <w:tr>
        <w:trPr>
          <w:trHeight w:val="21"/>
        </w:trPr>
        <w:tc>
          <w:tcPr>
            <w:tcW w:w="7780" w:type="dxa"/>
            <w:vAlign w:val="bottom"/>
            <w:vMerge w:val="restart"/>
          </w:tcPr>
          <w:p>
            <w:pPr>
              <w:ind w:left="5520"/>
              <w:spacing w:after="0"/>
              <w:rPr>
                <w:sz w:val="20"/>
                <w:szCs w:val="20"/>
                <w:color w:val="auto"/>
              </w:rPr>
            </w:pPr>
            <w:r>
              <w:rPr>
                <w:rFonts w:ascii="Arial" w:cs="Arial" w:eastAsia="Arial" w:hAnsi="Arial"/>
                <w:sz w:val="14"/>
                <w:szCs w:val="14"/>
                <w:color w:val="auto"/>
              </w:rPr>
              <w:t>13</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7"/>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44"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-179705</wp:posOffset>
            </wp:positionV>
            <wp:extent cx="1028700" cy="43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0" cy="437515"/>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300" w:type="dxa"/>
            <w:vAlign w:val="bottom"/>
          </w:tcPr>
          <w:p>
            <w:pPr>
              <w:spacing w:after="0"/>
              <w:rPr>
                <w:sz w:val="21"/>
                <w:szCs w:val="21"/>
                <w:color w:val="auto"/>
              </w:rPr>
            </w:pPr>
          </w:p>
        </w:tc>
        <w:tc>
          <w:tcPr>
            <w:tcW w:w="19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1"/>
                <w:szCs w:val="21"/>
                <w:color w:val="auto"/>
              </w:rPr>
            </w:pPr>
          </w:p>
        </w:tc>
        <w:tc>
          <w:tcPr>
            <w:tcW w:w="1900" w:type="dxa"/>
            <w:vAlign w:val="bottom"/>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7300" w:type="dxa"/>
            <w:vAlign w:val="bottom"/>
          </w:tcPr>
          <w:p>
            <w:pPr>
              <w:spacing w:after="0"/>
              <w:rPr>
                <w:sz w:val="15"/>
                <w:szCs w:val="15"/>
                <w:color w:val="auto"/>
              </w:rPr>
            </w:pPr>
          </w:p>
        </w:tc>
        <w:tc>
          <w:tcPr>
            <w:tcW w:w="19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9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2020</w:t>
            </w:r>
          </w:p>
        </w:tc>
      </w:tr>
      <w:tr>
        <w:trPr>
          <w:trHeight w:val="183"/>
        </w:trPr>
        <w:tc>
          <w:tcPr>
            <w:tcW w:w="73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$4,035</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$2,019</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$11,102</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$7,154</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(249)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Income tax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1,235</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4,354</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2,385</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1,050</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3,161</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3,544</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(766)</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(2,374)</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382</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3,477</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3,320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10,222</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9,848</w:t>
            </w:r>
          </w:p>
        </w:tc>
      </w:tr>
      <w:tr>
        <w:trPr>
          <w:trHeight w:val="189"/>
        </w:trPr>
        <w:tc>
          <w:tcPr>
            <w:tcW w:w="7300" w:type="dxa"/>
            <w:vAlign w:val="bottom"/>
          </w:tcPr>
          <w:p>
            <w:pPr>
              <w:spacing w:after="0" w:line="189"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r>
      <w:tr>
        <w:trPr>
          <w:trHeight w:val="223"/>
        </w:trPr>
        <w:tc>
          <w:tcPr>
            <w:tcW w:w="73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$8,957</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$26,297</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$23,640</w:t>
            </w:r>
          </w:p>
        </w:tc>
      </w:tr>
    </w:tbl>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left w:val="single" w:sz="8" w:color="auto"/>
            </w:tcBorders>
          </w:tcPr>
          <w:p>
            <w:pPr>
              <w:spacing w:after="0"/>
              <w:rPr>
                <w:sz w:val="17"/>
                <w:szCs w:val="17"/>
                <w:color w:val="auto"/>
              </w:rPr>
            </w:pPr>
          </w:p>
        </w:tc>
        <w:tc>
          <w:tcPr>
            <w:tcW w:w="19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7240" w:type="dxa"/>
            <w:vAlign w:val="bottom"/>
          </w:tcPr>
          <w:p>
            <w:pPr>
              <w:spacing w:after="0"/>
              <w:rPr>
                <w:sz w:val="15"/>
                <w:szCs w:val="15"/>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left w:val="single" w:sz="8" w:color="auto"/>
            </w:tcBorders>
          </w:tcPr>
          <w:p>
            <w:pPr>
              <w:spacing w:after="0"/>
              <w:rPr>
                <w:sz w:val="15"/>
                <w:szCs w:val="15"/>
                <w:color w:val="auto"/>
              </w:rPr>
            </w:pPr>
          </w:p>
        </w:tc>
        <w:tc>
          <w:tcPr>
            <w:tcW w:w="192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$6,100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$5,228</w:t>
            </w:r>
          </w:p>
        </w:tc>
        <w:tc>
          <w:tcPr>
            <w:tcW w:w="12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$21,457</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$19,695</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(2,142)</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(2,387)</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(6,146)</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(6,344)</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(723)</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$3,234</w:t>
            </w: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$2,289</w:t>
            </w:r>
          </w:p>
        </w:tc>
        <w:tc>
          <w:tcPr>
            <w:tcW w:w="12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$13,305</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$11,580</w:t>
            </w:r>
          </w:p>
        </w:tc>
        <w:tc>
          <w:tcPr>
            <w:tcW w:w="0" w:type="dxa"/>
            <w:vAlign w:val="bottom"/>
          </w:tcPr>
          <w:p>
            <w:pPr>
              <w:spacing w:after="0"/>
              <w:rPr>
                <w:sz w:val="1"/>
                <w:szCs w:val="1"/>
                <w:color w:val="auto"/>
              </w:rPr>
            </w:pPr>
          </w:p>
        </w:tc>
      </w:tr>
      <w:tr>
        <w:trPr>
          <w:trHeight w:val="304"/>
        </w:trPr>
        <w:tc>
          <w:tcPr>
            <w:tcW w:w="7240" w:type="dxa"/>
            <w:vAlign w:val="bottom"/>
            <w:tcBorders>
              <w:bottom w:val="single" w:sz="8" w:color="004EA8"/>
            </w:tcBorders>
          </w:tcPr>
          <w:p>
            <w:pPr>
              <w:ind w:left="20"/>
              <w:spacing w:after="0"/>
              <w:rPr>
                <w:sz w:val="20"/>
                <w:szCs w:val="20"/>
                <w:color w:val="auto"/>
              </w:rPr>
            </w:pPr>
            <w:r>
              <w:rPr>
                <w:rFonts w:ascii="Arial" w:cs="Arial" w:eastAsia="Arial" w:hAnsi="Arial"/>
                <w:sz w:val="18"/>
                <w:szCs w:val="18"/>
                <w:b w:val="1"/>
                <w:bCs w:val="1"/>
                <w:color w:val="828282"/>
              </w:rPr>
              <w:t>Alternate Presentation of Free Cash Flow (Unaudited)</w:t>
            </w:r>
          </w:p>
        </w:tc>
        <w:tc>
          <w:tcPr>
            <w:tcW w:w="860" w:type="dxa"/>
            <w:vAlign w:val="bottom"/>
            <w:tcBorders>
              <w:bottom w:val="single" w:sz="8" w:color="004EA8"/>
            </w:tcBorders>
          </w:tcPr>
          <w:p>
            <w:pPr>
              <w:spacing w:after="0"/>
              <w:rPr>
                <w:sz w:val="24"/>
                <w:szCs w:val="24"/>
                <w:color w:val="auto"/>
              </w:rPr>
            </w:pPr>
          </w:p>
        </w:tc>
        <w:tc>
          <w:tcPr>
            <w:tcW w:w="140" w:type="dxa"/>
            <w:vAlign w:val="bottom"/>
            <w:tcBorders>
              <w:bottom w:val="single" w:sz="8" w:color="004EA8"/>
            </w:tcBorders>
          </w:tcPr>
          <w:p>
            <w:pPr>
              <w:spacing w:after="0"/>
              <w:rPr>
                <w:sz w:val="24"/>
                <w:szCs w:val="24"/>
                <w:color w:val="auto"/>
              </w:rPr>
            </w:pPr>
          </w:p>
        </w:tc>
        <w:tc>
          <w:tcPr>
            <w:tcW w:w="86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100" w:type="dxa"/>
            <w:vAlign w:val="bottom"/>
            <w:tcBorders>
              <w:bottom w:val="single" w:sz="8" w:color="004EA8"/>
            </w:tcBorders>
          </w:tcPr>
          <w:p>
            <w:pPr>
              <w:spacing w:after="0"/>
              <w:rPr>
                <w:sz w:val="24"/>
                <w:szCs w:val="24"/>
                <w:color w:val="auto"/>
              </w:rPr>
            </w:pPr>
          </w:p>
        </w:tc>
        <w:tc>
          <w:tcPr>
            <w:tcW w:w="90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900" w:type="dxa"/>
            <w:vAlign w:val="bottom"/>
            <w:tcBorders>
              <w:bottom w:val="single" w:sz="8" w:color="004EA8"/>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19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
                <w:szCs w:val="2"/>
                <w:color w:val="auto"/>
              </w:rPr>
            </w:pPr>
          </w:p>
        </w:tc>
        <w:tc>
          <w:tcPr>
            <w:tcW w:w="192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980" w:type="dxa"/>
            <w:vAlign w:val="bottom"/>
            <w:gridSpan w:val="4"/>
            <w:vMerge w:val="continue"/>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19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240" w:type="dxa"/>
            <w:vAlign w:val="bottom"/>
          </w:tcPr>
          <w:p>
            <w:pPr>
              <w:spacing w:after="0"/>
              <w:rPr>
                <w:sz w:val="15"/>
                <w:szCs w:val="15"/>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left w:val="single" w:sz="8" w:color="auto"/>
            </w:tcBorders>
          </w:tcPr>
          <w:p>
            <w:pPr>
              <w:spacing w:after="0"/>
              <w:rPr>
                <w:sz w:val="15"/>
                <w:szCs w:val="15"/>
                <w:color w:val="auto"/>
              </w:rPr>
            </w:pPr>
          </w:p>
        </w:tc>
        <w:tc>
          <w:tcPr>
            <w:tcW w:w="192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$8,957</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$7,583</w:t>
            </w:r>
          </w:p>
        </w:tc>
        <w:tc>
          <w:tcPr>
            <w:tcW w:w="12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$26,297</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$23,640</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(2,142)</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(2,387)</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(6,146)</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(6,344)</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(723)</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Cash 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(1,034)</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(2,943)</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(2,845)</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Cash taxes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(368)</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(1,965)</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(2,201)</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(2,298)</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(1,949)</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(1,057)</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Noncash share-based compensation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308</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1,019</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342</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$3,234</w:t>
            </w: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$2,289</w:t>
            </w:r>
          </w:p>
        </w:tc>
        <w:tc>
          <w:tcPr>
            <w:tcW w:w="12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$13,305</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$11,580</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360" w:right="20" w:hanging="334"/>
        <w:spacing w:after="0" w:line="184" w:lineRule="auto"/>
        <w:tabs>
          <w:tab w:leader="none" w:pos="36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3rd quarter and year to date 2021 Adjusted EBITDA exclude $30 million and $79 million of other operating and administrative expense, respectively, related to the Sky transaction and costs related to our investment portfolio. 3rd quarter and year to date 2020 Adjusted EBITDA exclude $177 million of other operating and administrative expense related to a legal settlement and $10 million and $40 million of other operating and administrative expense, respectively, related to the Sky transaction.</w:t>
      </w:r>
    </w:p>
    <w:p>
      <w:pPr>
        <w:spacing w:after="0" w:line="72" w:lineRule="exact"/>
        <w:rPr>
          <w:rFonts w:ascii="Arial" w:cs="Arial" w:eastAsia="Arial" w:hAnsi="Arial"/>
          <w:sz w:val="22"/>
          <w:szCs w:val="22"/>
          <w:color w:val="auto"/>
          <w:vertAlign w:val="superscript"/>
        </w:rPr>
      </w:pPr>
    </w:p>
    <w:p>
      <w:pPr>
        <w:ind w:left="360" w:right="20" w:hanging="334"/>
        <w:spacing w:after="0" w:line="188"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3rd quarter and year to date 2021 include decreases of $30 million and $79 million, respectively, related to costs that are excluded from Adjusted EBITDA. 3rd quarter and year to date 2020 include decreases of $187 million and $217 million, respectively, related to costs that are excluded from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892"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6003290</wp:posOffset>
            </wp:positionH>
            <wp:positionV relativeFrom="page">
              <wp:posOffset>526415</wp:posOffset>
            </wp:positionV>
            <wp:extent cx="1080135"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84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86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12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EPS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EPS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EPS</w:t>
            </w: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w:t>
            </w:r>
          </w:p>
        </w:tc>
        <w:tc>
          <w:tcPr>
            <w:tcW w:w="1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4"/>
                <w:szCs w:val="14"/>
                <w:b w:val="1"/>
                <w:bCs w:val="1"/>
                <w:color w:val="auto"/>
              </w:rPr>
              <w:t>earnings per share attributable to Comcast Corporation</w:t>
            </w: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$4,035</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$0.86</w:t>
            </w:r>
          </w:p>
        </w:tc>
        <w:tc>
          <w:tcPr>
            <w:tcW w:w="120" w:type="dxa"/>
            <w:vAlign w:val="bottom"/>
          </w:tcPr>
          <w:p>
            <w:pPr>
              <w:spacing w:after="0"/>
              <w:rPr>
                <w:sz w:val="11"/>
                <w:szCs w:val="11"/>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color w:val="auto"/>
              </w:rPr>
              <w:t>$2,019</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$0.44</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$11,102</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$2.38</w:t>
            </w:r>
          </w:p>
        </w:tc>
        <w:tc>
          <w:tcPr>
            <w:tcW w:w="120" w:type="dxa"/>
            <w:vAlign w:val="bottom"/>
          </w:tcPr>
          <w:p>
            <w:pPr>
              <w:spacing w:after="0"/>
              <w:rPr>
                <w:sz w:val="11"/>
                <w:szCs w:val="11"/>
                <w:color w:val="auto"/>
              </w:rPr>
            </w:pPr>
          </w:p>
        </w:tc>
        <w:tc>
          <w:tcPr>
            <w:tcW w:w="1000" w:type="dxa"/>
            <w:vAlign w:val="bottom"/>
            <w:vMerge w:val="restart"/>
          </w:tcPr>
          <w:p>
            <w:pPr>
              <w:jc w:val="right"/>
              <w:ind w:right="228"/>
              <w:spacing w:after="0"/>
              <w:rPr>
                <w:sz w:val="20"/>
                <w:szCs w:val="20"/>
                <w:color w:val="auto"/>
              </w:rPr>
            </w:pPr>
            <w:r>
              <w:rPr>
                <w:rFonts w:ascii="Arial" w:cs="Arial" w:eastAsia="Arial" w:hAnsi="Arial"/>
                <w:sz w:val="14"/>
                <w:szCs w:val="14"/>
                <w:color w:val="auto"/>
              </w:rPr>
              <w:t>$7,154</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Arial" w:cs="Arial" w:eastAsia="Arial" w:hAnsi="Arial"/>
                <w:sz w:val="14"/>
                <w:szCs w:val="14"/>
                <w:b w:val="1"/>
                <w:bCs w:val="1"/>
                <w:color w:val="auto"/>
              </w:rPr>
              <w:t>shareholders</w:t>
            </w:r>
          </w:p>
        </w:tc>
        <w:tc>
          <w:tcPr>
            <w:tcW w:w="11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20" w:type="dxa"/>
            <w:vAlign w:val="bottom"/>
          </w:tcPr>
          <w:p>
            <w:pPr>
              <w:jc w:val="right"/>
              <w:ind w:right="248"/>
              <w:spacing w:after="0"/>
              <w:rPr>
                <w:sz w:val="20"/>
                <w:szCs w:val="20"/>
                <w:color w:val="auto"/>
              </w:rPr>
            </w:pPr>
            <w:r>
              <w:rPr>
                <w:rFonts w:ascii="Arial" w:cs="Arial" w:eastAsia="Arial" w:hAnsi="Arial"/>
                <w:sz w:val="14"/>
                <w:szCs w:val="14"/>
                <w:i w:val="1"/>
                <w:iCs w:val="1"/>
                <w:color w:val="auto"/>
              </w:rPr>
              <w:t>99.8 %</w:t>
            </w: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95.5 %</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i w:val="1"/>
                <w:iCs w:val="1"/>
                <w:color w:val="auto"/>
              </w:rPr>
              <w:t>55.2 %</w:t>
            </w: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53.5 %</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4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491</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120" w:type="dxa"/>
            <w:vAlign w:val="bottom"/>
          </w:tcPr>
          <w:p>
            <w:pPr>
              <w:spacing w:after="0"/>
              <w:rPr>
                <w:sz w:val="21"/>
                <w:szCs w:val="21"/>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458</w:t>
            </w:r>
          </w:p>
        </w:tc>
        <w:tc>
          <w:tcPr>
            <w:tcW w:w="54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1,440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0.31</w:t>
            </w:r>
          </w:p>
        </w:tc>
        <w:tc>
          <w:tcPr>
            <w:tcW w:w="120" w:type="dxa"/>
            <w:vAlign w:val="bottom"/>
          </w:tcPr>
          <w:p>
            <w:pPr>
              <w:spacing w:after="0"/>
              <w:rPr>
                <w:sz w:val="21"/>
                <w:szCs w:val="21"/>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1,365</w:t>
            </w:r>
          </w:p>
        </w:tc>
        <w:tc>
          <w:tcPr>
            <w:tcW w:w="560" w:type="dxa"/>
            <w:vAlign w:val="bottom"/>
          </w:tcPr>
          <w:p>
            <w:pPr>
              <w:jc w:val="right"/>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07"/>
        </w:trPr>
        <w:tc>
          <w:tcPr>
            <w:tcW w:w="4140" w:type="dxa"/>
            <w:vAlign w:val="bottom"/>
          </w:tcPr>
          <w:p>
            <w:pPr>
              <w:spacing w:after="0"/>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(486)</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120" w:type="dxa"/>
            <w:vAlign w:val="bottom"/>
          </w:tcPr>
          <w:p>
            <w:pPr>
              <w:spacing w:after="0"/>
              <w:rPr>
                <w:sz w:val="18"/>
                <w:szCs w:val="18"/>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70</w:t>
            </w:r>
          </w:p>
        </w:tc>
        <w:tc>
          <w:tcPr>
            <w:tcW w:w="54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(1,608)</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(0.34)</w:t>
            </w:r>
          </w:p>
        </w:tc>
        <w:tc>
          <w:tcPr>
            <w:tcW w:w="120" w:type="dxa"/>
            <w:vAlign w:val="bottom"/>
          </w:tcPr>
          <w:p>
            <w:pPr>
              <w:spacing w:after="0"/>
              <w:rPr>
                <w:sz w:val="18"/>
                <w:szCs w:val="18"/>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334</w:t>
            </w:r>
          </w:p>
        </w:tc>
        <w:tc>
          <w:tcPr>
            <w:tcW w:w="560" w:type="dxa"/>
            <w:vAlign w:val="bottom"/>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72"/>
        </w:trPr>
        <w:tc>
          <w:tcPr>
            <w:tcW w:w="414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1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498</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0.11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120"/>
              <w:spacing w:after="0" w:line="188"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18"/>
                <w:szCs w:val="18"/>
                <w:color w:val="auto"/>
                <w:vertAlign w:val="superscript"/>
              </w:rPr>
              <w:t>(3)</w:t>
            </w:r>
          </w:p>
        </w:tc>
        <w:tc>
          <w:tcPr>
            <w:tcW w:w="112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145</w:t>
            </w:r>
          </w:p>
        </w:tc>
        <w:tc>
          <w:tcPr>
            <w:tcW w:w="54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145</w:t>
            </w:r>
          </w:p>
        </w:tc>
        <w:tc>
          <w:tcPr>
            <w:tcW w:w="56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9"/>
        </w:trPr>
        <w:tc>
          <w:tcPr>
            <w:tcW w:w="414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Loss on early redemption of debt </w:t>
            </w:r>
            <w:r>
              <w:rPr>
                <w:rFonts w:ascii="Arial" w:cs="Arial" w:eastAsia="Arial" w:hAnsi="Arial"/>
                <w:sz w:val="18"/>
                <w:szCs w:val="18"/>
                <w:color w:val="auto"/>
                <w:vertAlign w:val="superscript"/>
              </w:rPr>
              <w:t>(4)</w:t>
            </w:r>
          </w:p>
        </w:tc>
        <w:tc>
          <w:tcPr>
            <w:tcW w:w="112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166</w:t>
            </w:r>
          </w:p>
        </w:tc>
        <w:tc>
          <w:tcPr>
            <w:tcW w:w="540" w:type="dxa"/>
            <w:vAlign w:val="bottom"/>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59</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20" w:type="dxa"/>
            <w:vAlign w:val="bottom"/>
          </w:tcPr>
          <w:p>
            <w:pPr>
              <w:spacing w:after="0"/>
              <w:rPr>
                <w:sz w:val="16"/>
                <w:szCs w:val="16"/>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272</w:t>
            </w:r>
          </w:p>
        </w:tc>
        <w:tc>
          <w:tcPr>
            <w:tcW w:w="560" w:type="dxa"/>
            <w:vAlign w:val="bottom"/>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89"/>
        </w:trPr>
        <w:tc>
          <w:tcPr>
            <w:tcW w:w="414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Legal settlement </w:t>
            </w:r>
            <w:r>
              <w:rPr>
                <w:rFonts w:ascii="Arial" w:cs="Arial" w:eastAsia="Arial" w:hAnsi="Arial"/>
                <w:sz w:val="18"/>
                <w:szCs w:val="18"/>
                <w:color w:val="auto"/>
                <w:vertAlign w:val="superscript"/>
              </w:rPr>
              <w:t>(5)</w:t>
            </w:r>
          </w:p>
        </w:tc>
        <w:tc>
          <w:tcPr>
            <w:tcW w:w="112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134</w:t>
            </w:r>
          </w:p>
        </w:tc>
        <w:tc>
          <w:tcPr>
            <w:tcW w:w="54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0</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134</w:t>
            </w:r>
          </w:p>
        </w:tc>
        <w:tc>
          <w:tcPr>
            <w:tcW w:w="56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9"/>
        </w:trPr>
        <w:tc>
          <w:tcPr>
            <w:tcW w:w="414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Costs related to Sky transaction </w:t>
            </w:r>
            <w:r>
              <w:rPr>
                <w:rFonts w:ascii="Arial" w:cs="Arial" w:eastAsia="Arial" w:hAnsi="Arial"/>
                <w:sz w:val="18"/>
                <w:szCs w:val="18"/>
                <w:color w:val="auto"/>
                <w:vertAlign w:val="superscript"/>
              </w:rPr>
              <w:t>(6)</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(1)</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8</w:t>
            </w: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20</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32</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414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1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$4,038</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$0.87</w:t>
            </w: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$3,000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$11,511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$2.47</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$9,436</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4"/>
        </w:trPr>
        <w:tc>
          <w:tcPr>
            <w:tcW w:w="414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20" w:type="dxa"/>
            <w:vAlign w:val="bottom"/>
          </w:tcPr>
          <w:p>
            <w:pPr>
              <w:jc w:val="right"/>
              <w:ind w:right="248"/>
              <w:spacing w:after="0"/>
              <w:rPr>
                <w:sz w:val="20"/>
                <w:szCs w:val="20"/>
                <w:color w:val="auto"/>
              </w:rPr>
            </w:pPr>
            <w:r>
              <w:rPr>
                <w:rFonts w:ascii="Arial" w:cs="Arial" w:eastAsia="Arial" w:hAnsi="Arial"/>
                <w:sz w:val="14"/>
                <w:szCs w:val="14"/>
                <w:i w:val="1"/>
                <w:iCs w:val="1"/>
                <w:color w:val="auto"/>
              </w:rPr>
              <w:t>34.6 %</w:t>
            </w: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33.8 %</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i w:val="1"/>
                <w:iCs w:val="1"/>
                <w:color w:val="auto"/>
              </w:rPr>
              <w:t>22.0 %</w:t>
            </w: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21.1 %</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left="260" w:right="40" w:hanging="252"/>
        <w:spacing w:after="0" w:line="250" w:lineRule="auto"/>
        <w:tabs>
          <w:tab w:leader="none" w:pos="25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3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98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97"/>
              <w:spacing w:after="0"/>
              <w:rPr>
                <w:sz w:val="20"/>
                <w:szCs w:val="20"/>
                <w:color w:val="auto"/>
              </w:rPr>
            </w:pPr>
            <w:r>
              <w:rPr>
                <w:rFonts w:ascii="Arial" w:cs="Arial" w:eastAsia="Arial" w:hAnsi="Arial"/>
                <w:sz w:val="13"/>
                <w:szCs w:val="13"/>
                <w:color w:val="auto"/>
              </w:rPr>
              <w:t>Nine Months Ended</w:t>
            </w:r>
          </w:p>
        </w:tc>
      </w:tr>
      <w:tr>
        <w:trPr>
          <w:trHeight w:val="152"/>
        </w:trPr>
        <w:tc>
          <w:tcPr>
            <w:tcW w:w="698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6"/>
              </w:rPr>
              <w:t>September 30,</w:t>
            </w:r>
          </w:p>
        </w:tc>
        <w:tc>
          <w:tcPr>
            <w:tcW w:w="1820" w:type="dxa"/>
            <w:vAlign w:val="bottom"/>
            <w:gridSpan w:val="3"/>
          </w:tcPr>
          <w:p>
            <w:pPr>
              <w:jc w:val="right"/>
              <w:ind w:right="437"/>
              <w:spacing w:after="0"/>
              <w:rPr>
                <w:sz w:val="20"/>
                <w:szCs w:val="20"/>
                <w:color w:val="auto"/>
              </w:rPr>
            </w:pPr>
            <w:r>
              <w:rPr>
                <w:rFonts w:ascii="Arial" w:cs="Arial" w:eastAsia="Arial" w:hAnsi="Arial"/>
                <w:sz w:val="13"/>
                <w:szCs w:val="13"/>
                <w:color w:val="auto"/>
              </w:rPr>
              <w:t>September 30,</w:t>
            </w:r>
          </w:p>
        </w:tc>
      </w:tr>
      <w:tr>
        <w:trPr>
          <w:trHeight w:val="185"/>
        </w:trPr>
        <w:tc>
          <w:tcPr>
            <w:tcW w:w="698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r>
      <w:tr>
        <w:trPr>
          <w:trHeight w:val="169"/>
        </w:trPr>
        <w:tc>
          <w:tcPr>
            <w:tcW w:w="69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$1,781</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$1,714</w:t>
            </w:r>
          </w:p>
        </w:tc>
      </w:tr>
      <w:tr>
        <w:trPr>
          <w:trHeight w:val="175"/>
        </w:trPr>
        <w:tc>
          <w:tcPr>
            <w:tcW w:w="69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$1,440</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w:t>
            </w:r>
          </w:p>
        </w:tc>
      </w:tr>
      <w:tr>
        <w:trPr>
          <w:trHeight w:val="20"/>
        </w:trPr>
        <w:tc>
          <w:tcPr>
            <w:tcW w:w="6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60" w:right="220" w:hanging="252"/>
        <w:spacing w:after="0" w:line="242" w:lineRule="auto"/>
        <w:tabs>
          <w:tab w:leader="none" w:pos="252"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97"/>
              <w:spacing w:after="0"/>
              <w:rPr>
                <w:sz w:val="20"/>
                <w:szCs w:val="20"/>
                <w:color w:val="auto"/>
              </w:rPr>
            </w:pPr>
            <w:r>
              <w:rPr>
                <w:rFonts w:ascii="Arial" w:cs="Arial" w:eastAsia="Arial" w:hAnsi="Arial"/>
                <w:sz w:val="13"/>
                <w:szCs w:val="13"/>
                <w:color w:val="auto"/>
              </w:rPr>
              <w:t>Nine Months Ended</w:t>
            </w:r>
          </w:p>
        </w:tc>
      </w:tr>
      <w:tr>
        <w:trPr>
          <w:trHeight w:val="152"/>
        </w:trPr>
        <w:tc>
          <w:tcPr>
            <w:tcW w:w="698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6"/>
              </w:rPr>
              <w:t>September 30,</w:t>
            </w:r>
          </w:p>
        </w:tc>
        <w:tc>
          <w:tcPr>
            <w:tcW w:w="1820" w:type="dxa"/>
            <w:vAlign w:val="bottom"/>
            <w:gridSpan w:val="3"/>
          </w:tcPr>
          <w:p>
            <w:pPr>
              <w:jc w:val="right"/>
              <w:ind w:right="437"/>
              <w:spacing w:after="0"/>
              <w:rPr>
                <w:sz w:val="20"/>
                <w:szCs w:val="20"/>
                <w:color w:val="auto"/>
              </w:rPr>
            </w:pPr>
            <w:r>
              <w:rPr>
                <w:rFonts w:ascii="Arial" w:cs="Arial" w:eastAsia="Arial" w:hAnsi="Arial"/>
                <w:sz w:val="13"/>
                <w:szCs w:val="13"/>
                <w:color w:val="auto"/>
              </w:rPr>
              <w:t>September 30,</w:t>
            </w:r>
          </w:p>
        </w:tc>
      </w:tr>
      <w:tr>
        <w:trPr>
          <w:trHeight w:val="185"/>
        </w:trPr>
        <w:tc>
          <w:tcPr>
            <w:tcW w:w="698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r>
      <w:tr>
        <w:trPr>
          <w:trHeight w:val="160"/>
        </w:trPr>
        <w:tc>
          <w:tcPr>
            <w:tcW w:w="698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($106)</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($532)</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85"/>
        </w:trPr>
        <w:tc>
          <w:tcPr>
            <w:tcW w:w="698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(1,589)</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w:t>
            </w:r>
          </w:p>
        </w:tc>
      </w:tr>
      <w:tr>
        <w:trPr>
          <w:trHeight w:val="159"/>
        </w:trPr>
        <w:tc>
          <w:tcPr>
            <w:tcW w:w="698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(644)</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92</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(2,121)</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441</w:t>
            </w:r>
          </w:p>
        </w:tc>
      </w:tr>
      <w:tr>
        <w:trPr>
          <w:trHeight w:val="192"/>
        </w:trPr>
        <w:tc>
          <w:tcPr>
            <w:tcW w:w="698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($1,608)</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w:t>
            </w:r>
          </w:p>
        </w:tc>
      </w:tr>
      <w:tr>
        <w:trPr>
          <w:trHeight w:val="20"/>
        </w:trPr>
        <w:tc>
          <w:tcPr>
            <w:tcW w:w="6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60" w:right="260" w:hanging="252"/>
        <w:spacing w:after="0" w:line="242"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2021 year to date net income attributable to Comcast Corporation includes $498 million of income tax expense adjustments related to UK tax law changes. 3rd quarter and year to date 2020 net income attributable to Comcast Corporation includes $145 million of income tax expense adjustments related to certain tax law changes.</w:t>
      </w:r>
    </w:p>
    <w:p>
      <w:pPr>
        <w:spacing w:after="0" w:line="103" w:lineRule="exact"/>
        <w:rPr>
          <w:rFonts w:ascii="Arial" w:cs="Arial" w:eastAsia="Arial" w:hAnsi="Arial"/>
          <w:sz w:val="13"/>
          <w:szCs w:val="13"/>
          <w:color w:val="auto"/>
        </w:rPr>
      </w:pPr>
    </w:p>
    <w:p>
      <w:pPr>
        <w:jc w:val="both"/>
        <w:ind w:left="260" w:hanging="252"/>
        <w:spacing w:after="0"/>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Year to date 2021 net income attributable to Comcast Corporation includes $78 million of interest expense, $59 million net of tax, resulting from the early redemption of debt. 3rd quarter and year to date 2020 net income attributable to Comcast Corporation includes $220 million and $360 million of interest expense, $166 million and $272 million net of tax, respectively, resulting from the early redemption of debt.</w:t>
      </w:r>
    </w:p>
    <w:p>
      <w:pPr>
        <w:spacing w:after="0" w:line="105" w:lineRule="exact"/>
        <w:rPr>
          <w:rFonts w:ascii="Arial" w:cs="Arial" w:eastAsia="Arial" w:hAnsi="Arial"/>
          <w:sz w:val="13"/>
          <w:szCs w:val="13"/>
          <w:color w:val="auto"/>
        </w:rPr>
      </w:pPr>
    </w:p>
    <w:p>
      <w:pPr>
        <w:ind w:left="260" w:hanging="252"/>
        <w:spacing w:after="0" w:line="242"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3rd quarter and year to date 2020 net income attributable to Comcast Corporation includes $177 million of other operating and administrative expense, $134 million net of tax, related to a legal settlement.</w:t>
      </w:r>
    </w:p>
    <w:p>
      <w:pPr>
        <w:spacing w:after="0" w:line="103" w:lineRule="exact"/>
        <w:rPr>
          <w:rFonts w:ascii="Arial" w:cs="Arial" w:eastAsia="Arial" w:hAnsi="Arial"/>
          <w:sz w:val="13"/>
          <w:szCs w:val="13"/>
          <w:color w:val="auto"/>
        </w:rPr>
      </w:pPr>
    </w:p>
    <w:p>
      <w:pPr>
        <w:jc w:val="both"/>
        <w:ind w:left="260" w:hanging="252"/>
        <w:spacing w:after="0"/>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3rd quarter and year to date 2021 net income attributable to Comcast Corporation includes ($1) million and $24 million of operating costs and expenses, $(1) million and $20 million net of tax, respectively, related to the Sky transaction. 3rd quarter and year to date 2020 net income attributable to Comcast Corporation includes $10 million and $40 million of operating costs and expenses, $8 million and $32 million net of tax, respectively, related to the Sky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852" w:right="339" w:bottom="1440" w:gutter="0" w:footer="0" w:header="0"/>
        </w:sectPr>
      </w:pPr>
    </w:p>
    <w:bookmarkStart w:id="18" w:name="page19"/>
    <w:bookmarkEnd w:id="18"/>
    <w:p>
      <w:pPr>
        <w:ind w:left="52"/>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543560</wp:posOffset>
            </wp:positionV>
            <wp:extent cx="1209040" cy="52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5" w:lineRule="exact"/>
        <w:rPr>
          <w:sz w:val="20"/>
          <w:szCs w:val="20"/>
          <w:color w:val="auto"/>
        </w:rPr>
      </w:pPr>
    </w:p>
    <w:p>
      <w:pPr>
        <w:ind w:left="52"/>
        <w:spacing w:after="0"/>
        <w:rPr>
          <w:sz w:val="20"/>
          <w:szCs w:val="20"/>
          <w:color w:val="auto"/>
        </w:rPr>
      </w:pPr>
      <w:r>
        <w:rPr>
          <w:rFonts w:ascii="Arial" w:cs="Arial" w:eastAsia="Arial" w:hAnsi="Arial"/>
          <w:sz w:val="20"/>
          <w:szCs w:val="20"/>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17145</wp:posOffset>
            </wp:positionV>
            <wp:extent cx="70891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04" w:lineRule="exact"/>
        <w:rPr>
          <w:sz w:val="20"/>
          <w:szCs w:val="20"/>
          <w:color w:val="auto"/>
        </w:rPr>
      </w:pPr>
    </w:p>
    <w:tbl>
      <w:tblPr>
        <w:tblLayout w:type="fixed"/>
        <w:tblInd w:w="192" w:type="dxa"/>
        <w:tblCellMar>
          <w:top w:w="0" w:type="dxa"/>
          <w:left w:w="0" w:type="dxa"/>
          <w:bottom w:w="0" w:type="dxa"/>
          <w:right w:w="0" w:type="dxa"/>
        </w:tblCellMar>
      </w:tblPr>
      <w:tr>
        <w:trPr>
          <w:trHeight w:val="310"/>
        </w:trPr>
        <w:tc>
          <w:tcPr>
            <w:tcW w:w="4340" w:type="dxa"/>
            <w:vAlign w:val="bottom"/>
          </w:tcPr>
          <w:p>
            <w:pPr>
              <w:spacing w:after="0"/>
              <w:rPr>
                <w:sz w:val="24"/>
                <w:szCs w:val="24"/>
                <w:color w:val="auto"/>
              </w:rPr>
            </w:pPr>
          </w:p>
        </w:tc>
        <w:tc>
          <w:tcPr>
            <w:tcW w:w="326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60" w:type="dxa"/>
            <w:vAlign w:val="bottom"/>
            <w:gridSpan w:val="6"/>
          </w:tcPr>
          <w:p>
            <w:pPr>
              <w:jc w:val="center"/>
              <w:ind w:right="739"/>
              <w:spacing w:after="0"/>
              <w:rPr>
                <w:sz w:val="20"/>
                <w:szCs w:val="20"/>
                <w:color w:val="auto"/>
              </w:rPr>
            </w:pPr>
            <w:r>
              <w:rPr>
                <w:rFonts w:ascii="Arial" w:cs="Arial" w:eastAsia="Arial" w:hAnsi="Arial"/>
                <w:sz w:val="16"/>
                <w:szCs w:val="16"/>
                <w:b w:val="1"/>
                <w:bCs w:val="1"/>
                <w:color w:val="auto"/>
              </w:rPr>
              <w:t>Nine Months Ended</w:t>
            </w:r>
          </w:p>
        </w:tc>
      </w:tr>
      <w:tr>
        <w:trPr>
          <w:trHeight w:val="211"/>
        </w:trPr>
        <w:tc>
          <w:tcPr>
            <w:tcW w:w="4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r>
      <w:tr>
        <w:trPr>
          <w:trHeight w:val="221"/>
        </w:trPr>
        <w:tc>
          <w:tcPr>
            <w:tcW w:w="434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119"/>
              <w:spacing w:after="0" w:line="221" w:lineRule="exact"/>
              <w:rPr>
                <w:sz w:val="20"/>
                <w:szCs w:val="20"/>
                <w:color w:val="auto"/>
              </w:rPr>
            </w:pPr>
            <w:r>
              <w:rPr>
                <w:rFonts w:ascii="Arial" w:cs="Arial" w:eastAsia="Arial" w:hAnsi="Arial"/>
                <w:sz w:val="16"/>
                <w:szCs w:val="16"/>
                <w:color w:val="auto"/>
              </w:rPr>
              <w:t>2020</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119"/>
              <w:spacing w:after="0" w:line="221" w:lineRule="exact"/>
              <w:rPr>
                <w:sz w:val="20"/>
                <w:szCs w:val="20"/>
                <w:color w:val="auto"/>
              </w:rPr>
            </w:pPr>
            <w:r>
              <w:rPr>
                <w:rFonts w:ascii="Arial" w:cs="Arial" w:eastAsia="Arial" w:hAnsi="Arial"/>
                <w:sz w:val="16"/>
                <w:szCs w:val="16"/>
                <w:color w:val="auto"/>
              </w:rPr>
              <w:t>2020</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298"/>
        </w:trPr>
        <w:tc>
          <w:tcPr>
            <w:tcW w:w="4340" w:type="dxa"/>
            <w:vAlign w:val="bottom"/>
          </w:tcPr>
          <w:p>
            <w:pPr>
              <w:spacing w:after="0"/>
              <w:rPr>
                <w:sz w:val="20"/>
                <w:szCs w:val="20"/>
                <w:color w:val="auto"/>
              </w:rPr>
            </w:pPr>
            <w:r>
              <w:rPr>
                <w:rFonts w:ascii="Arial" w:cs="Arial" w:eastAsia="Arial" w:hAnsi="Arial"/>
                <w:sz w:val="16"/>
                <w:szCs w:val="16"/>
                <w:color w:val="auto"/>
              </w:rPr>
              <w:t>Direct-to-Consumer</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$4,127</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$12,415</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$12,044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Content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1,013</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19"/>
        </w:trPr>
        <w:tc>
          <w:tcPr>
            <w:tcW w:w="4340" w:type="dxa"/>
            <w:vAlign w:val="bottom"/>
          </w:tcPr>
          <w:p>
            <w:pPr>
              <w:spacing w:after="0"/>
              <w:rPr>
                <w:sz w:val="20"/>
                <w:szCs w:val="20"/>
                <w:color w:val="auto"/>
              </w:rPr>
            </w:pPr>
            <w:r>
              <w:rPr>
                <w:rFonts w:ascii="Arial" w:cs="Arial" w:eastAsia="Arial" w:hAnsi="Arial"/>
                <w:sz w:val="16"/>
                <w:szCs w:val="16"/>
                <w:color w:val="auto"/>
              </w:rPr>
              <w:t>Advertising</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15.6 %</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1,777</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27.0 %</w:t>
            </w:r>
          </w:p>
        </w:tc>
      </w:tr>
      <w:tr>
        <w:trPr>
          <w:trHeight w:val="212"/>
        </w:trPr>
        <w:tc>
          <w:tcPr>
            <w:tcW w:w="43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$4,988</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$15,205</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21"/>
        </w:trPr>
        <w:tc>
          <w:tcPr>
            <w:tcW w:w="4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1"/>
        </w:trPr>
        <w:tc>
          <w:tcPr>
            <w:tcW w:w="434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$4,016</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(10.2 %)</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$13,310</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$12,484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222"/>
        </w:trPr>
        <w:tc>
          <w:tcPr>
            <w:tcW w:w="43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$971</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76.2 %</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$1,895</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(4.3 %)</w:t>
            </w:r>
          </w:p>
        </w:tc>
      </w:tr>
    </w:tbl>
    <w:p>
      <w:pPr>
        <w:spacing w:after="0" w:line="318" w:lineRule="exact"/>
        <w:rPr>
          <w:sz w:val="20"/>
          <w:szCs w:val="20"/>
          <w:color w:val="auto"/>
        </w:rPr>
      </w:pPr>
    </w:p>
    <w:p>
      <w:pPr>
        <w:ind w:left="252" w:hanging="252"/>
        <w:spacing w:after="0" w:line="242" w:lineRule="auto"/>
        <w:tabs>
          <w:tab w:leader="none" w:pos="244" w:val="left"/>
        </w:tabs>
        <w:numPr>
          <w:ilvl w:val="0"/>
          <w:numId w:val="7"/>
        </w:numPr>
        <w:rPr>
          <w:rFonts w:ascii="Arial" w:cs="Arial" w:eastAsia="Arial" w:hAnsi="Arial"/>
          <w:sz w:val="13"/>
          <w:szCs w:val="13"/>
          <w:color w:val="auto"/>
        </w:rPr>
      </w:pPr>
      <w:r>
        <w:rPr>
          <w:rFonts w:ascii="Arial" w:cs="Arial" w:eastAsia="Arial" w:hAnsi="Arial"/>
          <w:sz w:val="13"/>
          <w:szCs w:val="13"/>
          <w:color w:val="auto"/>
        </w:rPr>
        <w:t>2020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12"/>
          </w:cols>
          <w:pgMar w:left="328" w:top="1014" w:right="35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6080125</wp:posOffset>
            </wp:positionH>
            <wp:positionV relativeFrom="page">
              <wp:posOffset>542925</wp:posOffset>
            </wp:positionV>
            <wp:extent cx="1208405" cy="52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08405" cy="522605"/>
                    </a:xfrm>
                    <a:prstGeom prst="rect">
                      <a:avLst/>
                    </a:prstGeom>
                    <a:noFill/>
                  </pic:spPr>
                </pic:pic>
              </a:graphicData>
            </a:graphic>
          </wp:anchor>
        </w:drawing>
        <w:t>TABLE 7</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Cable Communications RSN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89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1220" w:type="dxa"/>
            <w:vAlign w:val="bottom"/>
          </w:tcPr>
          <w:p>
            <w:pPr>
              <w:spacing w:after="0"/>
              <w:rPr>
                <w:sz w:val="16"/>
                <w:szCs w:val="16"/>
                <w:color w:val="auto"/>
              </w:rPr>
            </w:pPr>
          </w:p>
        </w:tc>
      </w:tr>
      <w:tr>
        <w:trPr>
          <w:trHeight w:val="211"/>
        </w:trPr>
        <w:tc>
          <w:tcPr>
            <w:tcW w:w="2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rPr>
              <w:t>September 30, 2021</w:t>
            </w:r>
          </w:p>
        </w:tc>
        <w:tc>
          <w:tcPr>
            <w:tcW w:w="1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rPr>
              <w:t>September 30, 2021</w:t>
            </w:r>
          </w:p>
        </w:tc>
        <w:tc>
          <w:tcPr>
            <w:tcW w:w="1220" w:type="dxa"/>
            <w:vAlign w:val="bottom"/>
          </w:tcPr>
          <w:p>
            <w:pPr>
              <w:spacing w:after="0"/>
              <w:rPr>
                <w:sz w:val="18"/>
                <w:szCs w:val="18"/>
                <w:color w:val="auto"/>
              </w:rPr>
            </w:pPr>
          </w:p>
        </w:tc>
      </w:tr>
      <w:tr>
        <w:trPr>
          <w:trHeight w:val="167"/>
        </w:trPr>
        <w:tc>
          <w:tcPr>
            <w:tcW w:w="2600" w:type="dxa"/>
            <w:vAlign w:val="bottom"/>
          </w:tcPr>
          <w:p>
            <w:pPr>
              <w:spacing w:after="0"/>
              <w:rPr>
                <w:sz w:val="14"/>
                <w:szCs w:val="14"/>
                <w:color w:val="auto"/>
              </w:rPr>
            </w:pPr>
          </w:p>
        </w:tc>
        <w:tc>
          <w:tcPr>
            <w:tcW w:w="1240" w:type="dxa"/>
            <w:vAlign w:val="bottom"/>
          </w:tcPr>
          <w:p>
            <w:pPr>
              <w:jc w:val="right"/>
              <w:ind w:right="179"/>
              <w:spacing w:after="0" w:line="167" w:lineRule="exact"/>
              <w:rPr>
                <w:sz w:val="20"/>
                <w:szCs w:val="20"/>
                <w:color w:val="auto"/>
              </w:rPr>
            </w:pPr>
            <w:r>
              <w:rPr>
                <w:rFonts w:ascii="Arial" w:cs="Arial" w:eastAsia="Arial" w:hAnsi="Arial"/>
                <w:sz w:val="16"/>
                <w:szCs w:val="16"/>
                <w:b w:val="1"/>
                <w:bCs w:val="1"/>
                <w:color w:val="auto"/>
              </w:rPr>
              <w:t>Reported</w:t>
            </w:r>
          </w:p>
        </w:tc>
        <w:tc>
          <w:tcPr>
            <w:tcW w:w="140" w:type="dxa"/>
            <w:vAlign w:val="bottom"/>
          </w:tcPr>
          <w:p>
            <w:pPr>
              <w:spacing w:after="0"/>
              <w:rPr>
                <w:sz w:val="14"/>
                <w:szCs w:val="14"/>
                <w:color w:val="auto"/>
              </w:rPr>
            </w:pPr>
          </w:p>
        </w:tc>
        <w:tc>
          <w:tcPr>
            <w:tcW w:w="1560" w:type="dxa"/>
            <w:vAlign w:val="bottom"/>
            <w:gridSpan w:val="2"/>
          </w:tcPr>
          <w:p>
            <w:pPr>
              <w:jc w:val="center"/>
              <w:ind w:right="140"/>
              <w:spacing w:after="0" w:line="167" w:lineRule="exact"/>
              <w:rPr>
                <w:sz w:val="20"/>
                <w:szCs w:val="20"/>
                <w:color w:val="auto"/>
              </w:rPr>
            </w:pPr>
            <w:r>
              <w:rPr>
                <w:rFonts w:ascii="Arial" w:cs="Arial" w:eastAsia="Arial" w:hAnsi="Arial"/>
                <w:sz w:val="16"/>
                <w:szCs w:val="16"/>
                <w:b w:val="1"/>
                <w:bCs w:val="1"/>
                <w:color w:val="auto"/>
              </w:rPr>
              <w:t>2020 RSN</w:t>
            </w:r>
          </w:p>
        </w:tc>
        <w:tc>
          <w:tcPr>
            <w:tcW w:w="1320" w:type="dxa"/>
            <w:vAlign w:val="bottom"/>
            <w:tcBorders>
              <w:right w:val="single" w:sz="8" w:color="auto"/>
            </w:tcBorders>
            <w:gridSpan w:val="2"/>
          </w:tcPr>
          <w:p>
            <w:pPr>
              <w:jc w:val="center"/>
              <w:ind w:right="120"/>
              <w:spacing w:after="0" w:line="167" w:lineRule="exact"/>
              <w:rPr>
                <w:sz w:val="20"/>
                <w:szCs w:val="20"/>
                <w:color w:val="auto"/>
              </w:rPr>
            </w:pPr>
            <w:r>
              <w:rPr>
                <w:rFonts w:ascii="Arial" w:cs="Arial" w:eastAsia="Arial" w:hAnsi="Arial"/>
                <w:sz w:val="16"/>
                <w:szCs w:val="16"/>
                <w:b w:val="1"/>
                <w:bCs w:val="1"/>
                <w:color w:val="auto"/>
                <w:w w:val="99"/>
              </w:rPr>
              <w:t>Adjusted</w:t>
            </w:r>
          </w:p>
        </w:tc>
        <w:tc>
          <w:tcPr>
            <w:tcW w:w="100" w:type="dxa"/>
            <w:vAlign w:val="bottom"/>
          </w:tcPr>
          <w:p>
            <w:pPr>
              <w:spacing w:after="0"/>
              <w:rPr>
                <w:sz w:val="14"/>
                <w:szCs w:val="14"/>
                <w:color w:val="auto"/>
              </w:rPr>
            </w:pPr>
          </w:p>
        </w:tc>
        <w:tc>
          <w:tcPr>
            <w:tcW w:w="1200" w:type="dxa"/>
            <w:vAlign w:val="bottom"/>
          </w:tcPr>
          <w:p>
            <w:pPr>
              <w:jc w:val="right"/>
              <w:ind w:right="159"/>
              <w:spacing w:after="0" w:line="167" w:lineRule="exact"/>
              <w:rPr>
                <w:sz w:val="20"/>
                <w:szCs w:val="20"/>
                <w:color w:val="auto"/>
              </w:rPr>
            </w:pPr>
            <w:r>
              <w:rPr>
                <w:rFonts w:ascii="Arial" w:cs="Arial" w:eastAsia="Arial" w:hAnsi="Arial"/>
                <w:sz w:val="16"/>
                <w:szCs w:val="16"/>
                <w:b w:val="1"/>
                <w:bCs w:val="1"/>
                <w:color w:val="auto"/>
              </w:rPr>
              <w:t>Reported</w:t>
            </w:r>
          </w:p>
        </w:tc>
        <w:tc>
          <w:tcPr>
            <w:tcW w:w="140" w:type="dxa"/>
            <w:vAlign w:val="bottom"/>
          </w:tcPr>
          <w:p>
            <w:pPr>
              <w:spacing w:after="0"/>
              <w:rPr>
                <w:sz w:val="14"/>
                <w:szCs w:val="14"/>
                <w:color w:val="auto"/>
              </w:rPr>
            </w:pPr>
          </w:p>
        </w:tc>
        <w:tc>
          <w:tcPr>
            <w:tcW w:w="1560" w:type="dxa"/>
            <w:vAlign w:val="bottom"/>
            <w:gridSpan w:val="2"/>
          </w:tcPr>
          <w:p>
            <w:pPr>
              <w:jc w:val="center"/>
              <w:ind w:right="120"/>
              <w:spacing w:after="0" w:line="167" w:lineRule="exact"/>
              <w:rPr>
                <w:sz w:val="20"/>
                <w:szCs w:val="20"/>
                <w:color w:val="auto"/>
              </w:rPr>
            </w:pPr>
            <w:r>
              <w:rPr>
                <w:rFonts w:ascii="Arial" w:cs="Arial" w:eastAsia="Arial" w:hAnsi="Arial"/>
                <w:sz w:val="16"/>
                <w:szCs w:val="16"/>
                <w:b w:val="1"/>
                <w:bCs w:val="1"/>
                <w:color w:val="auto"/>
              </w:rPr>
              <w:t>2020 RSN</w:t>
            </w:r>
          </w:p>
        </w:tc>
        <w:tc>
          <w:tcPr>
            <w:tcW w:w="1220" w:type="dxa"/>
            <w:vAlign w:val="bottom"/>
          </w:tcPr>
          <w:p>
            <w:pPr>
              <w:jc w:val="right"/>
              <w:ind w:right="179"/>
              <w:spacing w:after="0" w:line="167" w:lineRule="exact"/>
              <w:rPr>
                <w:sz w:val="20"/>
                <w:szCs w:val="20"/>
                <w:color w:val="auto"/>
              </w:rPr>
            </w:pPr>
            <w:r>
              <w:rPr>
                <w:rFonts w:ascii="Arial" w:cs="Arial" w:eastAsia="Arial" w:hAnsi="Arial"/>
                <w:sz w:val="16"/>
                <w:szCs w:val="16"/>
                <w:b w:val="1"/>
                <w:bCs w:val="1"/>
                <w:color w:val="auto"/>
              </w:rPr>
              <w:t>Adjusted</w:t>
            </w:r>
          </w:p>
        </w:tc>
      </w:tr>
      <w:tr>
        <w:trPr>
          <w:trHeight w:val="215"/>
        </w:trPr>
        <w:tc>
          <w:tcPr>
            <w:tcW w:w="260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Adjustments</w:t>
            </w:r>
          </w:p>
        </w:tc>
        <w:tc>
          <w:tcPr>
            <w:tcW w:w="13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Adjustments</w:t>
            </w: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195"/>
        </w:trPr>
        <w:tc>
          <w:tcPr>
            <w:tcW w:w="26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2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13"/>
        </w:trPr>
        <w:tc>
          <w:tcPr>
            <w:tcW w:w="2600" w:type="dxa"/>
            <w:vAlign w:val="bottom"/>
          </w:tcPr>
          <w:p>
            <w:pPr>
              <w:ind w:left="280"/>
              <w:spacing w:after="0"/>
              <w:rPr>
                <w:sz w:val="20"/>
                <w:szCs w:val="20"/>
                <w:color w:val="auto"/>
              </w:rPr>
            </w:pPr>
            <w:r>
              <w:rPr>
                <w:rFonts w:ascii="Arial" w:cs="Arial" w:eastAsia="Arial" w:hAnsi="Arial"/>
                <w:sz w:val="16"/>
                <w:szCs w:val="16"/>
                <w:color w:val="auto"/>
              </w:rPr>
              <w:t>Broadband</w:t>
            </w:r>
          </w:p>
        </w:tc>
        <w:tc>
          <w:tcPr>
            <w:tcW w:w="1240" w:type="dxa"/>
            <w:vAlign w:val="bottom"/>
          </w:tcPr>
          <w:p>
            <w:pPr>
              <w:jc w:val="right"/>
              <w:spacing w:after="0"/>
              <w:rPr>
                <w:sz w:val="20"/>
                <w:szCs w:val="20"/>
                <w:color w:val="auto"/>
              </w:rPr>
            </w:pPr>
            <w:r>
              <w:rPr>
                <w:rFonts w:ascii="Arial" w:cs="Arial" w:eastAsia="Arial" w:hAnsi="Arial"/>
                <w:sz w:val="16"/>
                <w:szCs w:val="16"/>
                <w:color w:val="auto"/>
              </w:rPr>
              <w:t>11.6 %</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12.6 %</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11.7 %</w:t>
            </w:r>
          </w:p>
        </w:tc>
      </w:tr>
      <w:tr>
        <w:trPr>
          <w:trHeight w:val="216"/>
        </w:trPr>
        <w:tc>
          <w:tcPr>
            <w:tcW w:w="2600" w:type="dxa"/>
            <w:vAlign w:val="bottom"/>
          </w:tcPr>
          <w:p>
            <w:pPr>
              <w:ind w:left="280"/>
              <w:spacing w:after="0"/>
              <w:rPr>
                <w:sz w:val="20"/>
                <w:szCs w:val="20"/>
                <w:color w:val="auto"/>
              </w:rPr>
            </w:pPr>
            <w:r>
              <w:rPr>
                <w:rFonts w:ascii="Arial" w:cs="Arial" w:eastAsia="Arial" w:hAnsi="Arial"/>
                <w:sz w:val="16"/>
                <w:szCs w:val="16"/>
                <w:color w:val="auto"/>
              </w:rPr>
              <w:t>Video</w:t>
            </w:r>
          </w:p>
        </w:tc>
        <w:tc>
          <w:tcPr>
            <w:tcW w:w="1240" w:type="dxa"/>
            <w:vAlign w:val="bottom"/>
          </w:tcPr>
          <w:p>
            <w:pPr>
              <w:jc w:val="right"/>
              <w:spacing w:after="0"/>
              <w:rPr>
                <w:sz w:val="20"/>
                <w:szCs w:val="20"/>
                <w:color w:val="auto"/>
              </w:rPr>
            </w:pPr>
            <w:r>
              <w:rPr>
                <w:rFonts w:ascii="Arial" w:cs="Arial" w:eastAsia="Arial" w:hAnsi="Arial"/>
                <w:sz w:val="16"/>
                <w:szCs w:val="16"/>
                <w:color w:val="auto"/>
              </w:rPr>
              <w:t>1.4 %</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14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1.3 %</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Total Revenue</w:t>
            </w:r>
          </w:p>
        </w:tc>
        <w:tc>
          <w:tcPr>
            <w:tcW w:w="1240" w:type="dxa"/>
            <w:vAlign w:val="bottom"/>
          </w:tcPr>
          <w:p>
            <w:pPr>
              <w:jc w:val="right"/>
              <w:spacing w:after="0"/>
              <w:rPr>
                <w:sz w:val="20"/>
                <w:szCs w:val="20"/>
                <w:color w:val="auto"/>
              </w:rPr>
            </w:pPr>
            <w:r>
              <w:rPr>
                <w:rFonts w:ascii="Arial" w:cs="Arial" w:eastAsia="Arial" w:hAnsi="Arial"/>
                <w:sz w:val="16"/>
                <w:szCs w:val="16"/>
                <w:color w:val="auto"/>
              </w:rPr>
              <w:t>7.4 %</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8.1 %</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432"/>
        </w:trPr>
        <w:tc>
          <w:tcPr>
            <w:tcW w:w="260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2600" w:type="dxa"/>
            <w:vAlign w:val="bottom"/>
          </w:tcPr>
          <w:p>
            <w:pPr>
              <w:ind w:left="120"/>
              <w:spacing w:after="0"/>
              <w:rPr>
                <w:sz w:val="20"/>
                <w:szCs w:val="20"/>
                <w:color w:val="auto"/>
              </w:rPr>
            </w:pPr>
            <w:r>
              <w:rPr>
                <w:rFonts w:ascii="Arial" w:cs="Arial" w:eastAsia="Arial" w:hAnsi="Arial"/>
                <w:sz w:val="16"/>
                <w:szCs w:val="16"/>
                <w:color w:val="auto"/>
              </w:rPr>
              <w:t>Programming and production</w:t>
            </w:r>
          </w:p>
        </w:tc>
        <w:tc>
          <w:tcPr>
            <w:tcW w:w="1240" w:type="dxa"/>
            <w:vAlign w:val="bottom"/>
          </w:tcPr>
          <w:p>
            <w:pPr>
              <w:jc w:val="right"/>
              <w:spacing w:after="0"/>
              <w:rPr>
                <w:sz w:val="20"/>
                <w:szCs w:val="20"/>
                <w:color w:val="auto"/>
              </w:rPr>
            </w:pPr>
            <w:r>
              <w:rPr>
                <w:rFonts w:ascii="Arial" w:cs="Arial" w:eastAsia="Arial" w:hAnsi="Arial"/>
                <w:sz w:val="16"/>
                <w:szCs w:val="16"/>
                <w:color w:val="auto"/>
              </w:rPr>
              <w:t>7.6 %</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4.8 %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8.3 %</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432"/>
        </w:trPr>
        <w:tc>
          <w:tcPr>
            <w:tcW w:w="260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240" w:type="dxa"/>
            <w:vAlign w:val="bottom"/>
          </w:tcPr>
          <w:p>
            <w:pPr>
              <w:jc w:val="right"/>
              <w:spacing w:after="0"/>
              <w:rPr>
                <w:sz w:val="20"/>
                <w:szCs w:val="20"/>
                <w:color w:val="auto"/>
              </w:rPr>
            </w:pPr>
            <w:r>
              <w:rPr>
                <w:rFonts w:ascii="Arial" w:cs="Arial" w:eastAsia="Arial" w:hAnsi="Arial"/>
                <w:sz w:val="16"/>
                <w:szCs w:val="16"/>
                <w:color w:val="auto"/>
              </w:rPr>
              <w:t>10.3 %</w:t>
            </w:r>
          </w:p>
        </w:tc>
        <w:tc>
          <w:tcPr>
            <w:tcW w:w="14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10.3 %</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12.4 %</w:t>
            </w:r>
          </w:p>
        </w:tc>
        <w:tc>
          <w:tcPr>
            <w:tcW w:w="14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12.4 %</w:t>
            </w:r>
          </w:p>
        </w:tc>
      </w:tr>
      <w:tr>
        <w:trPr>
          <w:trHeight w:val="222"/>
        </w:trPr>
        <w:tc>
          <w:tcPr>
            <w:tcW w:w="2600" w:type="dxa"/>
            <w:vAlign w:val="bottom"/>
          </w:tcPr>
          <w:p>
            <w:pPr>
              <w:spacing w:after="0"/>
              <w:rPr>
                <w:sz w:val="20"/>
                <w:szCs w:val="20"/>
                <w:color w:val="auto"/>
              </w:rPr>
            </w:pPr>
            <w:r>
              <w:rPr>
                <w:rFonts w:ascii="Arial" w:cs="Arial" w:eastAsia="Arial" w:hAnsi="Arial"/>
                <w:sz w:val="16"/>
                <w:szCs w:val="16"/>
                <w:b w:val="1"/>
                <w:bCs w:val="1"/>
                <w:color w:val="auto"/>
              </w:rPr>
              <w:t>Adjusted EBITDA margin</w:t>
            </w:r>
          </w:p>
        </w:tc>
        <w:tc>
          <w:tcPr>
            <w:tcW w:w="1240" w:type="dxa"/>
            <w:vAlign w:val="bottom"/>
          </w:tcPr>
          <w:p>
            <w:pPr>
              <w:jc w:val="right"/>
              <w:spacing w:after="0"/>
              <w:rPr>
                <w:sz w:val="20"/>
                <w:szCs w:val="20"/>
                <w:color w:val="auto"/>
              </w:rPr>
            </w:pPr>
            <w:r>
              <w:rPr>
                <w:rFonts w:ascii="Arial" w:cs="Arial" w:eastAsia="Arial" w:hAnsi="Arial"/>
                <w:sz w:val="16"/>
                <w:szCs w:val="16"/>
                <w:color w:val="auto"/>
              </w:rPr>
              <w:t>120 bps</w:t>
            </w:r>
          </w:p>
        </w:tc>
        <w:tc>
          <w:tcPr>
            <w:tcW w:w="140" w:type="dxa"/>
            <w:vAlign w:val="bottom"/>
          </w:tcPr>
          <w:p>
            <w:pPr>
              <w:spacing w:after="0"/>
              <w:rPr>
                <w:sz w:val="19"/>
                <w:szCs w:val="19"/>
                <w:color w:val="auto"/>
              </w:rPr>
            </w:pPr>
          </w:p>
        </w:tc>
        <w:tc>
          <w:tcPr>
            <w:tcW w:w="1560" w:type="dxa"/>
            <w:vAlign w:val="bottom"/>
            <w:gridSpan w:val="2"/>
          </w:tcPr>
          <w:p>
            <w:pPr>
              <w:ind w:left="800"/>
              <w:spacing w:after="0"/>
              <w:rPr>
                <w:sz w:val="20"/>
                <w:szCs w:val="20"/>
                <w:color w:val="auto"/>
              </w:rPr>
            </w:pPr>
            <w:r>
              <w:rPr>
                <w:rFonts w:ascii="Arial" w:cs="Arial" w:eastAsia="Arial" w:hAnsi="Arial"/>
                <w:sz w:val="16"/>
                <w:szCs w:val="16"/>
                <w:color w:val="auto"/>
              </w:rPr>
              <w:t>(40 bps)</w:t>
            </w:r>
          </w:p>
        </w:tc>
        <w:tc>
          <w:tcPr>
            <w:tcW w:w="132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160 bps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 bps</w:t>
            </w:r>
          </w:p>
        </w:tc>
        <w:tc>
          <w:tcPr>
            <w:tcW w:w="140" w:type="dxa"/>
            <w:vAlign w:val="bottom"/>
          </w:tcPr>
          <w:p>
            <w:pPr>
              <w:spacing w:after="0"/>
              <w:rPr>
                <w:sz w:val="19"/>
                <w:szCs w:val="19"/>
                <w:color w:val="auto"/>
              </w:rPr>
            </w:pPr>
          </w:p>
        </w:tc>
        <w:tc>
          <w:tcPr>
            <w:tcW w:w="1560" w:type="dxa"/>
            <w:vAlign w:val="bottom"/>
            <w:gridSpan w:val="2"/>
          </w:tcPr>
          <w:p>
            <w:pPr>
              <w:ind w:left="820"/>
              <w:spacing w:after="0"/>
              <w:rPr>
                <w:sz w:val="20"/>
                <w:szCs w:val="20"/>
                <w:color w:val="auto"/>
              </w:rPr>
            </w:pPr>
            <w:r>
              <w:rPr>
                <w:rFonts w:ascii="Arial" w:cs="Arial" w:eastAsia="Arial" w:hAnsi="Arial"/>
                <w:sz w:val="16"/>
                <w:szCs w:val="16"/>
                <w:color w:val="auto"/>
              </w:rPr>
              <w:t>(40 bps)</w:t>
            </w:r>
          </w:p>
        </w:tc>
        <w:tc>
          <w:tcPr>
            <w:tcW w:w="1220" w:type="dxa"/>
            <w:vAlign w:val="bottom"/>
          </w:tcPr>
          <w:p>
            <w:pPr>
              <w:jc w:val="right"/>
              <w:spacing w:after="0"/>
              <w:rPr>
                <w:sz w:val="20"/>
                <w:szCs w:val="20"/>
                <w:color w:val="auto"/>
              </w:rPr>
            </w:pPr>
            <w:r>
              <w:rPr>
                <w:rFonts w:ascii="Arial" w:cs="Arial" w:eastAsia="Arial" w:hAnsi="Arial"/>
                <w:sz w:val="16"/>
                <w:szCs w:val="16"/>
                <w:color w:val="auto"/>
              </w:rPr>
              <w:t>210 bps</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Note: Percentages represent year/year growth rates. Adjusted EBITDA margin as a percent of Revenue is presented as year/year basis point changes.</w:t>
      </w:r>
    </w:p>
    <w:p>
      <w:pPr>
        <w:sectPr>
          <w:pgSz w:w="11900" w:h="16838" w:orient="portrait"/>
          <w:cols w:equalWidth="0" w:num="1">
            <w:col w:w="11080"/>
          </w:cols>
          <w:pgMar w:left="340" w:top="101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080"/>
          </w:cols>
          <w:pgMar w:left="340" w:top="1014" w:right="4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6054725</wp:posOffset>
            </wp:positionH>
            <wp:positionV relativeFrom="page">
              <wp:posOffset>620395</wp:posOffset>
            </wp:positionV>
            <wp:extent cx="1054100" cy="454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54100" cy="454660"/>
                    </a:xfrm>
                    <a:prstGeom prst="rect">
                      <a:avLst/>
                    </a:prstGeom>
                    <a:noFill/>
                  </pic:spPr>
                </pic:pic>
              </a:graphicData>
            </a:graphic>
          </wp:anchor>
        </w:drawing>
        <w:t>TABLE 8</w:t>
      </w: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b w:val="1"/>
          <w:bCs w:val="1"/>
          <w:color w:val="828282"/>
        </w:rPr>
        <w:t>Reconciliation of Media Revenue Excluding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062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30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180" w:type="dxa"/>
            <w:vAlign w:val="bottom"/>
            <w:gridSpan w:val="6"/>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11"/>
        </w:trPr>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r>
      <w:tr>
        <w:trPr>
          <w:trHeight w:val="218"/>
        </w:trPr>
        <w:tc>
          <w:tcPr>
            <w:tcW w:w="4560" w:type="dxa"/>
            <w:vAlign w:val="bottom"/>
          </w:tcPr>
          <w:p>
            <w:pPr>
              <w:spacing w:after="0"/>
              <w:rPr>
                <w:sz w:val="20"/>
                <w:szCs w:val="20"/>
                <w:color w:val="auto"/>
              </w:rPr>
            </w:pPr>
            <w:r>
              <w:rPr>
                <w:rFonts w:ascii="Arial" w:cs="Arial" w:eastAsia="Arial" w:hAnsi="Arial"/>
                <w:sz w:val="16"/>
                <w:szCs w:val="16"/>
                <w:color w:val="auto"/>
              </w:rPr>
              <w:t>(in millions)</w:t>
            </w: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Growth %</w:t>
            </w:r>
          </w:p>
        </w:tc>
        <w:tc>
          <w:tcPr>
            <w:tcW w:w="1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Growth %</w:t>
            </w:r>
          </w:p>
        </w:tc>
      </w:tr>
      <w:tr>
        <w:trPr>
          <w:trHeight w:val="301"/>
        </w:trPr>
        <w:tc>
          <w:tcPr>
            <w:tcW w:w="4560" w:type="dxa"/>
            <w:vAlign w:val="bottom"/>
          </w:tcPr>
          <w:p>
            <w:pPr>
              <w:spacing w:after="0"/>
              <w:rPr>
                <w:sz w:val="20"/>
                <w:szCs w:val="20"/>
                <w:color w:val="auto"/>
              </w:rPr>
            </w:pPr>
            <w:r>
              <w:rPr>
                <w:rFonts w:ascii="Arial" w:cs="Arial" w:eastAsia="Arial" w:hAnsi="Arial"/>
                <w:sz w:val="16"/>
                <w:szCs w:val="16"/>
                <w:color w:val="auto"/>
              </w:rPr>
              <w:t>Revenue</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$6,770</w:t>
            </w:r>
          </w:p>
        </w:tc>
        <w:tc>
          <w:tcPr>
            <w:tcW w:w="80" w:type="dxa"/>
            <w:vAlign w:val="bottom"/>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$4,589</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47.5 %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$16,955</w:t>
            </w:r>
          </w:p>
        </w:tc>
        <w:tc>
          <w:tcPr>
            <w:tcW w:w="8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$13,563</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25.0 %</w:t>
            </w:r>
          </w:p>
        </w:tc>
      </w:tr>
      <w:tr>
        <w:trPr>
          <w:trHeight w:val="273"/>
        </w:trPr>
        <w:tc>
          <w:tcPr>
            <w:tcW w:w="4560" w:type="dxa"/>
            <w:vAlign w:val="bottom"/>
          </w:tcPr>
          <w:p>
            <w:pPr>
              <w:spacing w:after="0"/>
              <w:rPr>
                <w:sz w:val="20"/>
                <w:szCs w:val="20"/>
                <w:color w:val="auto"/>
              </w:rPr>
            </w:pPr>
            <w:r>
              <w:rPr>
                <w:rFonts w:ascii="Arial" w:cs="Arial" w:eastAsia="Arial" w:hAnsi="Arial"/>
                <w:sz w:val="16"/>
                <w:szCs w:val="16"/>
                <w:color w:val="auto"/>
              </w:rPr>
              <w:t>Olympics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1,759</w:t>
            </w:r>
          </w:p>
        </w:tc>
        <w:tc>
          <w:tcPr>
            <w:tcW w:w="80" w:type="dxa"/>
            <w:vAlign w:val="bottom"/>
          </w:tcPr>
          <w:p>
            <w:pPr>
              <w:spacing w:after="0"/>
              <w:rPr>
                <w:sz w:val="23"/>
                <w:szCs w:val="23"/>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1,759</w:t>
            </w:r>
          </w:p>
        </w:tc>
        <w:tc>
          <w:tcPr>
            <w:tcW w:w="80" w:type="dxa"/>
            <w:vAlign w:val="bottom"/>
          </w:tcPr>
          <w:p>
            <w:pPr>
              <w:spacing w:after="0"/>
              <w:rPr>
                <w:sz w:val="23"/>
                <w:szCs w:val="23"/>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3"/>
                <w:szCs w:val="23"/>
                <w:color w:val="auto"/>
              </w:rPr>
            </w:pPr>
          </w:p>
        </w:tc>
      </w:tr>
      <w:tr>
        <w:trPr>
          <w:trHeight w:val="293"/>
        </w:trPr>
        <w:tc>
          <w:tcPr>
            <w:tcW w:w="4560" w:type="dxa"/>
            <w:vAlign w:val="bottom"/>
          </w:tcPr>
          <w:p>
            <w:pPr>
              <w:spacing w:after="0"/>
              <w:rPr>
                <w:sz w:val="20"/>
                <w:szCs w:val="20"/>
                <w:color w:val="auto"/>
              </w:rPr>
            </w:pPr>
            <w:r>
              <w:rPr>
                <w:rFonts w:ascii="Arial" w:cs="Arial" w:eastAsia="Arial" w:hAnsi="Arial"/>
                <w:sz w:val="16"/>
                <w:szCs w:val="16"/>
                <w:color w:val="auto"/>
              </w:rPr>
              <w:t>Revenue excluding Olympics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$5,011</w:t>
            </w:r>
          </w:p>
        </w:tc>
        <w:tc>
          <w:tcPr>
            <w:tcW w:w="8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$4,589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$15,195</w:t>
            </w:r>
          </w:p>
        </w:tc>
        <w:tc>
          <w:tcPr>
            <w:tcW w:w="8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$13,563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160"/>
          </w:cols>
          <w:pgMar w:left="340" w:top="987" w:right="39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color w:val="auto"/>
        </w:rPr>
        <w:t>Exhibit 99.2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8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230"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289"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8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1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Statement of Cash Flows and are therefore excluded from capital expenditures and cash paid for intangible assets for Free Cash Flow.</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230"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48"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8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2021-10-28T06:09:08Z</dcterms:created>
  <dcterms:modified xsi:type="dcterms:W3CDTF">2021-10-28T06:09:08Z</dcterms:modified>
</cp:coreProperties>
</file>