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26, 2016</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67" w:lineRule="exact"/>
        <w:rPr>
          <w:sz w:val="24"/>
          <w:szCs w:val="24"/>
          <w:color w:val="auto"/>
        </w:rPr>
      </w:pPr>
    </w:p>
    <w:p>
      <w:pPr>
        <w:jc w:val="both"/>
        <w:ind w:left="460" w:hanging="459"/>
        <w:spacing w:after="0" w:line="268" w:lineRule="auto"/>
        <w:tabs>
          <w:tab w:leader="none" w:pos="440" w:val="left"/>
        </w:tabs>
        <w:rPr>
          <w:sz w:val="20"/>
          <w:szCs w:val="20"/>
          <w:color w:val="auto"/>
        </w:rPr>
      </w:pPr>
      <w:r>
        <w:rPr>
          <w:rFonts w:ascii="Arial" w:cs="Arial" w:eastAsia="Arial" w:hAnsi="Arial"/>
          <w:sz w:val="18"/>
          <w:szCs w:val="18"/>
          <w:color w:val="auto"/>
        </w:rPr>
        <w:t>Re:</w:t>
        <w:tab/>
        <w:t>Notice of disclosure filed in the Quarterly Report on Form 10-Q under Section 219 of the Iran Threat Reduction and Syria Human Rights Act of 2012 and Section 13(r) of the Securities Exchange Act of 1934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4"/>
          <w:szCs w:val="24"/>
          <w:color w:val="auto"/>
        </w:rPr>
      </w:pPr>
    </w:p>
    <w:p>
      <w:pPr>
        <w:jc w:val="both"/>
        <w:spacing w:after="0" w:line="331" w:lineRule="auto"/>
        <w:rPr>
          <w:sz w:val="20"/>
          <w:szCs w:val="20"/>
          <w:color w:val="auto"/>
        </w:rPr>
      </w:pPr>
      <w:r>
        <w:rPr>
          <w:rFonts w:ascii="Arial" w:cs="Arial" w:eastAsia="Arial" w:hAnsi="Arial"/>
          <w:sz w:val="15"/>
          <w:szCs w:val="15"/>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2016, which was filed with the Securities and Exchange Commission on October 26, 2016.</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/s/ Lawrence J. Salva</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Name: Lawrence J. Salva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Executive Vice President and Chief Accounting Officer</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/s/ Lawrence J. Salva</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Name: Lawrence J. Salva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2019-12-07T16:04:15Z</dcterms:created>
  <dcterms:modified xsi:type="dcterms:W3CDTF">2019-12-07T16:04:15Z</dcterms:modified>
</cp:coreProperties>
</file>