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Borders>
              <w:left w:val="single" w:sz="8" w:color="auto"/>
            </w:tcBorders>
          </w:tcPr>
          <w:p>
            <w:pPr>
              <w:spacing w:after="0"/>
              <w:rPr>
                <w:sz w:val="9"/>
                <w:szCs w:val="9"/>
                <w:color w:val="auto"/>
              </w:rPr>
            </w:pPr>
          </w:p>
        </w:tc>
        <w:tc>
          <w:tcPr>
            <w:tcW w:w="14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00" w:type="dxa"/>
            <w:vAlign w:val="bottom"/>
            <w:tcBorders>
              <w:left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Borders>
              <w:left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Title Of Each Class Of</w:t>
            </w:r>
          </w:p>
        </w:tc>
        <w:tc>
          <w:tcPr>
            <w:tcW w:w="20" w:type="dxa"/>
            <w:vAlign w:val="bottom"/>
            <w:shd w:val="clear" w:color="auto" w:fill="000000"/>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Borders>
              <w:left w:val="single" w:sz="8" w:color="auto"/>
            </w:tcBorders>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20" w:type="dxa"/>
            <w:vAlign w:val="bottom"/>
            <w:tcBorders>
              <w:bottom w:val="single" w:sz="8" w:color="auto"/>
            </w:tcBorders>
            <w:shd w:val="clear" w:color="auto" w:fill="000000"/>
          </w:tcPr>
          <w:p>
            <w:pPr>
              <w:spacing w:after="0"/>
              <w:rPr>
                <w:sz w:val="15"/>
                <w:szCs w:val="15"/>
                <w:color w:val="auto"/>
              </w:rPr>
            </w:pPr>
          </w:p>
        </w:tc>
        <w:tc>
          <w:tcPr>
            <w:tcW w:w="100" w:type="dxa"/>
            <w:vAlign w:val="bottom"/>
            <w:tcBorders>
              <w:left w:val="single" w:sz="8" w:color="auto"/>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00" w:type="dxa"/>
            <w:vAlign w:val="bottom"/>
            <w:tcBorders>
              <w:left w:val="single" w:sz="8" w:color="auto"/>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20" w:type="dxa"/>
            <w:vAlign w:val="bottom"/>
          </w:tcPr>
          <w:p>
            <w:pPr>
              <w:spacing w:after="0" w:line="195" w:lineRule="exact"/>
              <w:rPr>
                <w:sz w:val="20"/>
                <w:szCs w:val="20"/>
                <w:color w:val="auto"/>
              </w:rPr>
            </w:pPr>
            <w:r>
              <w:rPr>
                <w:rFonts w:ascii="Arial" w:cs="Arial" w:eastAsia="Arial" w:hAnsi="Arial"/>
                <w:sz w:val="18"/>
                <w:szCs w:val="18"/>
                <w:color w:val="auto"/>
              </w:rPr>
              <w:t>3.60% Notes due 2024</w:t>
            </w:r>
          </w:p>
        </w:tc>
        <w:tc>
          <w:tcPr>
            <w:tcW w:w="20" w:type="dxa"/>
            <w:vAlign w:val="bottom"/>
            <w:shd w:val="clear" w:color="auto" w:fill="000000"/>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1480" w:type="dxa"/>
            <w:vAlign w:val="bottom"/>
          </w:tcPr>
          <w:p>
            <w:pPr>
              <w:jc w:val="center"/>
              <w:spacing w:after="0" w:line="195" w:lineRule="exact"/>
              <w:rPr>
                <w:sz w:val="20"/>
                <w:szCs w:val="20"/>
                <w:color w:val="auto"/>
              </w:rPr>
            </w:pPr>
            <w:r>
              <w:rPr>
                <w:rFonts w:ascii="Arial" w:cs="Arial" w:eastAsia="Arial" w:hAnsi="Arial"/>
                <w:sz w:val="18"/>
                <w:szCs w:val="18"/>
                <w:color w:val="auto"/>
                <w:w w:val="89"/>
              </w:rPr>
              <w:t>$1,200,000,000</w:t>
            </w:r>
          </w:p>
        </w:tc>
        <w:tc>
          <w:tcPr>
            <w:tcW w:w="1580" w:type="dxa"/>
            <w:vAlign w:val="bottom"/>
            <w:tcBorders>
              <w:left w:val="single" w:sz="8" w:color="auto"/>
            </w:tcBorders>
            <w:gridSpan w:val="2"/>
          </w:tcPr>
          <w:p>
            <w:pPr>
              <w:jc w:val="center"/>
              <w:ind w:left="10"/>
              <w:spacing w:after="0" w:line="195" w:lineRule="exact"/>
              <w:rPr>
                <w:sz w:val="20"/>
                <w:szCs w:val="20"/>
                <w:color w:val="auto"/>
              </w:rPr>
            </w:pPr>
            <w:r>
              <w:rPr>
                <w:rFonts w:ascii="Arial" w:cs="Arial" w:eastAsia="Arial" w:hAnsi="Arial"/>
                <w:sz w:val="18"/>
                <w:szCs w:val="18"/>
                <w:color w:val="auto"/>
                <w:w w:val="90"/>
              </w:rPr>
              <w:t>$154,560</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4.75% Notes due 2044</w:t>
            </w:r>
          </w:p>
        </w:tc>
        <w:tc>
          <w:tcPr>
            <w:tcW w:w="20" w:type="dxa"/>
            <w:vAlign w:val="bottom"/>
            <w:shd w:val="clear" w:color="auto" w:fill="000000"/>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$1,000,000,000</w:t>
            </w:r>
          </w:p>
        </w:tc>
        <w:tc>
          <w:tcPr>
            <w:tcW w:w="1580" w:type="dxa"/>
            <w:vAlign w:val="bottom"/>
            <w:tcBorders>
              <w:lef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0"/>
              </w:rPr>
              <w:t>$128,800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$2,200,000,000</w:t>
            </w:r>
          </w:p>
        </w:tc>
        <w:tc>
          <w:tcPr>
            <w:tcW w:w="100" w:type="dxa"/>
            <w:vAlign w:val="bottom"/>
          </w:tcPr>
          <w:p>
            <w:pPr>
              <w:spacing w:after="0" w:line="20" w:lineRule="exact"/>
              <w:rPr>
                <w:sz w:val="1"/>
                <w:szCs w:val="1"/>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$283,360</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left w:val="single" w:sz="8" w:color="auto"/>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6226810</wp:posOffset>
            </wp:positionH>
            <wp:positionV relativeFrom="paragraph">
              <wp:posOffset>-338455</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-325755</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333-191239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September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135890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$1,200,000,000 3.60% Notes due 2024</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$1,000,000,000 4.75%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Notes due 2024 will bear interest at a rate of 3.60% per year and will mature on March 1, 2024, and the Notes due 2044 will bear interest at a rate of 4.75% per year and will mature on March 1, 2044. We will pay interest on the Notes due 2024 on March 1 and September 1 of each year, beginning September 1, 2014. We will pay interest on the Notes due 2044 on March 1 and September 1 of each year, beginning September 1, 2014. We refer to the Notes due 2024 and the Notes due 2044 collectively as the “notes.” We may redeem any of the notes at any time by paying the greater of the principal amount of such notes or a “make-whole” amount, plus, in each case, accrued and unpaid interest. See “Description of the Notes—Optional Redemption.”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notes will be unsecured and will rank equally with all of our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31 of Comcast’s Annual Report on Form 10-K for the year ended December 31, 2013, which is incorporated by reference herein.</w:t>
      </w:r>
    </w:p>
    <w:p>
      <w:pPr>
        <w:spacing w:after="0" w:line="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6"/>
              </w:rPr>
              <w:t>Price to Investors</w:t>
            </w:r>
          </w:p>
        </w:tc>
        <w:tc>
          <w:tcPr>
            <w:tcW w:w="780" w:type="dxa"/>
            <w:vAlign w:val="bottom"/>
            <w:vMerge w:val="restart"/>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Underwriters’</w:t>
            </w:r>
          </w:p>
        </w:tc>
        <w:tc>
          <w:tcPr>
            <w:tcW w:w="38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Proceeds to Us Before</w:t>
            </w:r>
          </w:p>
        </w:tc>
        <w:tc>
          <w:tcPr>
            <w:tcW w:w="0" w:type="dxa"/>
            <w:vAlign w:val="bottom"/>
          </w:tcPr>
          <w:p>
            <w:pPr>
              <w:spacing w:after="0"/>
              <w:rPr>
                <w:sz w:val="1"/>
                <w:szCs w:val="1"/>
                <w:color w:val="auto"/>
              </w:rPr>
            </w:pPr>
          </w:p>
        </w:tc>
      </w:tr>
      <w:tr>
        <w:trPr>
          <w:trHeight w:val="168"/>
        </w:trPr>
        <w:tc>
          <w:tcPr>
            <w:tcW w:w="3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0"/>
              </w:rPr>
              <w:t>Discount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79"/>
              </w:rPr>
              <w:t>Expenses</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note due 2024</w:t>
            </w:r>
            <w:r>
              <w:rPr>
                <w:rFonts w:ascii="Arial" w:cs="Arial" w:eastAsia="Arial" w:hAnsi="Arial"/>
                <w:sz w:val="11"/>
                <w:szCs w:val="11"/>
                <w:color w:val="auto"/>
              </w:rPr>
              <w:t>(1)</w:t>
            </w:r>
          </w:p>
        </w:tc>
        <w:tc>
          <w:tcPr>
            <w:tcW w:w="1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99.426%</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0.450%</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98.976%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w w:val="88"/>
              </w:rPr>
              <w:t>1,193,112,000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5,400,000</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1,187,712,000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2044</w:t>
            </w:r>
            <w:r>
              <w:rPr>
                <w:rFonts w:ascii="Arial" w:cs="Arial" w:eastAsia="Arial" w:hAnsi="Arial"/>
                <w:sz w:val="11"/>
                <w:szCs w:val="11"/>
                <w:color w:val="auto"/>
              </w:rPr>
              <w:t>(1)</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99.114%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98.364%</w:t>
            </w:r>
          </w:p>
        </w:tc>
        <w:tc>
          <w:tcPr>
            <w:tcW w:w="0" w:type="dxa"/>
            <w:vAlign w:val="bottom"/>
          </w:tcPr>
          <w:p>
            <w:pPr>
              <w:spacing w:after="0"/>
              <w:rPr>
                <w:sz w:val="1"/>
                <w:szCs w:val="1"/>
                <w:color w:val="auto"/>
              </w:rPr>
            </w:pPr>
          </w:p>
        </w:tc>
      </w:t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991,140,000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7,500,000</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983,640,000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February 26, 2014, if settlement occurs after that date.</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February 26, 2014.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Arial" w:cs="Arial" w:eastAsia="Arial" w:hAnsi="Arial"/>
                <w:sz w:val="18"/>
                <w:szCs w:val="18"/>
                <w:i w:val="1"/>
                <w:iCs w:val="1"/>
                <w:color w:val="auto"/>
              </w:rPr>
              <w:t>Joint Book-Running Managers</w:t>
            </w:r>
          </w:p>
        </w:tc>
        <w:tc>
          <w:tcPr>
            <w:tcW w:w="3360" w:type="dxa"/>
            <w:vAlign w:val="bottom"/>
          </w:tcPr>
          <w:p>
            <w:pPr>
              <w:spacing w:after="0"/>
              <w:rPr>
                <w:sz w:val="19"/>
                <w:szCs w:val="19"/>
                <w:color w:val="auto"/>
              </w:rPr>
            </w:pPr>
          </w:p>
        </w:tc>
      </w:tr>
      <w:tr>
        <w:trPr>
          <w:trHeight w:val="458"/>
        </w:trPr>
        <w:tc>
          <w:tcPr>
            <w:tcW w:w="2700" w:type="dxa"/>
            <w:vAlign w:val="bottom"/>
          </w:tcPr>
          <w:p>
            <w:pPr>
              <w:spacing w:after="0"/>
              <w:rPr>
                <w:sz w:val="20"/>
                <w:szCs w:val="20"/>
                <w:color w:val="auto"/>
              </w:rPr>
            </w:pPr>
            <w:r>
              <w:rPr>
                <w:rFonts w:ascii="Arial" w:cs="Arial" w:eastAsia="Arial" w:hAnsi="Arial"/>
                <w:sz w:val="22"/>
                <w:szCs w:val="22"/>
                <w:b w:val="1"/>
                <w:bCs w:val="1"/>
                <w:color w:val="auto"/>
              </w:rPr>
              <w:t>BNP PARIBAS</w:t>
            </w:r>
          </w:p>
        </w:tc>
        <w:tc>
          <w:tcPr>
            <w:tcW w:w="2000" w:type="dxa"/>
            <w:vAlign w:val="bottom"/>
            <w:gridSpan w:val="2"/>
          </w:tcPr>
          <w:p>
            <w:pPr>
              <w:ind w:left="120"/>
              <w:spacing w:after="0"/>
              <w:rPr>
                <w:sz w:val="20"/>
                <w:szCs w:val="20"/>
                <w:color w:val="auto"/>
              </w:rPr>
            </w:pPr>
            <w:r>
              <w:rPr>
                <w:rFonts w:ascii="Arial" w:cs="Arial" w:eastAsia="Arial" w:hAnsi="Arial"/>
                <w:sz w:val="22"/>
                <w:szCs w:val="22"/>
                <w:b w:val="1"/>
                <w:bCs w:val="1"/>
                <w:color w:val="auto"/>
                <w:w w:val="95"/>
              </w:rPr>
              <w:t>BofA Merrill Lynch</w:t>
            </w:r>
          </w:p>
        </w:tc>
        <w:tc>
          <w:tcPr>
            <w:tcW w:w="3360" w:type="dxa"/>
            <w:vAlign w:val="bottom"/>
            <w:gridSpan w:val="2"/>
          </w:tcPr>
          <w:p>
            <w:pPr>
              <w:ind w:left="1160"/>
              <w:spacing w:after="0"/>
              <w:rPr>
                <w:sz w:val="20"/>
                <w:szCs w:val="20"/>
                <w:color w:val="auto"/>
              </w:rPr>
            </w:pPr>
            <w:r>
              <w:rPr>
                <w:rFonts w:ascii="Arial" w:cs="Arial" w:eastAsia="Arial" w:hAnsi="Arial"/>
                <w:sz w:val="22"/>
                <w:szCs w:val="22"/>
                <w:b w:val="1"/>
                <w:bCs w:val="1"/>
                <w:color w:val="auto"/>
              </w:rPr>
              <w:t>RBC Capital Markets</w:t>
            </w:r>
          </w:p>
        </w:tc>
        <w:tc>
          <w:tcPr>
            <w:tcW w:w="336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274"/>
        </w:trPr>
        <w:tc>
          <w:tcPr>
            <w:tcW w:w="27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3360" w:type="dxa"/>
            <w:vAlign w:val="bottom"/>
          </w:tcPr>
          <w:p>
            <w:pPr>
              <w:spacing w:after="0"/>
              <w:rPr>
                <w:sz w:val="23"/>
                <w:szCs w:val="23"/>
                <w:color w:val="auto"/>
              </w:rPr>
            </w:pPr>
          </w:p>
        </w:tc>
      </w:tr>
      <w:tr>
        <w:trPr>
          <w:trHeight w:val="425"/>
        </w:trPr>
        <w:tc>
          <w:tcPr>
            <w:tcW w:w="2700" w:type="dxa"/>
            <w:vAlign w:val="bottom"/>
          </w:tcPr>
          <w:p>
            <w:pPr>
              <w:jc w:val="center"/>
              <w:ind w:left="436"/>
              <w:spacing w:after="0"/>
              <w:rPr>
                <w:sz w:val="20"/>
                <w:szCs w:val="20"/>
                <w:color w:val="auto"/>
              </w:rPr>
            </w:pPr>
            <w:r>
              <w:rPr>
                <w:rFonts w:ascii="Arial" w:cs="Arial" w:eastAsia="Arial" w:hAnsi="Arial"/>
                <w:sz w:val="18"/>
                <w:szCs w:val="18"/>
                <w:b w:val="1"/>
                <w:bCs w:val="1"/>
                <w:color w:val="auto"/>
                <w:w w:val="87"/>
              </w:rPr>
              <w:t>Barclays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85"/>
              </w:rPr>
              <w:t>Credit Suisse</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5"/>
              </w:rPr>
              <w:t>Deutsche Bank Securities</w:t>
            </w:r>
          </w:p>
        </w:tc>
      </w:tr>
      <w:tr>
        <w:trPr>
          <w:trHeight w:val="216"/>
        </w:trPr>
        <w:tc>
          <w:tcPr>
            <w:tcW w:w="2700" w:type="dxa"/>
            <w:vAlign w:val="bottom"/>
          </w:tcPr>
          <w:p>
            <w:pPr>
              <w:jc w:val="center"/>
              <w:ind w:left="436"/>
              <w:spacing w:after="0"/>
              <w:rPr>
                <w:sz w:val="20"/>
                <w:szCs w:val="20"/>
                <w:color w:val="auto"/>
              </w:rPr>
            </w:pPr>
            <w:r>
              <w:rPr>
                <w:rFonts w:ascii="Arial" w:cs="Arial" w:eastAsia="Arial" w:hAnsi="Arial"/>
                <w:sz w:val="18"/>
                <w:szCs w:val="18"/>
                <w:b w:val="1"/>
                <w:bCs w:val="1"/>
                <w:color w:val="auto"/>
                <w:w w:val="88"/>
              </w:rPr>
              <w:t>Goldman, Sachs &amp; Co.</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0"/>
              </w:rPr>
              <w:t>J.P. Morgan</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5"/>
              </w:rPr>
              <w:t>Lloyds Securities</w:t>
            </w:r>
          </w:p>
        </w:tc>
      </w:tr>
      <w:tr>
        <w:trPr>
          <w:trHeight w:val="216"/>
        </w:trPr>
        <w:tc>
          <w:tcPr>
            <w:tcW w:w="2700" w:type="dxa"/>
            <w:vAlign w:val="bottom"/>
          </w:tcPr>
          <w:p>
            <w:pPr>
              <w:jc w:val="center"/>
              <w:ind w:left="436"/>
              <w:spacing w:after="0"/>
              <w:rPr>
                <w:sz w:val="20"/>
                <w:szCs w:val="20"/>
                <w:color w:val="auto"/>
              </w:rPr>
            </w:pPr>
            <w:r>
              <w:rPr>
                <w:rFonts w:ascii="Arial" w:cs="Arial" w:eastAsia="Arial" w:hAnsi="Arial"/>
                <w:sz w:val="18"/>
                <w:szCs w:val="18"/>
                <w:b w:val="1"/>
                <w:bCs w:val="1"/>
                <w:color w:val="auto"/>
                <w:w w:val="88"/>
              </w:rPr>
              <w:t>Mitsubishi UFJ Securities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87"/>
              </w:rPr>
              <w:t>Mizuho Securities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RBS</w:t>
            </w:r>
          </w:p>
        </w:tc>
      </w:tr>
      <w:tr>
        <w:trPr>
          <w:trHeight w:val="228"/>
        </w:trPr>
        <w:tc>
          <w:tcPr>
            <w:tcW w:w="2700" w:type="dxa"/>
            <w:vAlign w:val="bottom"/>
          </w:tcPr>
          <w:p>
            <w:pPr>
              <w:jc w:val="center"/>
              <w:ind w:left="436"/>
              <w:spacing w:after="0"/>
              <w:rPr>
                <w:sz w:val="20"/>
                <w:szCs w:val="20"/>
                <w:color w:val="auto"/>
              </w:rPr>
            </w:pPr>
            <w:r>
              <w:rPr>
                <w:rFonts w:ascii="Arial" w:cs="Arial" w:eastAsia="Arial" w:hAnsi="Arial"/>
                <w:sz w:val="18"/>
                <w:szCs w:val="18"/>
                <w:b w:val="1"/>
                <w:bCs w:val="1"/>
                <w:color w:val="auto"/>
                <w:w w:val="95"/>
              </w:rPr>
              <w:t>SMBC Nikko</w:t>
            </w:r>
          </w:p>
        </w:tc>
        <w:tc>
          <w:tcPr>
            <w:tcW w:w="5360" w:type="dxa"/>
            <w:vAlign w:val="bottom"/>
            <w:gridSpan w:val="4"/>
          </w:tcPr>
          <w:p>
            <w:pPr>
              <w:jc w:val="center"/>
              <w:ind w:left="462"/>
              <w:spacing w:after="0"/>
              <w:rPr>
                <w:sz w:val="20"/>
                <w:szCs w:val="20"/>
                <w:color w:val="auto"/>
              </w:rPr>
            </w:pPr>
            <w:r>
              <w:rPr>
                <w:rFonts w:ascii="Arial" w:cs="Arial" w:eastAsia="Arial" w:hAnsi="Arial"/>
                <w:sz w:val="18"/>
                <w:szCs w:val="18"/>
                <w:b w:val="1"/>
                <w:bCs w:val="1"/>
                <w:color w:val="auto"/>
                <w:w w:val="88"/>
              </w:rPr>
              <w:t>SunTrust Robinson Humphrey</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UBS Investment Bank</w:t>
            </w:r>
          </w:p>
        </w:tc>
      </w:tr>
      <w:tr>
        <w:trPr>
          <w:trHeight w:val="420"/>
        </w:trPr>
        <w:tc>
          <w:tcPr>
            <w:tcW w:w="4700" w:type="dxa"/>
            <w:vAlign w:val="bottom"/>
            <w:gridSpan w:val="3"/>
          </w:tcPr>
          <w:p>
            <w:pPr>
              <w:jc w:val="center"/>
              <w:ind w:left="956"/>
              <w:spacing w:after="0"/>
              <w:rPr>
                <w:sz w:val="20"/>
                <w:szCs w:val="20"/>
                <w:color w:val="auto"/>
              </w:rPr>
            </w:pPr>
            <w:r>
              <w:rPr>
                <w:rFonts w:ascii="Arial" w:cs="Arial" w:eastAsia="Arial" w:hAnsi="Arial"/>
                <w:sz w:val="18"/>
                <w:szCs w:val="18"/>
                <w:b w:val="1"/>
                <w:bCs w:val="1"/>
                <w:color w:val="auto"/>
                <w:w w:val="88"/>
              </w:rPr>
              <w:t>Santander</w:t>
            </w: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60" w:type="dxa"/>
            <w:vAlign w:val="bottom"/>
          </w:tcPr>
          <w:p>
            <w:pPr>
              <w:jc w:val="right"/>
              <w:ind w:right="2196"/>
              <w:spacing w:after="0"/>
              <w:rPr>
                <w:sz w:val="20"/>
                <w:szCs w:val="20"/>
                <w:color w:val="auto"/>
              </w:rPr>
            </w:pPr>
            <w:r>
              <w:rPr>
                <w:rFonts w:ascii="Arial" w:cs="Arial" w:eastAsia="Arial" w:hAnsi="Arial"/>
                <w:sz w:val="18"/>
                <w:szCs w:val="18"/>
                <w:b w:val="1"/>
                <w:bCs w:val="1"/>
                <w:color w:val="auto"/>
              </w:rPr>
              <w:t>US Bancorp</w:t>
            </w:r>
          </w:p>
        </w:tc>
      </w:tr>
      <w:tr>
        <w:trPr>
          <w:trHeight w:val="228"/>
        </w:trPr>
        <w:tc>
          <w:tcPr>
            <w:tcW w:w="2700" w:type="dxa"/>
            <w:vAlign w:val="bottom"/>
          </w:tcPr>
          <w:p>
            <w:pPr>
              <w:spacing w:after="0"/>
              <w:rPr>
                <w:sz w:val="20"/>
                <w:szCs w:val="20"/>
                <w:color w:val="auto"/>
              </w:rPr>
            </w:pPr>
            <w:r>
              <w:rPr>
                <w:rFonts w:ascii="Arial" w:cs="Arial" w:eastAsia="Arial" w:hAnsi="Arial"/>
                <w:sz w:val="18"/>
                <w:szCs w:val="18"/>
                <w:b w:val="1"/>
                <w:bCs w:val="1"/>
                <w:color w:val="auto"/>
              </w:rPr>
              <w:t>DNB Markets</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5"/>
              </w:rPr>
              <w:t>PNC Capital Markets LLC</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TD Securities</w:t>
            </w:r>
          </w:p>
        </w:tc>
      </w:tr>
      <w:tr>
        <w:trPr>
          <w:trHeight w:val="299"/>
        </w:trPr>
        <w:tc>
          <w:tcPr>
            <w:tcW w:w="4520" w:type="dxa"/>
            <w:vAlign w:val="bottom"/>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385"/>
        </w:trPr>
        <w:tc>
          <w:tcPr>
            <w:tcW w:w="4700" w:type="dxa"/>
            <w:vAlign w:val="bottom"/>
            <w:gridSpan w:val="3"/>
          </w:tcPr>
          <w:p>
            <w:pPr>
              <w:jc w:val="center"/>
              <w:ind w:left="956"/>
              <w:spacing w:after="0"/>
              <w:rPr>
                <w:sz w:val="20"/>
                <w:szCs w:val="20"/>
                <w:color w:val="auto"/>
              </w:rPr>
            </w:pPr>
            <w:r>
              <w:rPr>
                <w:rFonts w:ascii="Arial" w:cs="Arial" w:eastAsia="Arial" w:hAnsi="Arial"/>
                <w:sz w:val="14"/>
                <w:szCs w:val="14"/>
                <w:b w:val="1"/>
                <w:bCs w:val="1"/>
                <w:color w:val="auto"/>
                <w:w w:val="90"/>
              </w:rPr>
              <w:t>The Williams Capital Group, L.P.</w:t>
            </w: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60" w:type="dxa"/>
            <w:vAlign w:val="bottom"/>
          </w:tcPr>
          <w:p>
            <w:pPr>
              <w:jc w:val="right"/>
              <w:ind w:right="2476"/>
              <w:spacing w:after="0"/>
              <w:rPr>
                <w:sz w:val="20"/>
                <w:szCs w:val="20"/>
                <w:color w:val="auto"/>
              </w:rPr>
            </w:pPr>
            <w:r>
              <w:rPr>
                <w:rFonts w:ascii="Arial" w:cs="Arial" w:eastAsia="Arial" w:hAnsi="Arial"/>
                <w:sz w:val="14"/>
                <w:szCs w:val="14"/>
                <w:b w:val="1"/>
                <w:bCs w:val="1"/>
                <w:color w:val="auto"/>
              </w:rPr>
              <w:t>Jefferies</w:t>
            </w:r>
          </w:p>
        </w:tc>
      </w:tr>
      <w:tr>
        <w:trPr>
          <w:trHeight w:val="204"/>
        </w:trPr>
        <w:tc>
          <w:tcPr>
            <w:tcW w:w="2700" w:type="dxa"/>
            <w:vAlign w:val="bottom"/>
          </w:tcPr>
          <w:p>
            <w:pPr>
              <w:jc w:val="center"/>
              <w:ind w:left="1016"/>
              <w:spacing w:after="0"/>
              <w:rPr>
                <w:sz w:val="20"/>
                <w:szCs w:val="20"/>
                <w:color w:val="auto"/>
              </w:rPr>
            </w:pPr>
            <w:r>
              <w:rPr>
                <w:rFonts w:ascii="Arial" w:cs="Arial" w:eastAsia="Arial" w:hAnsi="Arial"/>
                <w:sz w:val="14"/>
                <w:szCs w:val="14"/>
                <w:b w:val="1"/>
                <w:bCs w:val="1"/>
                <w:color w:val="auto"/>
                <w:w w:val="90"/>
              </w:rPr>
              <w:t>Drexel Hamilton</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9"/>
              </w:rPr>
              <w:t>Lebenthal Capital Markets</w:t>
            </w:r>
          </w:p>
        </w:tc>
        <w:tc>
          <w:tcPr>
            <w:tcW w:w="3360" w:type="dxa"/>
            <w:vAlign w:val="bottom"/>
          </w:tcPr>
          <w:p>
            <w:pPr>
              <w:jc w:val="right"/>
              <w:ind w:right="1096"/>
              <w:spacing w:after="0"/>
              <w:rPr>
                <w:sz w:val="20"/>
                <w:szCs w:val="20"/>
                <w:color w:val="auto"/>
              </w:rPr>
            </w:pPr>
            <w:r>
              <w:rPr>
                <w:rFonts w:ascii="Arial" w:cs="Arial" w:eastAsia="Arial" w:hAnsi="Arial"/>
                <w:sz w:val="14"/>
                <w:szCs w:val="14"/>
                <w:b w:val="1"/>
                <w:bCs w:val="1"/>
                <w:color w:val="auto"/>
              </w:rPr>
              <w:t>Loop Capital Markets</w:t>
            </w:r>
          </w:p>
        </w:tc>
      </w:tr>
      <w:tr>
        <w:trPr>
          <w:trHeight w:val="174"/>
        </w:trPr>
        <w:tc>
          <w:tcPr>
            <w:tcW w:w="2700" w:type="dxa"/>
            <w:vAlign w:val="bottom"/>
          </w:tcPr>
          <w:p>
            <w:pPr>
              <w:jc w:val="center"/>
              <w:ind w:left="996"/>
              <w:spacing w:after="0"/>
              <w:rPr>
                <w:sz w:val="20"/>
                <w:szCs w:val="20"/>
                <w:color w:val="auto"/>
              </w:rPr>
            </w:pPr>
            <w:r>
              <w:rPr>
                <w:rFonts w:ascii="Arial" w:cs="Arial" w:eastAsia="Arial" w:hAnsi="Arial"/>
                <w:sz w:val="14"/>
                <w:szCs w:val="14"/>
                <w:b w:val="1"/>
                <w:bCs w:val="1"/>
                <w:color w:val="auto"/>
                <w:w w:val="88"/>
              </w:rPr>
              <w:t>MFR Securities, Inc.</w:t>
            </w: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0"/>
              </w:rPr>
              <w:t>Mischler Financial Group, Inc.</w:t>
            </w:r>
          </w:p>
        </w:tc>
        <w:tc>
          <w:tcPr>
            <w:tcW w:w="3360" w:type="dxa"/>
            <w:vAlign w:val="bottom"/>
          </w:tcPr>
          <w:p>
            <w:pPr>
              <w:jc w:val="right"/>
              <w:ind w:right="1156"/>
              <w:spacing w:after="0"/>
              <w:rPr>
                <w:sz w:val="20"/>
                <w:szCs w:val="20"/>
                <w:color w:val="auto"/>
              </w:rPr>
            </w:pPr>
            <w:r>
              <w:rPr>
                <w:rFonts w:ascii="Arial" w:cs="Arial" w:eastAsia="Arial" w:hAnsi="Arial"/>
                <w:sz w:val="14"/>
                <w:szCs w:val="14"/>
                <w:b w:val="1"/>
                <w:bCs w:val="1"/>
                <w:color w:val="auto"/>
              </w:rPr>
              <w:t>Ramirez &amp; Co.,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189230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supplement is February 19,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2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22"/>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420" w:type="dxa"/>
            <w:vAlign w:val="bottom"/>
            <w:tcBorders>
              <w:top w:val="single" w:sz="8" w:color="0000EE"/>
            </w:tcBorders>
          </w:tcPr>
          <w:p>
            <w:pPr>
              <w:spacing w:after="0"/>
              <w:rPr>
                <w:sz w:val="18"/>
                <w:szCs w:val="18"/>
                <w:color w:val="auto"/>
              </w:rPr>
            </w:pPr>
          </w:p>
        </w:tc>
        <w:tc>
          <w:tcPr>
            <w:tcW w:w="8140" w:type="dxa"/>
            <w:vAlign w:val="bottom"/>
            <w:gridSpan w:val="8"/>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Ratios of Earnings to Fixed Charges and of Earnings to Combined Fixed Charges and Preferred</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Dividends</w:t>
              </w:r>
            </w:hyperlink>
          </w:p>
        </w:tc>
        <w:tc>
          <w:tcPr>
            <w:tcW w:w="42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the Notes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Material U.S. Federal Income Tax Consequences for Non-U.S. Holders</w:t>
              </w:r>
            </w:hyperlink>
          </w:p>
        </w:tc>
        <w:tc>
          <w:tcPr>
            <w:tcW w:w="592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Underwriting</w:t>
              </w:r>
            </w:hyperlink>
          </w:p>
        </w:tc>
        <w:tc>
          <w:tcPr>
            <w:tcW w:w="998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996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451"/>
        </w:trPr>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4"/>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The Companies</w:t>
              </w:r>
            </w:hyperlink>
          </w:p>
        </w:tc>
        <w:tc>
          <w:tcPr>
            <w:tcW w:w="98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Caution Concerning Forward-Looking Statements</w:t>
              </w:r>
            </w:hyperlink>
          </w:p>
        </w:tc>
        <w:tc>
          <w:tcPr>
            <w:tcW w:w="740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Dividend Policy</w:t>
              </w:r>
            </w:hyperlink>
          </w:p>
        </w:tc>
        <w:tc>
          <w:tcPr>
            <w:tcW w:w="978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 and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Global Securities</w:t>
              </w:r>
            </w:hyperlink>
          </w:p>
        </w:tc>
        <w:tc>
          <w:tcPr>
            <w:tcW w:w="76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Capital Stock</w:t>
              </w:r>
            </w:hyperlink>
          </w:p>
        </w:tc>
        <w:tc>
          <w:tcPr>
            <w:tcW w:w="89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95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996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10"/>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Incorporation of Certain Documents by Reference</w:t>
              </w:r>
            </w:hyperlink>
          </w:p>
        </w:tc>
        <w:tc>
          <w:tcPr>
            <w:tcW w:w="740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supplement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2013, filed on February 12,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13, 2014 and February 14, 2014.</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2013 annual meeting of shareholders incorporated by reference in Comcast’s Annual Report on Form 10-K for the year ended December 31, 2012.</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incorporate by reference into this prospectus supplement and the accompanying prospectus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140" w:firstLine="443"/>
        <w:spacing w:after="0" w:line="294"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Media, LLC (“NBCUniversal”). Comcast was incorporated under the laws of Pennsylvania in 2001, and through its predecessors, has developed, managed and operated cable systems since 1963. In 2011, we closed the NBCUniversal transaction in which we acquired control of the businesses of NBCUniversal, and in 2013, we acquired GE’s remaining 49% common equity interest in NBCUniversal. We present our operations for Comcast Cable in one reportable business segment, referred to as Cable Communications, and our operations for NBCUniversal in four reportable business segments.</w:t>
      </w:r>
    </w:p>
    <w:p>
      <w:pPr>
        <w:spacing w:after="0" w:line="29" w:lineRule="exact"/>
        <w:rPr>
          <w:sz w:val="20"/>
          <w:szCs w:val="20"/>
          <w:color w:val="auto"/>
        </w:rPr>
      </w:pPr>
    </w:p>
    <w:p>
      <w:pPr>
        <w:jc w:val="both"/>
        <w:ind w:left="1060" w:right="120" w:hanging="323"/>
        <w:spacing w:after="0" w:line="26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the nation’s largest provider of video, high-speed Internet and</w:t>
      </w:r>
      <w:r>
        <w:rPr>
          <w:rFonts w:ascii="Arial" w:cs="Arial" w:eastAsia="Arial" w:hAnsi="Arial"/>
          <w:sz w:val="18"/>
          <w:szCs w:val="18"/>
          <w:b w:val="1"/>
          <w:bCs w:val="1"/>
          <w:color w:val="auto"/>
        </w:rPr>
        <w:t xml:space="preserve"> </w:t>
      </w:r>
      <w:r>
        <w:rPr>
          <w:rFonts w:ascii="Arial" w:cs="Arial" w:eastAsia="Arial" w:hAnsi="Arial"/>
          <w:sz w:val="18"/>
          <w:szCs w:val="18"/>
          <w:color w:val="auto"/>
        </w:rPr>
        <w:t>voice services (“cable services”) to residential customers under the XFINITY brand, and we also provide similar services to businesses and sell advertising.</w:t>
      </w:r>
    </w:p>
    <w:p>
      <w:pPr>
        <w:spacing w:after="0" w:line="51" w:lineRule="exact"/>
        <w:rPr>
          <w:rFonts w:ascii="Arial" w:cs="Arial" w:eastAsia="Arial" w:hAnsi="Arial"/>
          <w:sz w:val="18"/>
          <w:szCs w:val="18"/>
          <w:color w:val="auto"/>
        </w:rPr>
      </w:pPr>
    </w:p>
    <w:p>
      <w:pPr>
        <w:ind w:left="1060" w:right="24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production operations.</w:t>
      </w:r>
    </w:p>
    <w:p>
      <w:pPr>
        <w:spacing w:after="0" w:line="38" w:lineRule="exact"/>
        <w:rPr>
          <w:rFonts w:ascii="Arial" w:cs="Arial" w:eastAsia="Arial" w:hAnsi="Arial"/>
          <w:sz w:val="18"/>
          <w:szCs w:val="18"/>
          <w:color w:val="auto"/>
        </w:rPr>
      </w:pPr>
    </w:p>
    <w:p>
      <w:pPr>
        <w:ind w:left="1060" w:right="68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production operations.</w:t>
      </w:r>
    </w:p>
    <w:p>
      <w:pPr>
        <w:spacing w:after="0" w:line="38" w:lineRule="exact"/>
        <w:rPr>
          <w:rFonts w:ascii="Arial" w:cs="Arial" w:eastAsia="Arial" w:hAnsi="Arial"/>
          <w:sz w:val="18"/>
          <w:szCs w:val="18"/>
          <w:color w:val="auto"/>
        </w:rPr>
      </w:pPr>
    </w:p>
    <w:p>
      <w:pPr>
        <w:ind w:left="1060" w:right="34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38"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left="200" w:right="640" w:firstLine="443"/>
        <w:spacing w:after="0" w:line="268"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32"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In 2013, our Cable Communications segment generated 65% of our consolidated revenue and 80% of our operating income before depreciation and amortization.</w:t>
      </w:r>
    </w:p>
    <w:p>
      <w:pPr>
        <w:spacing w:after="0" w:line="132" w:lineRule="exact"/>
        <w:rPr>
          <w:sz w:val="20"/>
          <w:szCs w:val="20"/>
          <w:color w:val="auto"/>
        </w:rPr>
      </w:pPr>
    </w:p>
    <w:p>
      <w:pPr>
        <w:ind w:left="200" w:right="860" w:firstLine="443"/>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left="200" w:right="26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38" w:lineRule="exact"/>
        <w:rPr>
          <w:sz w:val="20"/>
          <w:szCs w:val="20"/>
          <w:color w:val="auto"/>
        </w:rPr>
      </w:pPr>
    </w:p>
    <w:p>
      <w:pPr>
        <w:ind w:left="200" w:hanging="3"/>
        <w:spacing w:after="0" w:line="255"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NBCUniversal’s principal executive offices are located at 30 Rockefeller Plaza, New York, NY 10112-0015. NBCUniversal’s phone number is (212) 664-4444. The address of our website is www.comcastcorporation.com. The information on our website is not part of this prospectus supplement or the accompanying prospectus.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right="80" w:firstLine="443"/>
        <w:spacing w:after="0" w:line="306"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Communications, LLC, Comcast Cable Holdings, LLC, Comcast MO Group, Inc., Comcast MO of Delaware, LLC and NBCUniversal Media, LLC. In this prospectus supplement, we refer to these guarantors as the guarantors and to these guarantees as the guarantees.</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97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597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28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guarantor’s, other than NBCUniversal Media, LLC, principal place of business is One Comcast Center, Philadelphia, Pennsylvania 19103-2838.</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NBCUniversal’s principal executive offices are located at 30 Rockefeller Plaza, New York, NY 10112-0015.</w:t>
      </w: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On February 12, 2014, Comcast and Time Warner Cable Inc. (“Time Warner Cable”) announced that their Boards of Directors have approved a definitive agreement for Time Warner Cable to merge with Comcast. The agreement is a stock-for-stock transaction in which Comcast will acquire 100% of Time Warner Cable’s common stock for shares of Comcast’s Class A common stock. Each Time Warner Cable share will be exchanged for 2.875 shares of Class A common stock, amounting to approximately $45.2 billion in equity value based on the closing price per share of Class A common stock on February 12, 2014, with Time Warner Cable shareholders owning approximately 23% of Comcast’s common stock. Following the transaction, Time Warner Cable will be a wholly owned subsidiary of Comcast. The merger between Comcast and Time Warner Cable is subject to shareholder approval at both companies and regulatory review and other customary conditions and is expected to close by the end of 2014.</w:t>
      </w:r>
    </w:p>
    <w:p>
      <w:pPr>
        <w:spacing w:after="0" w:line="118"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Through the merger, Comcast will acquire Time Warner Cable’s approximately 11 million managed subscribers. In order to reduce competitive concerns, Comcast is prepared to divest systems serving approximately 3 million managed subscribers. As such, Comcast would, through the acquisition and management of Time Warner Cable systems, net approximately 8 million managed subscribers in this transaction. This would bring Comcast’s managed subscriber total to approximately 30 million.</w:t>
      </w:r>
    </w:p>
    <w:p>
      <w:pPr>
        <w:spacing w:after="0" w:line="143"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According to its publicly available information, as of December 31, 2013, Time Warner Cable had $25.052 billion aggregate outstanding debt and its ratio of earnings to fixed charges for the year ended December 31, 2013 was 2.8x.</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198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7198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60"/>
          </w:cols>
          <w:pgMar w:left="240" w:top="459" w:right="19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Comcast Corporation.</w:t>
      </w:r>
    </w:p>
    <w:p>
      <w:pPr>
        <w:spacing w:after="0" w:line="200"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$1,200,000,000 aggregate principal amount of 3.60% Notes due 2024.</w:t>
      </w:r>
    </w:p>
    <w:p>
      <w:pPr>
        <w:spacing w:after="0" w:line="200"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$1,000,000,000 aggregate principal amount of 4.75% Notes due 2044.</w:t>
      </w:r>
    </w:p>
    <w:p>
      <w:pPr>
        <w:spacing w:after="0" w:line="212"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The Notes due 2024 will mature on March 1, 2024.</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200"/>
              <w:spacing w:after="0"/>
              <w:rPr>
                <w:sz w:val="20"/>
                <w:szCs w:val="20"/>
                <w:color w:val="auto"/>
              </w:rPr>
            </w:pPr>
            <w:r>
              <w:rPr>
                <w:rFonts w:ascii="Arial" w:cs="Arial" w:eastAsia="Arial" w:hAnsi="Arial"/>
                <w:sz w:val="18"/>
                <w:szCs w:val="18"/>
                <w:color w:val="auto"/>
                <w:w w:val="95"/>
              </w:rPr>
              <w:t>The Notes due 2044 will mature on March 1, 2044.</w:t>
            </w:r>
          </w:p>
        </w:tc>
        <w:tc>
          <w:tcPr>
            <w:tcW w:w="7360" w:type="dxa"/>
            <w:vAlign w:val="bottom"/>
          </w:tcPr>
          <w:p>
            <w:pPr>
              <w:spacing w:after="0"/>
              <w:rPr>
                <w:sz w:val="19"/>
                <w:szCs w:val="19"/>
                <w:color w:val="auto"/>
              </w:rPr>
            </w:pPr>
          </w:p>
        </w:tc>
      </w:tr>
      <w:tr>
        <w:trPr>
          <w:trHeight w:val="412"/>
        </w:trPr>
        <w:tc>
          <w:tcPr>
            <w:tcW w:w="41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7360" w:type="dxa"/>
            <w:vAlign w:val="bottom"/>
          </w:tcPr>
          <w:p>
            <w:pPr>
              <w:ind w:left="300"/>
              <w:spacing w:after="0"/>
              <w:rPr>
                <w:sz w:val="20"/>
                <w:szCs w:val="20"/>
                <w:color w:val="auto"/>
              </w:rPr>
            </w:pPr>
            <w:r>
              <w:rPr>
                <w:rFonts w:ascii="Arial" w:cs="Arial" w:eastAsia="Arial" w:hAnsi="Arial"/>
                <w:sz w:val="18"/>
                <w:szCs w:val="18"/>
                <w:color w:val="auto"/>
                <w:w w:val="90"/>
              </w:rPr>
              <w:t>Interest on the Notes due 2024 will accrue at the rate of 3.60% per year, payable semi-annually in</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0"/>
              </w:rPr>
              <w:t>cash in arrears on March 1 and September 1, beginning September 1, 2014. Interest on the Notes</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3"/>
              </w:rPr>
              <w:t>due 2044 will accrue at the rate of 4.75% per year, payable semi-annually in cash in arrears on</w:t>
            </w:r>
          </w:p>
        </w:tc>
      </w:tr>
      <w:tr>
        <w:trPr>
          <w:trHeight w:val="222"/>
        </w:trPr>
        <w:tc>
          <w:tcPr>
            <w:tcW w:w="4100" w:type="dxa"/>
            <w:vAlign w:val="bottom"/>
          </w:tcPr>
          <w:p>
            <w:pPr>
              <w:spacing w:after="0"/>
              <w:rPr>
                <w:sz w:val="19"/>
                <w:szCs w:val="19"/>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March 1 and September 1, beginning September 1, 2014.</w:t>
            </w:r>
          </w:p>
        </w:tc>
      </w:tr>
      <w:tr>
        <w:trPr>
          <w:trHeight w:val="412"/>
        </w:trPr>
        <w:tc>
          <w:tcPr>
            <w:tcW w:w="4100" w:type="dxa"/>
            <w:vAlign w:val="bottom"/>
          </w:tcPr>
          <w:p>
            <w:pPr>
              <w:ind w:left="200"/>
              <w:spacing w:after="0"/>
              <w:rPr>
                <w:sz w:val="20"/>
                <w:szCs w:val="20"/>
                <w:color w:val="auto"/>
              </w:rPr>
            </w:pPr>
            <w:r>
              <w:rPr>
                <w:rFonts w:ascii="Arial" w:cs="Arial" w:eastAsia="Arial" w:hAnsi="Arial"/>
                <w:sz w:val="18"/>
                <w:szCs w:val="18"/>
                <w:color w:val="auto"/>
              </w:rPr>
              <w:t>Ranking</w:t>
            </w:r>
          </w:p>
        </w:tc>
        <w:tc>
          <w:tcPr>
            <w:tcW w:w="7360" w:type="dxa"/>
            <w:vAlign w:val="bottom"/>
          </w:tcPr>
          <w:p>
            <w:pPr>
              <w:ind w:left="300"/>
              <w:spacing w:after="0"/>
              <w:rPr>
                <w:sz w:val="20"/>
                <w:szCs w:val="20"/>
                <w:color w:val="auto"/>
              </w:rPr>
            </w:pPr>
            <w:r>
              <w:rPr>
                <w:rFonts w:ascii="Arial" w:cs="Arial" w:eastAsia="Arial" w:hAnsi="Arial"/>
                <w:sz w:val="18"/>
                <w:szCs w:val="18"/>
                <w:color w:val="auto"/>
                <w:w w:val="93"/>
              </w:rPr>
              <w:t>The notes will be unsecured and will rank equally with all of our unsecured and unsubordinated</w:t>
            </w:r>
          </w:p>
        </w:tc>
      </w:tr>
      <w:tr>
        <w:trPr>
          <w:trHeight w:val="222"/>
        </w:trPr>
        <w:tc>
          <w:tcPr>
            <w:tcW w:w="4100" w:type="dxa"/>
            <w:vAlign w:val="bottom"/>
          </w:tcPr>
          <w:p>
            <w:pPr>
              <w:spacing w:after="0"/>
              <w:rPr>
                <w:sz w:val="19"/>
                <w:szCs w:val="19"/>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indebtedness.</w:t>
            </w:r>
          </w:p>
        </w:tc>
      </w:tr>
      <w:tr>
        <w:trPr>
          <w:trHeight w:val="412"/>
        </w:trPr>
        <w:tc>
          <w:tcPr>
            <w:tcW w:w="4100" w:type="dxa"/>
            <w:vAlign w:val="bottom"/>
          </w:tcPr>
          <w:p>
            <w:pPr>
              <w:ind w:left="200"/>
              <w:spacing w:after="0"/>
              <w:rPr>
                <w:sz w:val="20"/>
                <w:szCs w:val="20"/>
                <w:color w:val="auto"/>
              </w:rPr>
            </w:pPr>
            <w:r>
              <w:rPr>
                <w:rFonts w:ascii="Arial" w:cs="Arial" w:eastAsia="Arial" w:hAnsi="Arial"/>
                <w:sz w:val="18"/>
                <w:szCs w:val="18"/>
                <w:color w:val="auto"/>
              </w:rPr>
              <w:t>Guarantors</w:t>
            </w:r>
          </w:p>
        </w:tc>
        <w:tc>
          <w:tcPr>
            <w:tcW w:w="7360" w:type="dxa"/>
            <w:vAlign w:val="bottom"/>
          </w:tcPr>
          <w:p>
            <w:pPr>
              <w:ind w:left="300"/>
              <w:spacing w:after="0"/>
              <w:rPr>
                <w:sz w:val="20"/>
                <w:szCs w:val="20"/>
                <w:color w:val="auto"/>
              </w:rPr>
            </w:pPr>
            <w:r>
              <w:rPr>
                <w:rFonts w:ascii="Arial" w:cs="Arial" w:eastAsia="Arial" w:hAnsi="Arial"/>
                <w:sz w:val="18"/>
                <w:szCs w:val="18"/>
                <w:color w:val="auto"/>
                <w:w w:val="96"/>
              </w:rPr>
              <w:t>Comcast Cable Communications, LLC, Comcast Cable Holdings, LLC, Comcast MO Group,</w:t>
            </w:r>
          </w:p>
        </w:tc>
      </w:tr>
      <w:tr>
        <w:trPr>
          <w:trHeight w:val="222"/>
        </w:trPr>
        <w:tc>
          <w:tcPr>
            <w:tcW w:w="4100" w:type="dxa"/>
            <w:vAlign w:val="bottom"/>
          </w:tcPr>
          <w:p>
            <w:pPr>
              <w:spacing w:after="0"/>
              <w:rPr>
                <w:sz w:val="19"/>
                <w:szCs w:val="19"/>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Inc., Comcast MO of Delaware, LLC and NBCUniversal Media, LLC.</w:t>
            </w:r>
          </w:p>
        </w:tc>
      </w:tr>
      <w:tr>
        <w:trPr>
          <w:trHeight w:val="412"/>
        </w:trPr>
        <w:tc>
          <w:tcPr>
            <w:tcW w:w="4100" w:type="dxa"/>
            <w:vAlign w:val="bottom"/>
          </w:tcPr>
          <w:p>
            <w:pPr>
              <w:ind w:left="200"/>
              <w:spacing w:after="0"/>
              <w:rPr>
                <w:sz w:val="20"/>
                <w:szCs w:val="20"/>
                <w:color w:val="auto"/>
              </w:rPr>
            </w:pPr>
            <w:r>
              <w:rPr>
                <w:rFonts w:ascii="Arial" w:cs="Arial" w:eastAsia="Arial" w:hAnsi="Arial"/>
                <w:sz w:val="18"/>
                <w:szCs w:val="18"/>
                <w:color w:val="auto"/>
              </w:rPr>
              <w:t>Guarantees</w:t>
            </w:r>
          </w:p>
        </w:tc>
        <w:tc>
          <w:tcPr>
            <w:tcW w:w="7360" w:type="dxa"/>
            <w:vAlign w:val="bottom"/>
          </w:tcPr>
          <w:p>
            <w:pPr>
              <w:ind w:left="300"/>
              <w:spacing w:after="0"/>
              <w:rPr>
                <w:sz w:val="20"/>
                <w:szCs w:val="20"/>
                <w:color w:val="auto"/>
              </w:rPr>
            </w:pPr>
            <w:r>
              <w:rPr>
                <w:rFonts w:ascii="Arial" w:cs="Arial" w:eastAsia="Arial" w:hAnsi="Arial"/>
                <w:sz w:val="18"/>
                <w:szCs w:val="18"/>
                <w:color w:val="auto"/>
                <w:w w:val="97"/>
              </w:rPr>
              <w:t>The guarantors will fully and unconditionally guarantee the notes, including the payment of</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4"/>
              </w:rPr>
              <w:t>principal, premium, if any, and interest. The guarantees will rank equally with all other general</w:t>
            </w:r>
          </w:p>
        </w:tc>
      </w:tr>
      <w:tr>
        <w:trPr>
          <w:trHeight w:val="222"/>
        </w:trPr>
        <w:tc>
          <w:tcPr>
            <w:tcW w:w="4100" w:type="dxa"/>
            <w:vAlign w:val="bottom"/>
          </w:tcPr>
          <w:p>
            <w:pPr>
              <w:spacing w:after="0"/>
              <w:rPr>
                <w:sz w:val="19"/>
                <w:szCs w:val="19"/>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unsecured and unsubordinated obligations of the guarantors.</w:t>
            </w:r>
          </w:p>
        </w:tc>
      </w:tr>
      <w:tr>
        <w:trPr>
          <w:trHeight w:val="419"/>
        </w:trPr>
        <w:tc>
          <w:tcPr>
            <w:tcW w:w="410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7360" w:type="dxa"/>
            <w:vAlign w:val="bottom"/>
          </w:tcPr>
          <w:p>
            <w:pPr>
              <w:ind w:left="300"/>
              <w:spacing w:after="0"/>
              <w:rPr>
                <w:sz w:val="20"/>
                <w:szCs w:val="20"/>
                <w:color w:val="auto"/>
              </w:rPr>
            </w:pPr>
            <w:r>
              <w:rPr>
                <w:rFonts w:ascii="Arial" w:cs="Arial" w:eastAsia="Arial" w:hAnsi="Arial"/>
                <w:sz w:val="18"/>
                <w:szCs w:val="18"/>
                <w:color w:val="auto"/>
                <w:w w:val="90"/>
              </w:rPr>
              <w:t>We may redeem all or part of the notes at our option at a redemption price equal to the greater of:</w:t>
            </w:r>
          </w:p>
        </w:tc>
      </w:tr>
      <w:tr>
        <w:trPr>
          <w:trHeight w:val="311"/>
        </w:trPr>
        <w:tc>
          <w:tcPr>
            <w:tcW w:w="410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   100% of the principal amount of the notes being redeemed; and</w:t>
            </w:r>
          </w:p>
        </w:tc>
      </w:tr>
      <w:tr>
        <w:trPr>
          <w:trHeight w:val="291"/>
        </w:trPr>
        <w:tc>
          <w:tcPr>
            <w:tcW w:w="410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6"/>
              </w:rPr>
              <w:t>•   the Make-Whole Amount, as defined in “Description of the Notes—Optional Redemption”</w:t>
            </w:r>
          </w:p>
        </w:tc>
      </w:tr>
      <w:tr>
        <w:trPr>
          <w:trHeight w:val="216"/>
        </w:trPr>
        <w:tc>
          <w:tcPr>
            <w:tcW w:w="4100" w:type="dxa"/>
            <w:vAlign w:val="bottom"/>
          </w:tcPr>
          <w:p>
            <w:pPr>
              <w:spacing w:after="0"/>
              <w:rPr>
                <w:sz w:val="18"/>
                <w:szCs w:val="18"/>
                <w:color w:val="auto"/>
              </w:rPr>
            </w:pPr>
          </w:p>
        </w:tc>
        <w:tc>
          <w:tcPr>
            <w:tcW w:w="7360" w:type="dxa"/>
            <w:vAlign w:val="bottom"/>
          </w:tcPr>
          <w:p>
            <w:pPr>
              <w:ind w:left="620"/>
              <w:spacing w:after="0"/>
              <w:rPr>
                <w:sz w:val="20"/>
                <w:szCs w:val="20"/>
                <w:color w:val="auto"/>
              </w:rPr>
            </w:pPr>
            <w:r>
              <w:rPr>
                <w:rFonts w:ascii="Arial" w:cs="Arial" w:eastAsia="Arial" w:hAnsi="Arial"/>
                <w:sz w:val="18"/>
                <w:szCs w:val="18"/>
                <w:color w:val="auto"/>
                <w:w w:val="89"/>
              </w:rPr>
              <w:t>in this prospectus supplement for the notes being redeemed, plus accrued and unpaid interest</w:t>
            </w:r>
          </w:p>
        </w:tc>
      </w:tr>
      <w:tr>
        <w:trPr>
          <w:trHeight w:val="216"/>
        </w:trPr>
        <w:tc>
          <w:tcPr>
            <w:tcW w:w="4100" w:type="dxa"/>
            <w:vAlign w:val="bottom"/>
          </w:tcPr>
          <w:p>
            <w:pPr>
              <w:spacing w:after="0"/>
              <w:rPr>
                <w:sz w:val="18"/>
                <w:szCs w:val="18"/>
                <w:color w:val="auto"/>
              </w:rPr>
            </w:pPr>
          </w:p>
        </w:tc>
        <w:tc>
          <w:tcPr>
            <w:tcW w:w="7360" w:type="dxa"/>
            <w:vAlign w:val="bottom"/>
          </w:tcPr>
          <w:p>
            <w:pPr>
              <w:ind w:left="620"/>
              <w:spacing w:after="0"/>
              <w:rPr>
                <w:sz w:val="20"/>
                <w:szCs w:val="20"/>
                <w:color w:val="auto"/>
              </w:rPr>
            </w:pPr>
            <w:r>
              <w:rPr>
                <w:rFonts w:ascii="Arial" w:cs="Arial" w:eastAsia="Arial" w:hAnsi="Arial"/>
                <w:sz w:val="18"/>
                <w:szCs w:val="18"/>
                <w:color w:val="auto"/>
              </w:rPr>
              <w:t>to the redemption date. See “Description of the Notes—Optional Redemption” in this</w:t>
            </w:r>
          </w:p>
        </w:tc>
      </w:tr>
      <w:tr>
        <w:trPr>
          <w:trHeight w:val="222"/>
        </w:trPr>
        <w:tc>
          <w:tcPr>
            <w:tcW w:w="4100" w:type="dxa"/>
            <w:vAlign w:val="bottom"/>
          </w:tcPr>
          <w:p>
            <w:pPr>
              <w:spacing w:after="0"/>
              <w:rPr>
                <w:sz w:val="19"/>
                <w:szCs w:val="19"/>
                <w:color w:val="auto"/>
              </w:rPr>
            </w:pPr>
          </w:p>
        </w:tc>
        <w:tc>
          <w:tcPr>
            <w:tcW w:w="7360" w:type="dxa"/>
            <w:vAlign w:val="bottom"/>
          </w:tcPr>
          <w:p>
            <w:pPr>
              <w:ind w:left="620"/>
              <w:spacing w:after="0"/>
              <w:rPr>
                <w:sz w:val="20"/>
                <w:szCs w:val="20"/>
                <w:color w:val="auto"/>
              </w:rPr>
            </w:pPr>
            <w:r>
              <w:rPr>
                <w:rFonts w:ascii="Arial" w:cs="Arial" w:eastAsia="Arial" w:hAnsi="Arial"/>
                <w:sz w:val="18"/>
                <w:szCs w:val="18"/>
                <w:color w:val="auto"/>
              </w:rPr>
              <w:t>prospectus supplement.</w:t>
            </w:r>
          </w:p>
        </w:tc>
      </w:tr>
      <w:tr>
        <w:trPr>
          <w:trHeight w:val="412"/>
        </w:trPr>
        <w:tc>
          <w:tcPr>
            <w:tcW w:w="410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360" w:type="dxa"/>
            <w:vAlign w:val="bottom"/>
          </w:tcPr>
          <w:p>
            <w:pPr>
              <w:ind w:left="300"/>
              <w:spacing w:after="0"/>
              <w:rPr>
                <w:sz w:val="20"/>
                <w:szCs w:val="20"/>
                <w:color w:val="auto"/>
              </w:rPr>
            </w:pPr>
            <w:r>
              <w:rPr>
                <w:rFonts w:ascii="Arial" w:cs="Arial" w:eastAsia="Arial" w:hAnsi="Arial"/>
                <w:sz w:val="18"/>
                <w:szCs w:val="18"/>
                <w:color w:val="auto"/>
                <w:w w:val="93"/>
              </w:rPr>
              <w:t>We intend to use the net proceeds from this offering, after deducting the underwriters’ discount</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0"/>
              </w:rPr>
              <w:t>and expenses, for working capital and general corporate purposes, which may include repayment,</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6"/>
              </w:rPr>
              <w:t>in April 2014, of our 2.1% notes due 2014 ($900 million principal amount outstanding) and a</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5"/>
              </w:rPr>
              <w:t>portion of our outstanding commercial paper. As of February 18, 2014, our commercial paper</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4"/>
              </w:rPr>
              <w:t>had a weighted average annual interest rate of approximately 0.31% and a weighted average</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remaining maturity of approximately 38 days. See “Use of Proceeds” in this prospectus</w:t>
            </w:r>
          </w:p>
        </w:tc>
      </w:tr>
      <w:tr>
        <w:trPr>
          <w:trHeight w:val="222"/>
        </w:trPr>
        <w:tc>
          <w:tcPr>
            <w:tcW w:w="4100" w:type="dxa"/>
            <w:vAlign w:val="bottom"/>
          </w:tcPr>
          <w:p>
            <w:pPr>
              <w:spacing w:after="0"/>
              <w:rPr>
                <w:sz w:val="19"/>
                <w:szCs w:val="19"/>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supplement.</w:t>
            </w:r>
          </w:p>
        </w:tc>
      </w:tr>
      <w:tr>
        <w:trPr>
          <w:trHeight w:val="412"/>
        </w:trPr>
        <w:tc>
          <w:tcPr>
            <w:tcW w:w="4100" w:type="dxa"/>
            <w:vAlign w:val="bottom"/>
          </w:tcPr>
          <w:p>
            <w:pPr>
              <w:ind w:left="200"/>
              <w:spacing w:after="0"/>
              <w:rPr>
                <w:sz w:val="20"/>
                <w:szCs w:val="20"/>
                <w:color w:val="auto"/>
              </w:rPr>
            </w:pPr>
            <w:r>
              <w:rPr>
                <w:rFonts w:ascii="Arial" w:cs="Arial" w:eastAsia="Arial" w:hAnsi="Arial"/>
                <w:sz w:val="18"/>
                <w:szCs w:val="18"/>
                <w:color w:val="auto"/>
              </w:rPr>
              <w:t>Book Entry</w:t>
            </w:r>
          </w:p>
        </w:tc>
        <w:tc>
          <w:tcPr>
            <w:tcW w:w="7360" w:type="dxa"/>
            <w:vAlign w:val="bottom"/>
          </w:tcPr>
          <w:p>
            <w:pPr>
              <w:ind w:left="30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with, or on behalf of, DTC and registered in the name of DTC or its nominees. Beneficial</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1"/>
              </w:rPr>
              <w:t>interests in any of the notes will be shown on, and transfers will be effected only through, records</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5"/>
              </w:rPr>
              <w:t>maintained by DTC or its nominee or indirectly through organizations that have accounts with</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1"/>
              </w:rPr>
              <w:t>DTC, including Euroclear and Clearstream, and these beneficial interests may not be exchanged</w:t>
            </w:r>
          </w:p>
        </w:tc>
      </w:tr>
      <w:tr>
        <w:trPr>
          <w:trHeight w:val="216"/>
        </w:trPr>
        <w:tc>
          <w:tcPr>
            <w:tcW w:w="410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6"/>
              </w:rPr>
              <w:t>for certificated notes, except in limited circumstances. See “Description of the Notes—Book-</w:t>
            </w:r>
          </w:p>
        </w:tc>
      </w:tr>
      <w:tr>
        <w:trPr>
          <w:trHeight w:val="222"/>
        </w:trPr>
        <w:tc>
          <w:tcPr>
            <w:tcW w:w="4100" w:type="dxa"/>
            <w:vAlign w:val="bottom"/>
          </w:tcPr>
          <w:p>
            <w:pPr>
              <w:spacing w:after="0"/>
              <w:rPr>
                <w:sz w:val="19"/>
                <w:szCs w:val="19"/>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Entry System” in this prospectus supplement.</w:t>
            </w:r>
          </w:p>
        </w:tc>
      </w:tr>
      <w:tr>
        <w:trPr>
          <w:trHeight w:val="161"/>
        </w:trPr>
        <w:tc>
          <w:tcPr>
            <w:tcW w:w="4100" w:type="dxa"/>
            <w:vAlign w:val="bottom"/>
            <w:tcBorders>
              <w:bottom w:val="single" w:sz="8" w:color="auto"/>
            </w:tcBorders>
          </w:tcPr>
          <w:p>
            <w:pPr>
              <w:spacing w:after="0"/>
              <w:rPr>
                <w:sz w:val="13"/>
                <w:szCs w:val="13"/>
                <w:color w:val="auto"/>
              </w:rPr>
            </w:pPr>
          </w:p>
        </w:tc>
        <w:tc>
          <w:tcPr>
            <w:tcW w:w="7360" w:type="dxa"/>
            <w:vAlign w:val="bottom"/>
            <w:tcBorders>
              <w:bottom w:val="single" w:sz="8" w:color="auto"/>
            </w:tcBorders>
          </w:tcPr>
          <w:p>
            <w:pPr>
              <w:spacing w:after="0"/>
              <w:rPr>
                <w:sz w:val="13"/>
                <w:szCs w:val="13"/>
                <w:color w:val="auto"/>
              </w:rPr>
            </w:pPr>
          </w:p>
        </w:tc>
      </w:tr>
      <w:tr>
        <w:trPr>
          <w:trHeight w:val="359"/>
        </w:trPr>
        <w:tc>
          <w:tcPr>
            <w:tcW w:w="4100" w:type="dxa"/>
            <w:vAlign w:val="bottom"/>
          </w:tcPr>
          <w:p>
            <w:pPr>
              <w:spacing w:after="0"/>
              <w:rPr>
                <w:sz w:val="24"/>
                <w:szCs w:val="24"/>
                <w:color w:val="auto"/>
              </w:rPr>
            </w:pPr>
          </w:p>
        </w:tc>
        <w:tc>
          <w:tcPr>
            <w:tcW w:w="7360" w:type="dxa"/>
            <w:vAlign w:val="bottom"/>
          </w:tcPr>
          <w:p>
            <w:pPr>
              <w:ind w:left="15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use the net proceeds from this offering, after deducting the underwriters’ discount and expenses, for working capital and general corporate purposes, which may include repayment, in April 2014, of our 2.1% notes due 2014 ($900 million principal amount outstanding) and a portion of our outstanding commercial paper. As of February 18, 2014, our commercial paper had a weighted average annual interest rate of approximately 0.31% and a weighted average remaining maturity of approximately 38 days.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223"/>
        </w:trPr>
        <w:tc>
          <w:tcPr>
            <w:tcW w:w="25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2009</w:t>
            </w:r>
          </w:p>
        </w:tc>
      </w:tr>
      <w:tr>
        <w:trPr>
          <w:trHeight w:val="196"/>
        </w:trPr>
        <w:tc>
          <w:tcPr>
            <w:tcW w:w="8580" w:type="dxa"/>
            <w:vAlign w:val="bottom"/>
            <w:gridSpan w:val="9"/>
            <w:shd w:val="clear" w:color="auto" w:fill="CCEEFF"/>
          </w:tcPr>
          <w:p>
            <w:pPr>
              <w:ind w:left="440"/>
              <w:spacing w:after="0" w:line="196" w:lineRule="exact"/>
              <w:rPr>
                <w:sz w:val="20"/>
                <w:szCs w:val="20"/>
                <w:color w:val="auto"/>
              </w:rPr>
            </w:pPr>
            <w:r>
              <w:rPr>
                <w:rFonts w:ascii="Arial" w:cs="Arial" w:eastAsia="Arial" w:hAnsi="Arial"/>
                <w:sz w:val="18"/>
                <w:szCs w:val="18"/>
                <w:b w:val="1"/>
                <w:bCs w:val="1"/>
                <w:color w:val="auto"/>
                <w:w w:val="88"/>
              </w:rPr>
              <w:t>Ratio of earnings to fixed charges and ratio of earnings to combined fixed charges and preferred dividends: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2"/>
        </w:trPr>
        <w:tc>
          <w:tcPr>
            <w:tcW w:w="254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4.85x</w:t>
            </w:r>
          </w:p>
        </w:tc>
        <w:tc>
          <w:tcPr>
            <w:tcW w:w="1320" w:type="dxa"/>
            <w:vAlign w:val="bottom"/>
          </w:tcPr>
          <w:p>
            <w:pPr>
              <w:jc w:val="center"/>
              <w:ind w:left="302"/>
              <w:spacing w:after="0"/>
              <w:rPr>
                <w:sz w:val="20"/>
                <w:szCs w:val="20"/>
                <w:color w:val="auto"/>
              </w:rPr>
            </w:pPr>
            <w:r>
              <w:rPr>
                <w:rFonts w:ascii="Arial" w:cs="Arial" w:eastAsia="Arial" w:hAnsi="Arial"/>
                <w:sz w:val="18"/>
                <w:szCs w:val="18"/>
                <w:color w:val="auto"/>
                <w:w w:val="86"/>
              </w:rPr>
              <w:t>4.82x</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4.04x</w:t>
            </w:r>
          </w:p>
        </w:tc>
        <w:tc>
          <w:tcPr>
            <w:tcW w:w="1240" w:type="dxa"/>
            <w:vAlign w:val="bottom"/>
            <w:gridSpan w:val="2"/>
          </w:tcPr>
          <w:p>
            <w:pPr>
              <w:jc w:val="center"/>
              <w:ind w:right="660"/>
              <w:spacing w:after="0"/>
              <w:rPr>
                <w:sz w:val="20"/>
                <w:szCs w:val="20"/>
                <w:color w:val="auto"/>
              </w:rPr>
            </w:pPr>
            <w:r>
              <w:rPr>
                <w:rFonts w:ascii="Arial" w:cs="Arial" w:eastAsia="Arial" w:hAnsi="Arial"/>
                <w:sz w:val="18"/>
                <w:szCs w:val="18"/>
                <w:color w:val="auto"/>
                <w:w w:val="86"/>
              </w:rPr>
              <w:t>3.57x</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3.01x</w:t>
            </w: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According to its publicly available information, as of December 31, 2013, Time Warner Cable had $25.052 billion aggregate outstanding debt and its ratio of earnings to fixed charges for the year ended December 31, 2013 was 2.8x.</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are offering $1,200,000,000 aggregate principal amount of our 3.60% Notes due 2024 and $1,000,000,000 aggregate principal amount of our 4.75% Notes due 2044. The Notes due 2024 and Notes due 2044 will each be a separate series of securities issued under a senior indenture dated September 18, 2013, entered into among us, the guarantors and The Bank of New York Mellon, as trustee. The notes will be our direct unsecured and unsubordinated obligations and will be fully and unconditionally guaranteed by Comcast Cable Communications, LLC, Comcast Cable Holdings, LLC, Comcast MO Group, Inc., Comcast MO of Delaware, LLC and NBCUniversal Media, LLC,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guarantees described below;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$2,200,000,000 comprised as follows:</w:t>
      </w:r>
    </w:p>
    <w:p>
      <w:pPr>
        <w:spacing w:after="0" w:line="90" w:lineRule="exact"/>
        <w:rPr>
          <w:rFonts w:ascii="Arial" w:cs="Arial" w:eastAsia="Arial" w:hAnsi="Arial"/>
          <w:sz w:val="18"/>
          <w:szCs w:val="18"/>
          <w:color w:val="auto"/>
        </w:rPr>
      </w:pPr>
    </w:p>
    <w:p>
      <w:pPr>
        <w:ind w:left="1480" w:right="20" w:hanging="446"/>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$1,200,000,000 initial aggregate principal amount of 3.60% Notes due 2024, maturing on March 1, 2024, with interest payable semiannually on each March 1 and September 1, beginning September 1, 2014, to holders of record on the preceding February 15 and August 15;</w:t>
      </w:r>
    </w:p>
    <w:p>
      <w:pPr>
        <w:spacing w:after="0" w:line="4" w:lineRule="exact"/>
        <w:rPr>
          <w:rFonts w:ascii="Arial" w:cs="Arial" w:eastAsia="Arial" w:hAnsi="Arial"/>
          <w:sz w:val="16"/>
          <w:szCs w:val="16"/>
          <w:color w:val="auto"/>
        </w:rPr>
      </w:pPr>
    </w:p>
    <w:p>
      <w:pPr>
        <w:ind w:left="1480" w:right="20" w:hanging="446"/>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$1,000,000,000 initial aggregate principal amount of 4.75% Notes due 2044, maturing on March 1, 2044, with interest payable semiannually on each March 1 and September 1, beginning September 1, 2014, to holders of record on the preceding February 15 and August 15;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February 26, 2014 and the date of original issuance, or (ii) from the most recent interest payment date to which interest has been paid, and will be payable semiannually on interest payment dates described for each year.</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15 basis points for the Notes due 2024 (the “2024 Make-Whole Amount”) and 20 basis points for the Notes due 2044 (the “2044 Make-Whole Amount” and, each of the 2024 Make-Whole Amount and 2044 Make-Whole Amount, a “Make-Whole Amount”), plus, in each case, accrued and unpaid interest thereon to the date of redemption.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“Reference Treasury Dealer” means each of BNP Paribas Securities Corp., Merrill Lynch, Pierce, Fenner &amp; Smith Incorporated, RBC Capital Markets,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summary is based on the Internal Revenue Code of 1986, as amended to the date hereof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under penalties of perjury, that it is not a U.S. person.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Underwriter</w:t>
            </w: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3"/>
              <w:spacing w:after="0"/>
              <w:rPr>
                <w:sz w:val="20"/>
                <w:szCs w:val="20"/>
                <w:color w:val="auto"/>
              </w:rPr>
            </w:pPr>
            <w:r>
              <w:rPr>
                <w:rFonts w:ascii="Arial" w:cs="Arial" w:eastAsia="Arial" w:hAnsi="Arial"/>
                <w:sz w:val="14"/>
                <w:szCs w:val="14"/>
                <w:b w:val="1"/>
                <w:bCs w:val="1"/>
                <w:color w:val="auto"/>
                <w:w w:val="87"/>
              </w:rPr>
              <w:t>Principal Amount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68"/>
        </w:trPr>
        <w:tc>
          <w:tcPr>
            <w:tcW w:w="318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3"/>
              <w:spacing w:after="0" w:line="148" w:lineRule="exact"/>
              <w:rPr>
                <w:sz w:val="20"/>
                <w:szCs w:val="20"/>
                <w:color w:val="auto"/>
              </w:rPr>
            </w:pPr>
            <w:r>
              <w:rPr>
                <w:rFonts w:ascii="Arial" w:cs="Arial" w:eastAsia="Arial" w:hAnsi="Arial"/>
                <w:sz w:val="14"/>
                <w:szCs w:val="14"/>
                <w:b w:val="1"/>
                <w:bCs w:val="1"/>
                <w:color w:val="auto"/>
                <w:w w:val="85"/>
              </w:rPr>
              <w:t>of Notes due 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of Notes due 2044</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BNP Paribas Securities Corp.</w:t>
            </w:r>
          </w:p>
        </w:tc>
        <w:tc>
          <w:tcPr>
            <w:tcW w:w="3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192,000,000</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6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60" w:type="dxa"/>
            <w:vAlign w:val="bottom"/>
            <w:gridSpan w:val="2"/>
          </w:tcPr>
          <w:p>
            <w:pPr>
              <w:ind w:left="980"/>
              <w:spacing w:after="0"/>
              <w:rPr>
                <w:sz w:val="20"/>
                <w:szCs w:val="20"/>
                <w:color w:val="auto"/>
              </w:rPr>
            </w:pPr>
            <w:r>
              <w:rPr>
                <w:rFonts w:ascii="Arial" w:cs="Arial" w:eastAsia="Arial" w:hAnsi="Arial"/>
                <w:sz w:val="18"/>
                <w:szCs w:val="18"/>
                <w:color w:val="auto"/>
              </w:rPr>
              <w:t>Incorporated</w:t>
            </w: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192,000,000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192,000,000</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192,000,000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Lloyds Securities Inc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RBS Securities Inc.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Drexel Hamilton, LLC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Lebenthal &amp; Co., LLC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MFR Securities, Inc.</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3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1,200,000,000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1,000,000,000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8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February 26, 2014,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underwriters have advised us that they propose initially to offer the notes to the public at the public offering price on the cover page of this prospectus supplement, and to dealers at that price less a concession not in excess of 0.25% and 0.50% of the principal amount of the Notes due 2024 and Notes due 2044, respectively. The underwriters may allow, and the dealers may reallow, a discount not in excess of 0.20% and 0.25% of the principal amount of the Notes due 2024 and Notes due 2044, respectively, to other dealers. After the initial public offering, the public offering prices, concessions and discounts may be changed.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$525,000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J.P. Morgan Securities LLC and an affiliate of Barclays Capital Inc. have acted as financial advisors to the Company in connection with the Time Warner Cable merger for which they received or may in the future receive customary fees and commissions.</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2.1% Notes due 2014 and our outstanding commercial paper, and therefore, the underwriters and/or their respective affiliates may indirectly receive a portion of the net proceeds from this offering.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General Counsel and Secretary of Comcast Corporation, Thomas R. Nathan, Esquire, Senior Vice President of the guarantors, and by Davis Polk &amp; Wardwell LLP, Menlo Park, California.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consolidated financial statements and the related financial statement schedule of Comcast Corporation and subsidiaries, incorporated herein by reference from Comcast Corporation’s Annual Report on Form 10-K for the year ended December 31, 2013,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 Universal, Inc. and its subsidiaries (predecessor) and NBCUniversal Media, LLC and its subsidiaries (successor) for the period from January 1, 2011 to January 28, 2011 (predecessor period) and for the period from January 29, 2011 to December 31, 2011 and for the years ended December 31, 2012 and 2013 (successor period), incorporated in this prospectus supplement by reference from NBCUniversal Media, LLC’s Annual Report on Form 10-K for the year ended December 31, 2013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Unsecured senior debt securities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 Preferred stock</w:t>
      </w:r>
    </w:p>
    <w:p>
      <w:pPr>
        <w:spacing w:after="0" w:line="50"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Warrants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Purchase contracts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Depositary shares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Class A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 Class A Special common stock</w:t>
      </w:r>
    </w:p>
    <w:p>
      <w:pPr>
        <w:spacing w:after="0" w:line="199"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September 17, 2013, the reported last sale prices on the Nasdaq Global Select Market for our Class A common stock and our Class A Special common stock were $44.45 and $43.10,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Maturity</w:t>
            </w:r>
          </w:p>
        </w:tc>
        <w:tc>
          <w:tcPr>
            <w:tcW w:w="3720" w:type="dxa"/>
            <w:vAlign w:val="bottom"/>
          </w:tcPr>
          <w:p>
            <w:pPr>
              <w:ind w:left="600"/>
              <w:spacing w:after="0"/>
              <w:rPr>
                <w:sz w:val="20"/>
                <w:szCs w:val="20"/>
                <w:color w:val="auto"/>
              </w:rPr>
            </w:pPr>
            <w:r>
              <w:rPr>
                <w:rFonts w:ascii="Arial" w:cs="Arial" w:eastAsia="Arial" w:hAnsi="Arial"/>
                <w:sz w:val="18"/>
                <w:szCs w:val="18"/>
                <w:color w:val="auto"/>
              </w:rPr>
              <w:t>• Dividends</w:t>
            </w:r>
          </w:p>
        </w:tc>
        <w:tc>
          <w:tcPr>
            <w:tcW w:w="3000" w:type="dxa"/>
            <w:vAlign w:val="bottom"/>
          </w:tcPr>
          <w:p>
            <w:pPr>
              <w:ind w:left="760"/>
              <w:spacing w:after="0"/>
              <w:rPr>
                <w:sz w:val="20"/>
                <w:szCs w:val="20"/>
                <w:color w:val="auto"/>
              </w:rPr>
            </w:pPr>
            <w:r>
              <w:rPr>
                <w:rFonts w:ascii="Arial" w:cs="Arial" w:eastAsia="Arial" w:hAnsi="Arial"/>
                <w:sz w:val="18"/>
                <w:szCs w:val="18"/>
                <w:color w:val="auto"/>
                <w:w w:val="86"/>
              </w:rPr>
              <w:t>• Conversion or exchange rights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Interest rate</w:t>
            </w:r>
          </w:p>
        </w:tc>
        <w:tc>
          <w:tcPr>
            <w:tcW w:w="3720" w:type="dxa"/>
            <w:vAlign w:val="bottom"/>
          </w:tcPr>
          <w:p>
            <w:pPr>
              <w:ind w:left="600"/>
              <w:spacing w:after="0"/>
              <w:rPr>
                <w:sz w:val="20"/>
                <w:szCs w:val="20"/>
                <w:color w:val="auto"/>
              </w:rPr>
            </w:pPr>
            <w:r>
              <w:rPr>
                <w:rFonts w:ascii="Arial" w:cs="Arial" w:eastAsia="Arial" w:hAnsi="Arial"/>
                <w:sz w:val="18"/>
                <w:szCs w:val="18"/>
                <w:color w:val="auto"/>
              </w:rPr>
              <w:t>• Redemption terms</w:t>
            </w:r>
          </w:p>
        </w:tc>
        <w:tc>
          <w:tcPr>
            <w:tcW w:w="3000" w:type="dxa"/>
            <w:vAlign w:val="bottom"/>
          </w:tcPr>
          <w:p>
            <w:pPr>
              <w:ind w:left="760"/>
              <w:spacing w:after="0"/>
              <w:rPr>
                <w:sz w:val="20"/>
                <w:szCs w:val="20"/>
                <w:color w:val="auto"/>
              </w:rPr>
            </w:pPr>
            <w:r>
              <w:rPr>
                <w:rFonts w:ascii="Arial" w:cs="Arial" w:eastAsia="Arial" w:hAnsi="Arial"/>
                <w:sz w:val="18"/>
                <w:szCs w:val="18"/>
                <w:color w:val="auto"/>
              </w:rPr>
              <w:t>• Liquidation amount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Sinking fund terms</w:t>
            </w:r>
          </w:p>
        </w:tc>
        <w:tc>
          <w:tcPr>
            <w:tcW w:w="3720" w:type="dxa"/>
            <w:vAlign w:val="bottom"/>
          </w:tcPr>
          <w:p>
            <w:pPr>
              <w:ind w:left="600"/>
              <w:spacing w:after="0"/>
              <w:rPr>
                <w:sz w:val="20"/>
                <w:szCs w:val="20"/>
                <w:color w:val="auto"/>
              </w:rPr>
            </w:pPr>
            <w:r>
              <w:rPr>
                <w:rFonts w:ascii="Arial" w:cs="Arial" w:eastAsia="Arial" w:hAnsi="Arial"/>
                <w:sz w:val="18"/>
                <w:szCs w:val="18"/>
                <w:color w:val="auto"/>
              </w:rPr>
              <w:t>• Listing on a securities exchange</w:t>
            </w:r>
          </w:p>
        </w:tc>
        <w:tc>
          <w:tcPr>
            <w:tcW w:w="3000" w:type="dxa"/>
            <w:vAlign w:val="bottom"/>
          </w:tcPr>
          <w:p>
            <w:pPr>
              <w:ind w:left="760"/>
              <w:spacing w:after="0"/>
              <w:rPr>
                <w:sz w:val="20"/>
                <w:szCs w:val="20"/>
                <w:color w:val="auto"/>
              </w:rPr>
            </w:pPr>
            <w:r>
              <w:rPr>
                <w:rFonts w:ascii="Arial" w:cs="Arial" w:eastAsia="Arial" w:hAnsi="Arial"/>
                <w:sz w:val="18"/>
                <w:szCs w:val="18"/>
                <w:color w:val="auto"/>
              </w:rPr>
              <w:t>• Subsidiary guarantees</w:t>
            </w: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tcPr>
          <w:p>
            <w:pPr>
              <w:ind w:left="600"/>
              <w:spacing w:after="0"/>
              <w:rPr>
                <w:sz w:val="20"/>
                <w:szCs w:val="20"/>
                <w:color w:val="auto"/>
              </w:rPr>
            </w:pPr>
            <w:r>
              <w:rPr>
                <w:rFonts w:ascii="Arial" w:cs="Arial" w:eastAsia="Arial" w:hAnsi="Arial"/>
                <w:sz w:val="18"/>
                <w:szCs w:val="18"/>
                <w:color w:val="auto"/>
              </w:rPr>
              <w:t>• Amount payable at maturity</w:t>
            </w: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29 of Comcast’s annual report on Form 10-K for the year ended December 31, 2012, and beginning on page 14 of NBCUniversal’s annual report on Form 10-K for the year ended December 31, 2012,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September 18, 2013</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2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Caution Concerning Forward-Looking Statements</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 and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Global Securities</w:t>
              </w:r>
            </w:hyperlink>
          </w:p>
        </w:tc>
        <w:tc>
          <w:tcPr>
            <w:tcW w:w="780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Incorporation of Certain Documents by Reference</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Comcast MO Group, Inc. as “Comcast MO Group,” Comcast Cable Holdings, LLC as “Comcast Cable Holdings,” Comcast MO of Delaware, LLC as “Comcast MO of Delaware,” and all of them collectively as the “Guarantors.”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in the following five reportable business segments:</w:t>
      </w:r>
    </w:p>
    <w:p>
      <w:pPr>
        <w:spacing w:after="0" w:line="45" w:lineRule="exact"/>
        <w:rPr>
          <w:sz w:val="20"/>
          <w:szCs w:val="20"/>
          <w:color w:val="auto"/>
        </w:rPr>
      </w:pPr>
    </w:p>
    <w:p>
      <w:pPr>
        <w:ind w:left="900" w:hanging="325"/>
        <w:spacing w:after="0" w:line="33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Cable Communications</w:t>
      </w:r>
      <w:r>
        <w:rPr>
          <w:rFonts w:ascii="Arial" w:cs="Arial" w:eastAsia="Arial" w:hAnsi="Arial"/>
          <w:sz w:val="16"/>
          <w:szCs w:val="16"/>
          <w:color w:val="auto"/>
        </w:rPr>
        <w:t>: Consists of the operations of Comcast Cable, which is the nation’s largest provider of video, high-speed Internet and voice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residential customers under the XFINITY brand, and Comcast Cable also provides these services to businesses.</w:t>
      </w:r>
    </w:p>
    <w:p>
      <w:pPr>
        <w:spacing w:after="0" w:line="1" w:lineRule="exact"/>
        <w:rPr>
          <w:rFonts w:ascii="Arial" w:cs="Arial" w:eastAsia="Arial" w:hAnsi="Arial"/>
          <w:sz w:val="16"/>
          <w:szCs w:val="16"/>
          <w:color w:val="auto"/>
        </w:rPr>
      </w:pPr>
    </w:p>
    <w:p>
      <w:pPr>
        <w:ind w:left="900" w:right="44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NBCUniversal’s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its cable television production operations, and its related digital media properties.</w:t>
      </w:r>
    </w:p>
    <w:p>
      <w:pPr>
        <w:spacing w:after="0" w:line="38" w:lineRule="exact"/>
        <w:rPr>
          <w:rFonts w:ascii="Arial" w:cs="Arial" w:eastAsia="Arial" w:hAnsi="Arial"/>
          <w:sz w:val="18"/>
          <w:szCs w:val="18"/>
          <w:color w:val="auto"/>
        </w:rPr>
      </w:pPr>
    </w:p>
    <w:p>
      <w:pPr>
        <w:ind w:left="900" w:right="460" w:hanging="325"/>
        <w:spacing w:after="0" w:line="33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NBCUniversal’s broadcast networks, NBC and Telemundo, its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its broadcast television production operations, and its related digital media properties.</w:t>
      </w:r>
    </w:p>
    <w:p>
      <w:pPr>
        <w:spacing w:after="0" w:line="1" w:lineRule="exact"/>
        <w:rPr>
          <w:rFonts w:ascii="Arial" w:cs="Arial" w:eastAsia="Arial" w:hAnsi="Arial"/>
          <w:sz w:val="16"/>
          <w:szCs w:val="16"/>
          <w:color w:val="auto"/>
        </w:rPr>
      </w:pPr>
    </w:p>
    <w:p>
      <w:pPr>
        <w:ind w:left="900" w:right="56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NBCUniversal’s Universal theme parks in Orlando and Hollywood.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2012, the Cable Communications segment generated 63% of Comcast’s consolidated revenue and more than 80% of Comcast’s operating income before depreciation and amortization. The Cable Networks, Broadcast Television, Filmed Entertainment and Theme Parks segments comprise NBCUniversal’s businesses.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principal executive offices of Comcast and the Guarantors other than NBCUniversal are located at One Comcast Center, Philadelphia, Pennsylvania 19103-2838, and our telephone number is (215) 286-1700.</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and NBCUniversal’s Annual Reports on Form 10-K for the year ended December 31, 2012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consumer behavior driven by new technologies may adversely affect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which is difficult to predict, and its businesses may be adversely affected if its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$0.78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For the Six Months</w:t>
            </w:r>
          </w:p>
        </w:tc>
        <w:tc>
          <w:tcPr>
            <w:tcW w:w="2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56"/>
        </w:trPr>
        <w:tc>
          <w:tcPr>
            <w:tcW w:w="1960" w:type="dxa"/>
            <w:vAlign w:val="bottom"/>
            <w:tcBorders>
              <w:bottom w:val="single" w:sz="8" w:color="auto"/>
            </w:tcBorders>
          </w:tcPr>
          <w:p>
            <w:pPr>
              <w:jc w:val="center"/>
              <w:ind w:right="42"/>
              <w:spacing w:after="0" w:line="155" w:lineRule="exact"/>
              <w:rPr>
                <w:sz w:val="20"/>
                <w:szCs w:val="20"/>
                <w:color w:val="auto"/>
              </w:rPr>
            </w:pPr>
            <w:r>
              <w:rPr>
                <w:rFonts w:ascii="Arial" w:cs="Arial" w:eastAsia="Arial" w:hAnsi="Arial"/>
                <w:sz w:val="14"/>
                <w:szCs w:val="14"/>
                <w:b w:val="1"/>
                <w:bCs w:val="1"/>
                <w:color w:val="auto"/>
                <w:w w:val="87"/>
              </w:rPr>
              <w:t>Ended June 30, 2013</w:t>
            </w:r>
          </w:p>
        </w:tc>
        <w:tc>
          <w:tcPr>
            <w:tcW w:w="2120" w:type="dxa"/>
            <w:vAlign w:val="bottom"/>
            <w:tcBorders>
              <w:bottom w:val="single" w:sz="8" w:color="auto"/>
            </w:tcBorders>
          </w:tcPr>
          <w:p>
            <w:pPr>
              <w:jc w:val="right"/>
              <w:ind w:right="822"/>
              <w:spacing w:after="0" w:line="155" w:lineRule="exact"/>
              <w:rPr>
                <w:sz w:val="20"/>
                <w:szCs w:val="20"/>
                <w:color w:val="auto"/>
              </w:rPr>
            </w:pPr>
            <w:r>
              <w:rPr>
                <w:rFonts w:ascii="Arial" w:cs="Arial" w:eastAsia="Arial" w:hAnsi="Arial"/>
                <w:sz w:val="14"/>
                <w:szCs w:val="14"/>
                <w:b w:val="1"/>
                <w:bCs w:val="1"/>
                <w:color w:val="auto"/>
              </w:rPr>
              <w:t>2012</w:t>
            </w:r>
          </w:p>
        </w:tc>
        <w:tc>
          <w:tcPr>
            <w:tcW w:w="142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2011</w:t>
            </w:r>
          </w:p>
        </w:tc>
        <w:tc>
          <w:tcPr>
            <w:tcW w:w="2800" w:type="dxa"/>
            <w:vAlign w:val="bottom"/>
            <w:tcBorders>
              <w:bottom w:val="single" w:sz="8" w:color="auto"/>
            </w:tcBorders>
          </w:tcPr>
          <w:p>
            <w:pPr>
              <w:jc w:val="right"/>
              <w:ind w:right="1146"/>
              <w:spacing w:after="0" w:line="155" w:lineRule="exact"/>
              <w:rPr>
                <w:sz w:val="20"/>
                <w:szCs w:val="20"/>
                <w:color w:val="auto"/>
              </w:rPr>
            </w:pPr>
            <w:r>
              <w:rPr>
                <w:rFonts w:ascii="Arial" w:cs="Arial" w:eastAsia="Arial" w:hAnsi="Arial"/>
                <w:sz w:val="14"/>
                <w:szCs w:val="14"/>
                <w:b w:val="1"/>
                <w:bCs w:val="1"/>
                <w:color w:val="auto"/>
              </w:rPr>
              <w:t>2010</w:t>
            </w: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2009</w:t>
            </w:r>
          </w:p>
        </w:tc>
        <w:tc>
          <w:tcPr>
            <w:tcW w:w="1760" w:type="dxa"/>
            <w:vAlign w:val="bottom"/>
            <w:tcBorders>
              <w:bottom w:val="single" w:sz="8" w:color="auto"/>
            </w:tcBorders>
          </w:tcPr>
          <w:p>
            <w:pPr>
              <w:jc w:val="right"/>
              <w:ind w:right="642"/>
              <w:spacing w:after="0" w:line="155" w:lineRule="exact"/>
              <w:rPr>
                <w:sz w:val="20"/>
                <w:szCs w:val="20"/>
                <w:color w:val="auto"/>
              </w:rPr>
            </w:pPr>
            <w:r>
              <w:rPr>
                <w:rFonts w:ascii="Arial" w:cs="Arial" w:eastAsia="Arial" w:hAnsi="Arial"/>
                <w:sz w:val="14"/>
                <w:szCs w:val="14"/>
                <w:b w:val="1"/>
                <w:bCs w:val="1"/>
                <w:color w:val="auto"/>
              </w:rPr>
              <w:t>2008</w:t>
            </w:r>
          </w:p>
        </w:tc>
      </w:tr>
      <w:tr>
        <w:trPr>
          <w:trHeight w:val="210"/>
        </w:trPr>
        <w:tc>
          <w:tcPr>
            <w:tcW w:w="83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89"/>
              </w:rPr>
              <w:t>Ratio of earnings to fixed charges and ratio of earnings to combined fixed charges and preferred dividends:</w:t>
            </w:r>
          </w:p>
        </w:tc>
        <w:tc>
          <w:tcPr>
            <w:tcW w:w="1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2"/>
        </w:trPr>
        <w:tc>
          <w:tcPr>
            <w:tcW w:w="1960" w:type="dxa"/>
            <w:vAlign w:val="bottom"/>
          </w:tcPr>
          <w:p>
            <w:pPr>
              <w:jc w:val="center"/>
              <w:ind w:right="42"/>
              <w:spacing w:after="0"/>
              <w:rPr>
                <w:sz w:val="20"/>
                <w:szCs w:val="20"/>
                <w:color w:val="auto"/>
              </w:rPr>
            </w:pPr>
            <w:r>
              <w:rPr>
                <w:rFonts w:ascii="Arial" w:cs="Arial" w:eastAsia="Arial" w:hAnsi="Arial"/>
                <w:sz w:val="18"/>
                <w:szCs w:val="18"/>
                <w:color w:val="auto"/>
                <w:w w:val="90"/>
              </w:rPr>
              <w:t>4.68x</w:t>
            </w:r>
          </w:p>
        </w:tc>
        <w:tc>
          <w:tcPr>
            <w:tcW w:w="2120" w:type="dxa"/>
            <w:vAlign w:val="bottom"/>
          </w:tcPr>
          <w:p>
            <w:pPr>
              <w:jc w:val="center"/>
              <w:ind w:left="2"/>
              <w:spacing w:after="0"/>
              <w:rPr>
                <w:sz w:val="20"/>
                <w:szCs w:val="20"/>
                <w:color w:val="auto"/>
              </w:rPr>
            </w:pPr>
            <w:r>
              <w:rPr>
                <w:rFonts w:ascii="Arial" w:cs="Arial" w:eastAsia="Arial" w:hAnsi="Arial"/>
                <w:sz w:val="18"/>
                <w:szCs w:val="18"/>
                <w:color w:val="auto"/>
                <w:w w:val="90"/>
              </w:rPr>
              <w:t>4.82x</w:t>
            </w:r>
          </w:p>
        </w:tc>
        <w:tc>
          <w:tcPr>
            <w:tcW w:w="1420" w:type="dxa"/>
            <w:vAlign w:val="bottom"/>
          </w:tcPr>
          <w:p>
            <w:pPr>
              <w:jc w:val="center"/>
              <w:ind w:left="582"/>
              <w:spacing w:after="0"/>
              <w:rPr>
                <w:sz w:val="20"/>
                <w:szCs w:val="20"/>
                <w:color w:val="auto"/>
              </w:rPr>
            </w:pPr>
            <w:r>
              <w:rPr>
                <w:rFonts w:ascii="Arial" w:cs="Arial" w:eastAsia="Arial" w:hAnsi="Arial"/>
                <w:sz w:val="18"/>
                <w:szCs w:val="18"/>
                <w:color w:val="auto"/>
                <w:w w:val="90"/>
              </w:rPr>
              <w:t>4.04x</w:t>
            </w:r>
          </w:p>
        </w:tc>
        <w:tc>
          <w:tcPr>
            <w:tcW w:w="2800" w:type="dxa"/>
            <w:vAlign w:val="bottom"/>
          </w:tcPr>
          <w:p>
            <w:pPr>
              <w:jc w:val="center"/>
              <w:ind w:left="26"/>
              <w:spacing w:after="0"/>
              <w:rPr>
                <w:sz w:val="20"/>
                <w:szCs w:val="20"/>
                <w:color w:val="auto"/>
              </w:rPr>
            </w:pPr>
            <w:r>
              <w:rPr>
                <w:rFonts w:ascii="Arial" w:cs="Arial" w:eastAsia="Arial" w:hAnsi="Arial"/>
                <w:sz w:val="18"/>
                <w:szCs w:val="18"/>
                <w:color w:val="auto"/>
                <w:w w:val="86"/>
              </w:rPr>
              <w:t>3.57x</w:t>
            </w:r>
          </w:p>
        </w:tc>
        <w:tc>
          <w:tcPr>
            <w:tcW w:w="1360" w:type="dxa"/>
            <w:vAlign w:val="bottom"/>
          </w:tcPr>
          <w:p>
            <w:pPr>
              <w:jc w:val="center"/>
              <w:ind w:right="362"/>
              <w:spacing w:after="0"/>
              <w:rPr>
                <w:sz w:val="20"/>
                <w:szCs w:val="20"/>
                <w:color w:val="auto"/>
              </w:rPr>
            </w:pPr>
            <w:r>
              <w:rPr>
                <w:rFonts w:ascii="Arial" w:cs="Arial" w:eastAsia="Arial" w:hAnsi="Arial"/>
                <w:sz w:val="18"/>
                <w:szCs w:val="18"/>
                <w:color w:val="auto"/>
                <w:w w:val="90"/>
              </w:rPr>
              <w:t>3.01x</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2.49x</w:t>
            </w:r>
          </w:p>
        </w:tc>
      </w:tr>
    </w:tbl>
    <w:p>
      <w:pPr>
        <w:spacing w:after="0" w:line="161"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0"/>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27"/>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27"/>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and the obligations of the Guarantors under the indenture with respect to the senior debt securities of any series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40" w:hanging="446"/>
        <w:spacing w:after="0" w:line="294" w:lineRule="auto"/>
        <w:tabs>
          <w:tab w:leader="none" w:pos="14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60" w:hanging="325"/>
        <w:spacing w:after="0" w:line="370"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4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$0.78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As of December 31, 2012,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2012,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June 30, 2013, if Mr. Roberts were to convert the Class B common stock he beneficially owns into Class A common stock, Mr. Roberts would beneficially own 13,993,718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hereby, or issuable upon conversion, exchange or exercise of securities offered hereby, will, when issued, be,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that the Class A common stock and Class A Special common stock are exempt from existing Pennsylvania personal property tax.</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consolidated financial statements of Comcast Corporation and subsidiaries, incorporated herein by reference from Comcast Corporation’s Current Report on Form 8-K filed with the SEC on September 18, 2013, the related financial statement schedule incorporated in this prospectus by reference from Comcast Corporation’s Annual Report on Form 10-K for the year ended December 31, 2012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 Universal, Inc. and its subsidiaries (predecessor) and NBCUniversal Media, LLC and its subsidiaries (successor) for the period from January 1, 2011 to January 28, 2011 (predecessor period) and for the period from January 29, 2011 to December 31, 2011 and for the year ended December 31, 2012 (successor period), incorporated in this prospectus by reference from NBCUniversal Media, LLC’s Annual Report on Form 10-K for the year ended December 31, 2012 have been audited by Deloitte &amp; Touche LLP, an independent registered public accounting firm, as stated in their reports (which report on the consolidated financial statements expresses an unqualified opinion and includes an explanatory paragraph referring to General Electric Company’s transaction with Comcast Corporation on January 28, 2011),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8"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consolidated financial statements and financial statement schedule of NBC Universal, Inc. and its consolidated subsidiaries for the year ended December 31, 2010 (predecessor), appearing in the 2012 Annual Report on Form 10-K of NBCUniversal Media, LLC incorporated in this prospectus by reference from NBCUniversal Media, LLC’s Annual Report on Form 10-K for the year ended December 31, 2012, have been audited by KPMG LLP, an independent registered public accounting firm, as stated in their report, which is incorporated herein by reference. Such consolidated financial statements and consolidated financial statement schedule have been so incorporated in reliance upon the report of KPMG LLP as experts in accounting and auditing.</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Comcast and NBCUniversal file annual, quarterly and special reports and other information with the SEC. Comcast Cable, Comcast Cable Holdings, Comcast MO Group and Comcast MO of Delaware do not currently file information with the SEC. Although the Guarantors other than NBCUniversal would normally be required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 xml:space="preserve">file information with the SEC on an ongoing basis, we expect that these Guarantors will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and NBCUniversal file with them, which means that we and NBCUniversal can disclose important information to you by referring you directly to those documents. The information incorporated by reference is considered to be part of this prospectus. In addition, information we or NBCUniversal files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2012, filed on February 21, 2013.</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Comcast’s Quarterly Report on Form 10-Q for the quarterly period ended March 31, 2013, filed on May 1, 2013 and for the quarterly period ended June 30, 2013, filed on July 31, 2013.</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Comcast’s Current Reports on Form 8-K filed on January 9, 2013, February 12, 2013 (except to the extent information is furnished pursuant to Item 7.01), March 19, 2013, March 27, 2013, May 16, 2013, July 24, 2013, August 16, 2013 and September 18, 2013.</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2013 annual meeting of shareholders incorporated by reference in Comcast’s Annual Report on Form 10-K for the year ended December 31, 2012.</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NBCUniversal’s Annual Report on Form 10-K for the year ended December 31, 2012, filed on February 21, 2013.</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NBCUniversal’s Quarterly Report on Form 10-Q for the quarterly period ended March 31, 2013, filed on May 1, 2013 and for the quarterly period ended June 30, 2013, filed on July 31, 2013.</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NBCUniversal’s Current Reports on Form 8-K dated February 12, 2013 (except to the extent information is furnished pursuant to Item 7.01), March 19, 2013 and March 27, 2013.</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906145</wp:posOffset>
            </wp:positionV>
            <wp:extent cx="1397635" cy="488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$1,200,000,000 3.60% Notes due 2024</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$1,000,000,000 4.75%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1424940</wp:posOffset>
            </wp:positionV>
            <wp:extent cx="1517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300" w:type="dxa"/>
        <w:tblCellMar>
          <w:top w:w="0" w:type="dxa"/>
          <w:left w:w="0" w:type="dxa"/>
          <w:bottom w:w="0" w:type="dxa"/>
          <w:right w:w="0" w:type="dxa"/>
        </w:tblCellMar>
      </w:tblPr>
      <w:tr>
        <w:trPr>
          <w:trHeight w:val="275"/>
        </w:trPr>
        <w:tc>
          <w:tcPr>
            <w:tcW w:w="2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820" w:type="dxa"/>
            <w:vAlign w:val="bottom"/>
            <w:gridSpan w:val="4"/>
          </w:tcPr>
          <w:p>
            <w:pPr>
              <w:ind w:left="140"/>
              <w:spacing w:after="0"/>
              <w:rPr>
                <w:sz w:val="20"/>
                <w:szCs w:val="20"/>
                <w:color w:val="auto"/>
              </w:rPr>
            </w:pPr>
            <w:r>
              <w:rPr>
                <w:rFonts w:ascii="Arial" w:cs="Arial" w:eastAsia="Arial" w:hAnsi="Arial"/>
                <w:sz w:val="22"/>
                <w:szCs w:val="22"/>
                <w:i w:val="1"/>
                <w:iCs w:val="1"/>
                <w:color w:val="auto"/>
              </w:rPr>
              <w:t>Joint Book-Running Managers</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1"/>
        </w:trPr>
        <w:tc>
          <w:tcPr>
            <w:tcW w:w="2120" w:type="dxa"/>
            <w:vAlign w:val="bottom"/>
          </w:tcPr>
          <w:p>
            <w:pPr>
              <w:spacing w:after="0"/>
              <w:rPr>
                <w:sz w:val="20"/>
                <w:szCs w:val="20"/>
                <w:color w:val="auto"/>
              </w:rPr>
            </w:pPr>
            <w:r>
              <w:rPr>
                <w:rFonts w:ascii="Arial" w:cs="Arial" w:eastAsia="Arial" w:hAnsi="Arial"/>
                <w:sz w:val="24"/>
                <w:szCs w:val="24"/>
                <w:b w:val="1"/>
                <w:bCs w:val="1"/>
                <w:color w:val="auto"/>
              </w:rPr>
              <w:t>BNP PARIBAS</w:t>
            </w:r>
          </w:p>
        </w:tc>
        <w:tc>
          <w:tcPr>
            <w:tcW w:w="2340" w:type="dxa"/>
            <w:vAlign w:val="bottom"/>
            <w:gridSpan w:val="3"/>
          </w:tcPr>
          <w:p>
            <w:pPr>
              <w:ind w:left="280"/>
              <w:spacing w:after="0"/>
              <w:rPr>
                <w:sz w:val="20"/>
                <w:szCs w:val="20"/>
                <w:color w:val="auto"/>
              </w:rPr>
            </w:pPr>
            <w:r>
              <w:rPr>
                <w:rFonts w:ascii="Arial" w:cs="Arial" w:eastAsia="Arial" w:hAnsi="Arial"/>
                <w:sz w:val="24"/>
                <w:szCs w:val="24"/>
                <w:b w:val="1"/>
                <w:bCs w:val="1"/>
                <w:color w:val="auto"/>
                <w:w w:val="95"/>
              </w:rPr>
              <w:t>BofA Merrill Lynch</w:t>
            </w:r>
          </w:p>
        </w:tc>
        <w:tc>
          <w:tcPr>
            <w:tcW w:w="3300" w:type="dxa"/>
            <w:vAlign w:val="bottom"/>
            <w:gridSpan w:val="2"/>
          </w:tcPr>
          <w:p>
            <w:pPr>
              <w:ind w:left="960"/>
              <w:spacing w:after="0"/>
              <w:rPr>
                <w:sz w:val="20"/>
                <w:szCs w:val="20"/>
                <w:color w:val="auto"/>
              </w:rPr>
            </w:pPr>
            <w:r>
              <w:rPr>
                <w:rFonts w:ascii="Arial" w:cs="Arial" w:eastAsia="Arial" w:hAnsi="Arial"/>
                <w:sz w:val="24"/>
                <w:szCs w:val="24"/>
                <w:b w:val="1"/>
                <w:bCs w:val="1"/>
                <w:color w:val="auto"/>
                <w:w w:val="98"/>
              </w:rPr>
              <w:t>RBC Capital Markets</w:t>
            </w:r>
          </w:p>
        </w:tc>
        <w:tc>
          <w:tcPr>
            <w:tcW w:w="3100" w:type="dxa"/>
            <w:vAlign w:val="bottom"/>
          </w:tcPr>
          <w:p>
            <w:pPr>
              <w:ind w:left="780"/>
              <w:spacing w:after="0"/>
              <w:rPr>
                <w:sz w:val="20"/>
                <w:szCs w:val="20"/>
                <w:color w:val="auto"/>
              </w:rPr>
            </w:pPr>
            <w:r>
              <w:rPr>
                <w:rFonts w:ascii="Arial" w:cs="Arial" w:eastAsia="Arial" w:hAnsi="Arial"/>
                <w:sz w:val="24"/>
                <w:szCs w:val="24"/>
                <w:b w:val="1"/>
                <w:bCs w:val="1"/>
                <w:color w:val="auto"/>
                <w:w w:val="89"/>
              </w:rPr>
              <w:t>Wells Fargo Securities</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2120" w:type="dxa"/>
            <w:vAlign w:val="bottom"/>
          </w:tcPr>
          <w:p>
            <w:pPr>
              <w:jc w:val="center"/>
              <w:ind w:left="624"/>
              <w:spacing w:after="0"/>
              <w:rPr>
                <w:sz w:val="20"/>
                <w:szCs w:val="20"/>
                <w:color w:val="auto"/>
              </w:rPr>
            </w:pPr>
            <w:r>
              <w:rPr>
                <w:rFonts w:ascii="Arial" w:cs="Arial" w:eastAsia="Arial" w:hAnsi="Arial"/>
                <w:sz w:val="22"/>
                <w:szCs w:val="22"/>
                <w:b w:val="1"/>
                <w:bCs w:val="1"/>
                <w:color w:val="auto"/>
                <w:w w:val="87"/>
              </w:rPr>
              <w:t>Barclays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2"/>
          </w:tcPr>
          <w:p>
            <w:pPr>
              <w:jc w:val="center"/>
              <w:ind w:right="1160"/>
              <w:spacing w:after="0"/>
              <w:rPr>
                <w:sz w:val="20"/>
                <w:szCs w:val="20"/>
                <w:color w:val="auto"/>
              </w:rPr>
            </w:pPr>
            <w:r>
              <w:rPr>
                <w:rFonts w:ascii="Arial" w:cs="Arial" w:eastAsia="Arial" w:hAnsi="Arial"/>
                <w:sz w:val="22"/>
                <w:szCs w:val="22"/>
                <w:b w:val="1"/>
                <w:bCs w:val="1"/>
                <w:color w:val="auto"/>
                <w:w w:val="86"/>
              </w:rPr>
              <w:t>Credit Suisse</w:t>
            </w:r>
          </w:p>
        </w:tc>
        <w:tc>
          <w:tcPr>
            <w:tcW w:w="3100" w:type="dxa"/>
            <w:vAlign w:val="bottom"/>
          </w:tcPr>
          <w:p>
            <w:pPr>
              <w:jc w:val="center"/>
              <w:ind w:left="301"/>
              <w:spacing w:after="0"/>
              <w:rPr>
                <w:sz w:val="20"/>
                <w:szCs w:val="20"/>
                <w:color w:val="auto"/>
              </w:rPr>
            </w:pPr>
            <w:r>
              <w:rPr>
                <w:rFonts w:ascii="Arial" w:cs="Arial" w:eastAsia="Arial" w:hAnsi="Arial"/>
                <w:sz w:val="22"/>
                <w:szCs w:val="22"/>
                <w:b w:val="1"/>
                <w:bCs w:val="1"/>
                <w:color w:val="auto"/>
                <w:w w:val="86"/>
              </w:rPr>
              <w:t>Deutsche Bank Securities</w:t>
            </w:r>
          </w:p>
        </w:tc>
        <w:tc>
          <w:tcPr>
            <w:tcW w:w="0" w:type="dxa"/>
            <w:vAlign w:val="bottom"/>
          </w:tcPr>
          <w:p>
            <w:pPr>
              <w:spacing w:after="0"/>
              <w:rPr>
                <w:sz w:val="1"/>
                <w:szCs w:val="1"/>
                <w:color w:val="auto"/>
              </w:rPr>
            </w:pPr>
          </w:p>
        </w:tc>
      </w:tr>
      <w:tr>
        <w:trPr>
          <w:trHeight w:val="243"/>
        </w:trPr>
        <w:tc>
          <w:tcPr>
            <w:tcW w:w="3940" w:type="dxa"/>
            <w:vAlign w:val="bottom"/>
            <w:gridSpan w:val="2"/>
          </w:tcPr>
          <w:p>
            <w:pPr>
              <w:jc w:val="center"/>
              <w:ind w:right="995"/>
              <w:spacing w:after="0" w:line="243" w:lineRule="exact"/>
              <w:rPr>
                <w:sz w:val="20"/>
                <w:szCs w:val="20"/>
                <w:color w:val="auto"/>
              </w:rPr>
            </w:pPr>
            <w:r>
              <w:rPr>
                <w:rFonts w:ascii="Arial" w:cs="Arial" w:eastAsia="Arial" w:hAnsi="Arial"/>
                <w:sz w:val="22"/>
                <w:szCs w:val="22"/>
                <w:b w:val="1"/>
                <w:bCs w:val="1"/>
                <w:color w:val="auto"/>
                <w:w w:val="89"/>
              </w:rPr>
              <w:t>Goldman, Sachs &amp; Co.</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00" w:type="dxa"/>
            <w:vAlign w:val="bottom"/>
            <w:gridSpan w:val="2"/>
          </w:tcPr>
          <w:p>
            <w:pPr>
              <w:jc w:val="center"/>
              <w:ind w:right="1160"/>
              <w:spacing w:after="0" w:line="243" w:lineRule="exact"/>
              <w:rPr>
                <w:sz w:val="20"/>
                <w:szCs w:val="20"/>
                <w:color w:val="auto"/>
              </w:rPr>
            </w:pPr>
            <w:r>
              <w:rPr>
                <w:rFonts w:ascii="Arial" w:cs="Arial" w:eastAsia="Arial" w:hAnsi="Arial"/>
                <w:sz w:val="22"/>
                <w:szCs w:val="22"/>
                <w:b w:val="1"/>
                <w:bCs w:val="1"/>
                <w:color w:val="auto"/>
                <w:w w:val="91"/>
              </w:rPr>
              <w:t>J.P. Morgan</w:t>
            </w:r>
          </w:p>
        </w:tc>
        <w:tc>
          <w:tcPr>
            <w:tcW w:w="3100" w:type="dxa"/>
            <w:vAlign w:val="bottom"/>
          </w:tcPr>
          <w:p>
            <w:pPr>
              <w:jc w:val="center"/>
              <w:ind w:left="321"/>
              <w:spacing w:after="0" w:line="243" w:lineRule="exact"/>
              <w:rPr>
                <w:sz w:val="20"/>
                <w:szCs w:val="20"/>
                <w:color w:val="auto"/>
              </w:rPr>
            </w:pPr>
            <w:r>
              <w:rPr>
                <w:rFonts w:ascii="Arial" w:cs="Arial" w:eastAsia="Arial" w:hAnsi="Arial"/>
                <w:sz w:val="22"/>
                <w:szCs w:val="22"/>
                <w:b w:val="1"/>
                <w:bCs w:val="1"/>
                <w:color w:val="auto"/>
                <w:w w:val="85"/>
              </w:rPr>
              <w:t>Lloyds Securities</w:t>
            </w:r>
          </w:p>
        </w:tc>
        <w:tc>
          <w:tcPr>
            <w:tcW w:w="0" w:type="dxa"/>
            <w:vAlign w:val="bottom"/>
          </w:tcPr>
          <w:p>
            <w:pPr>
              <w:spacing w:after="0"/>
              <w:rPr>
                <w:sz w:val="1"/>
                <w:szCs w:val="1"/>
                <w:color w:val="auto"/>
              </w:rPr>
            </w:pPr>
          </w:p>
        </w:tc>
      </w:tr>
      <w:tr>
        <w:trPr>
          <w:trHeight w:val="243"/>
        </w:trPr>
        <w:tc>
          <w:tcPr>
            <w:tcW w:w="3940" w:type="dxa"/>
            <w:vAlign w:val="bottom"/>
            <w:gridSpan w:val="2"/>
          </w:tcPr>
          <w:p>
            <w:pPr>
              <w:jc w:val="center"/>
              <w:ind w:right="995"/>
              <w:spacing w:after="0" w:line="243" w:lineRule="exact"/>
              <w:rPr>
                <w:sz w:val="20"/>
                <w:szCs w:val="20"/>
                <w:color w:val="auto"/>
              </w:rPr>
            </w:pPr>
            <w:r>
              <w:rPr>
                <w:rFonts w:ascii="Arial" w:cs="Arial" w:eastAsia="Arial" w:hAnsi="Arial"/>
                <w:sz w:val="22"/>
                <w:szCs w:val="22"/>
                <w:b w:val="1"/>
                <w:bCs w:val="1"/>
                <w:color w:val="auto"/>
                <w:w w:val="89"/>
              </w:rPr>
              <w:t>Mitsubishi UFJ Securities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00" w:type="dxa"/>
            <w:vAlign w:val="bottom"/>
            <w:gridSpan w:val="2"/>
          </w:tcPr>
          <w:p>
            <w:pPr>
              <w:jc w:val="center"/>
              <w:ind w:right="1160"/>
              <w:spacing w:after="0" w:line="243" w:lineRule="exact"/>
              <w:rPr>
                <w:sz w:val="20"/>
                <w:szCs w:val="20"/>
                <w:color w:val="auto"/>
              </w:rPr>
            </w:pPr>
            <w:r>
              <w:rPr>
                <w:rFonts w:ascii="Arial" w:cs="Arial" w:eastAsia="Arial" w:hAnsi="Arial"/>
                <w:sz w:val="22"/>
                <w:szCs w:val="22"/>
                <w:b w:val="1"/>
                <w:bCs w:val="1"/>
                <w:color w:val="auto"/>
                <w:w w:val="88"/>
              </w:rPr>
              <w:t>Mizuho Securities</w:t>
            </w:r>
          </w:p>
        </w:tc>
        <w:tc>
          <w:tcPr>
            <w:tcW w:w="3100" w:type="dxa"/>
            <w:vAlign w:val="bottom"/>
          </w:tcPr>
          <w:p>
            <w:pPr>
              <w:jc w:val="center"/>
              <w:ind w:left="301"/>
              <w:spacing w:after="0" w:line="243" w:lineRule="exact"/>
              <w:rPr>
                <w:sz w:val="20"/>
                <w:szCs w:val="20"/>
                <w:color w:val="auto"/>
              </w:rPr>
            </w:pPr>
            <w:r>
              <w:rPr>
                <w:rFonts w:ascii="Arial" w:cs="Arial" w:eastAsia="Arial" w:hAnsi="Arial"/>
                <w:sz w:val="22"/>
                <w:szCs w:val="22"/>
                <w:b w:val="1"/>
                <w:bCs w:val="1"/>
                <w:color w:val="auto"/>
                <w:w w:val="90"/>
              </w:rPr>
              <w:t>RBS</w:t>
            </w:r>
          </w:p>
        </w:tc>
        <w:tc>
          <w:tcPr>
            <w:tcW w:w="0" w:type="dxa"/>
            <w:vAlign w:val="bottom"/>
          </w:tcPr>
          <w:p>
            <w:pPr>
              <w:spacing w:after="0"/>
              <w:rPr>
                <w:sz w:val="1"/>
                <w:szCs w:val="1"/>
                <w:color w:val="auto"/>
              </w:rPr>
            </w:pPr>
          </w:p>
        </w:tc>
      </w:tr>
      <w:tr>
        <w:trPr>
          <w:trHeight w:val="281"/>
        </w:trPr>
        <w:tc>
          <w:tcPr>
            <w:tcW w:w="2120" w:type="dxa"/>
            <w:vAlign w:val="bottom"/>
          </w:tcPr>
          <w:p>
            <w:pPr>
              <w:jc w:val="center"/>
              <w:ind w:left="624"/>
              <w:spacing w:after="0"/>
              <w:rPr>
                <w:sz w:val="20"/>
                <w:szCs w:val="20"/>
                <w:color w:val="auto"/>
              </w:rPr>
            </w:pPr>
            <w:r>
              <w:rPr>
                <w:rFonts w:ascii="Arial" w:cs="Arial" w:eastAsia="Arial" w:hAnsi="Arial"/>
                <w:sz w:val="22"/>
                <w:szCs w:val="22"/>
                <w:b w:val="1"/>
                <w:bCs w:val="1"/>
                <w:color w:val="auto"/>
                <w:w w:val="94"/>
              </w:rPr>
              <w:t>SMBC Nikko</w:t>
            </w:r>
          </w:p>
        </w:tc>
        <w:tc>
          <w:tcPr>
            <w:tcW w:w="1820" w:type="dxa"/>
            <w:vAlign w:val="bottom"/>
          </w:tcPr>
          <w:p>
            <w:pPr>
              <w:spacing w:after="0"/>
              <w:rPr>
                <w:sz w:val="24"/>
                <w:szCs w:val="24"/>
                <w:color w:val="auto"/>
              </w:rPr>
            </w:pPr>
          </w:p>
        </w:tc>
        <w:tc>
          <w:tcPr>
            <w:tcW w:w="3820" w:type="dxa"/>
            <w:vAlign w:val="bottom"/>
            <w:gridSpan w:val="4"/>
          </w:tcPr>
          <w:p>
            <w:pPr>
              <w:jc w:val="center"/>
              <w:ind w:right="640"/>
              <w:spacing w:after="0"/>
              <w:rPr>
                <w:sz w:val="20"/>
                <w:szCs w:val="20"/>
                <w:color w:val="auto"/>
              </w:rPr>
            </w:pPr>
            <w:r>
              <w:rPr>
                <w:rFonts w:ascii="Arial" w:cs="Arial" w:eastAsia="Arial" w:hAnsi="Arial"/>
                <w:sz w:val="22"/>
                <w:szCs w:val="22"/>
                <w:b w:val="1"/>
                <w:bCs w:val="1"/>
                <w:color w:val="auto"/>
                <w:w w:val="89"/>
              </w:rPr>
              <w:t>SunTrust Robinson Humphrey</w:t>
            </w:r>
          </w:p>
        </w:tc>
        <w:tc>
          <w:tcPr>
            <w:tcW w:w="3100" w:type="dxa"/>
            <w:vAlign w:val="bottom"/>
          </w:tcPr>
          <w:p>
            <w:pPr>
              <w:jc w:val="center"/>
              <w:ind w:left="321"/>
              <w:spacing w:after="0"/>
              <w:rPr>
                <w:sz w:val="20"/>
                <w:szCs w:val="20"/>
                <w:color w:val="auto"/>
              </w:rPr>
            </w:pPr>
            <w:r>
              <w:rPr>
                <w:rFonts w:ascii="Arial" w:cs="Arial" w:eastAsia="Arial" w:hAnsi="Arial"/>
                <w:sz w:val="22"/>
                <w:szCs w:val="22"/>
                <w:b w:val="1"/>
                <w:bCs w:val="1"/>
                <w:color w:val="auto"/>
                <w:w w:val="89"/>
              </w:rPr>
              <w:t>UBS Investment Bank</w:t>
            </w: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1820" w:type="dxa"/>
            <w:vAlign w:val="bottom"/>
          </w:tcPr>
          <w:p>
            <w:pPr>
              <w:jc w:val="center"/>
              <w:ind w:right="935"/>
              <w:spacing w:after="0"/>
              <w:rPr>
                <w:sz w:val="20"/>
                <w:szCs w:val="20"/>
                <w:color w:val="auto"/>
              </w:rPr>
            </w:pPr>
            <w:r>
              <w:rPr>
                <w:rFonts w:ascii="Arial" w:cs="Arial" w:eastAsia="Arial" w:hAnsi="Arial"/>
                <w:sz w:val="18"/>
                <w:szCs w:val="18"/>
                <w:b w:val="1"/>
                <w:bCs w:val="1"/>
                <w:color w:val="auto"/>
                <w:w w:val="88"/>
              </w:rPr>
              <w:t>Santander</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00" w:type="dxa"/>
            <w:vAlign w:val="bottom"/>
          </w:tcPr>
          <w:p>
            <w:pPr>
              <w:jc w:val="center"/>
              <w:ind w:right="1981"/>
              <w:spacing w:after="0"/>
              <w:rPr>
                <w:sz w:val="20"/>
                <w:szCs w:val="20"/>
                <w:color w:val="auto"/>
              </w:rPr>
            </w:pPr>
            <w:r>
              <w:rPr>
                <w:rFonts w:ascii="Arial" w:cs="Arial" w:eastAsia="Arial" w:hAnsi="Arial"/>
                <w:sz w:val="18"/>
                <w:szCs w:val="18"/>
                <w:b w:val="1"/>
                <w:bCs w:val="1"/>
                <w:color w:val="auto"/>
                <w:w w:val="87"/>
              </w:rPr>
              <w:t>US Bancorp</w:t>
            </w:r>
          </w:p>
        </w:tc>
        <w:tc>
          <w:tcPr>
            <w:tcW w:w="0" w:type="dxa"/>
            <w:vAlign w:val="bottom"/>
          </w:tcPr>
          <w:p>
            <w:pPr>
              <w:spacing w:after="0"/>
              <w:rPr>
                <w:sz w:val="1"/>
                <w:szCs w:val="1"/>
                <w:color w:val="auto"/>
              </w:rPr>
            </w:pPr>
          </w:p>
        </w:tc>
      </w:tr>
      <w:tr>
        <w:trPr>
          <w:trHeight w:val="378"/>
        </w:trPr>
        <w:tc>
          <w:tcPr>
            <w:tcW w:w="2120" w:type="dxa"/>
            <w:vAlign w:val="bottom"/>
          </w:tcPr>
          <w:p>
            <w:pPr>
              <w:jc w:val="center"/>
              <w:ind w:left="964"/>
              <w:spacing w:after="0"/>
              <w:rPr>
                <w:sz w:val="20"/>
                <w:szCs w:val="20"/>
                <w:color w:val="auto"/>
              </w:rPr>
            </w:pPr>
            <w:r>
              <w:rPr>
                <w:rFonts w:ascii="Arial" w:cs="Arial" w:eastAsia="Arial" w:hAnsi="Arial"/>
                <w:sz w:val="18"/>
                <w:szCs w:val="18"/>
                <w:b w:val="1"/>
                <w:bCs w:val="1"/>
                <w:color w:val="auto"/>
                <w:w w:val="94"/>
              </w:rPr>
              <w:t>DNB Markets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4"/>
              </w:rPr>
              <w:t>PNC Capital Markets LLC</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8"/>
              </w:rPr>
              <w:t>TD Securities</w:t>
            </w:r>
          </w:p>
        </w:tc>
        <w:tc>
          <w:tcPr>
            <w:tcW w:w="0" w:type="dxa"/>
            <w:vAlign w:val="bottom"/>
          </w:tcPr>
          <w:p>
            <w:pPr>
              <w:spacing w:after="0"/>
              <w:rPr>
                <w:sz w:val="1"/>
                <w:szCs w:val="1"/>
                <w:color w:val="auto"/>
              </w:rPr>
            </w:pPr>
          </w:p>
        </w:tc>
      </w:tr>
      <w:tr>
        <w:trPr>
          <w:trHeight w:val="164"/>
        </w:trPr>
        <w:tc>
          <w:tcPr>
            <w:tcW w:w="3940" w:type="dxa"/>
            <w:vAlign w:val="bottom"/>
            <w:gridSpan w:val="2"/>
            <w:vMerge w:val="restart"/>
          </w:tcPr>
          <w:p>
            <w:pPr>
              <w:jc w:val="center"/>
              <w:ind w:left="1004"/>
              <w:spacing w:after="0"/>
              <w:rPr>
                <w:sz w:val="20"/>
                <w:szCs w:val="20"/>
                <w:color w:val="auto"/>
              </w:rPr>
            </w:pPr>
            <w:r>
              <w:rPr>
                <w:rFonts w:ascii="Arial" w:cs="Arial" w:eastAsia="Arial" w:hAnsi="Arial"/>
                <w:sz w:val="18"/>
                <w:szCs w:val="18"/>
                <w:b w:val="1"/>
                <w:bCs w:val="1"/>
                <w:color w:val="auto"/>
                <w:w w:val="90"/>
              </w:rPr>
              <w:t>The Williams Capital Group, L.P.</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3100" w:type="dxa"/>
            <w:vAlign w:val="bottom"/>
            <w:vMerge w:val="restart"/>
          </w:tcPr>
          <w:p>
            <w:pPr>
              <w:jc w:val="center"/>
              <w:ind w:right="1961"/>
              <w:spacing w:after="0"/>
              <w:rPr>
                <w:sz w:val="20"/>
                <w:szCs w:val="20"/>
                <w:color w:val="auto"/>
              </w:rPr>
            </w:pPr>
            <w:r>
              <w:rPr>
                <w:rFonts w:ascii="Arial" w:cs="Arial" w:eastAsia="Arial" w:hAnsi="Arial"/>
                <w:sz w:val="18"/>
                <w:szCs w:val="18"/>
                <w:b w:val="1"/>
                <w:bCs w:val="1"/>
                <w:color w:val="auto"/>
                <w:w w:val="86"/>
              </w:rPr>
              <w:t>Jefferies</w:t>
            </w:r>
          </w:p>
        </w:tc>
        <w:tc>
          <w:tcPr>
            <w:tcW w:w="0" w:type="dxa"/>
            <w:vAlign w:val="bottom"/>
          </w:tcPr>
          <w:p>
            <w:pPr>
              <w:spacing w:after="0"/>
              <w:rPr>
                <w:sz w:val="1"/>
                <w:szCs w:val="1"/>
                <w:color w:val="auto"/>
              </w:rPr>
            </w:pPr>
          </w:p>
        </w:tc>
      </w:tr>
      <w:tr>
        <w:trPr>
          <w:trHeight w:val="316"/>
        </w:trPr>
        <w:tc>
          <w:tcPr>
            <w:tcW w:w="3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120" w:type="dxa"/>
            <w:vAlign w:val="bottom"/>
          </w:tcPr>
          <w:p>
            <w:pPr>
              <w:jc w:val="center"/>
              <w:ind w:left="984"/>
              <w:spacing w:after="0"/>
              <w:rPr>
                <w:sz w:val="20"/>
                <w:szCs w:val="20"/>
                <w:color w:val="auto"/>
              </w:rPr>
            </w:pPr>
            <w:r>
              <w:rPr>
                <w:rFonts w:ascii="Arial" w:cs="Arial" w:eastAsia="Arial" w:hAnsi="Arial"/>
                <w:sz w:val="14"/>
                <w:szCs w:val="14"/>
                <w:b w:val="1"/>
                <w:bCs w:val="1"/>
                <w:color w:val="auto"/>
                <w:w w:val="90"/>
              </w:rPr>
              <w:t>Drexel Hamilton</w:t>
            </w: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Lebenthal Capital Markets</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2"/>
              </w:rPr>
              <w:t>Loop Capital Markets</w:t>
            </w:r>
          </w:p>
        </w:tc>
        <w:tc>
          <w:tcPr>
            <w:tcW w:w="0" w:type="dxa"/>
            <w:vAlign w:val="bottom"/>
          </w:tcPr>
          <w:p>
            <w:pPr>
              <w:spacing w:after="0"/>
              <w:rPr>
                <w:sz w:val="1"/>
                <w:szCs w:val="1"/>
                <w:color w:val="auto"/>
              </w:rPr>
            </w:pPr>
          </w:p>
        </w:tc>
      </w:tr>
      <w:tr>
        <w:trPr>
          <w:trHeight w:val="174"/>
        </w:trPr>
        <w:tc>
          <w:tcPr>
            <w:tcW w:w="3940" w:type="dxa"/>
            <w:vAlign w:val="bottom"/>
            <w:gridSpan w:val="2"/>
          </w:tcPr>
          <w:p>
            <w:pPr>
              <w:jc w:val="center"/>
              <w:ind w:right="655"/>
              <w:spacing w:after="0"/>
              <w:rPr>
                <w:sz w:val="20"/>
                <w:szCs w:val="20"/>
                <w:color w:val="auto"/>
              </w:rPr>
            </w:pPr>
            <w:r>
              <w:rPr>
                <w:rFonts w:ascii="Arial" w:cs="Arial" w:eastAsia="Arial" w:hAnsi="Arial"/>
                <w:sz w:val="14"/>
                <w:szCs w:val="14"/>
                <w:b w:val="1"/>
                <w:bCs w:val="1"/>
                <w:color w:val="auto"/>
                <w:w w:val="88"/>
              </w:rPr>
              <w:t>MFR Securities, Inc.</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0"/>
              </w:rPr>
              <w:t>Mischler Financial Group, Inc.</w:t>
            </w:r>
          </w:p>
        </w:tc>
        <w:tc>
          <w:tcPr>
            <w:tcW w:w="3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Ramirez &amp; Co., Inc.</w:t>
            </w:r>
          </w:p>
        </w:tc>
        <w:tc>
          <w:tcPr>
            <w:tcW w:w="0" w:type="dxa"/>
            <w:vAlign w:val="bottom"/>
          </w:tcPr>
          <w:p>
            <w:pPr>
              <w:spacing w:after="0"/>
              <w:rPr>
                <w:sz w:val="1"/>
                <w:szCs w:val="1"/>
                <w:color w:val="auto"/>
              </w:rPr>
            </w:pPr>
          </w:p>
        </w:tc>
      </w:tr>
      <w:tr>
        <w:trPr>
          <w:trHeight w:val="94"/>
        </w:trPr>
        <w:tc>
          <w:tcPr>
            <w:tcW w:w="2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February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160"/>
      </w:cols>
      <w:pgMar w:left="240" w:top="45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215"/>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lowerLetter"/>
      <w:start w:val="3"/>
    </w:lvl>
  </w:abstractNum>
  <w:abstractNum w:abstractNumId="6">
    <w:nsid w:val="B03E0C6"/>
    <w:multiLevelType w:val="hybridMultilevel"/>
    <w:lvl w:ilvl="0">
      <w:lvlJc w:val="left"/>
      <w:lvlText w:val="•"/>
      <w:numFmt w:val="bullet"/>
      <w:start w:val="1"/>
    </w:lvl>
    <w:lvl w:ilvl="1">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upperLetter"/>
      <w:start w:val="1"/>
    </w:lvl>
  </w:abstractNum>
  <w:abstractNum w:abstractNumId="13">
    <w:nsid w:val="3A95F874"/>
    <w:multiLevelType w:val="hybridMultilevel"/>
    <w:lvl w:ilvl="0">
      <w:lvlJc w:val="left"/>
      <w:lvlText w:val="(%1)"/>
      <w:numFmt w:val="lowerRoman"/>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Letter"/>
      <w:start w:val="3"/>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3"/>
    </w:lvl>
  </w:abstractNum>
  <w:abstractNum w:abstractNumId="26">
    <w:nsid w:val="5072367"/>
    <w:multiLevelType w:val="hybridMultilevel"/>
    <w:lvl w:ilvl="0">
      <w:lvlJc w:val="left"/>
      <w:lvlText w:val="%1"/>
      <w:numFmt w:val="lowerLetter"/>
      <w:start w:val="1"/>
    </w:lvl>
    <w:lvl w:ilvl="1">
      <w:lvlJc w:val="left"/>
      <w:lvlText w:val="(%2)"/>
      <w:numFmt w:val="lowerLetter"/>
      <w:start w:val="13"/>
    </w:lvl>
  </w:abstractNum>
  <w:abstractNum w:abstractNumId="27">
    <w:nsid w:val="3804823E"/>
    <w:multiLevelType w:val="hybridMultilevel"/>
    <w:lvl w:ilvl="0">
      <w:lvlJc w:val="left"/>
      <w:lvlText w:val="(%1)"/>
      <w:numFmt w:val="lowerLetter"/>
      <w:start w:val="61"/>
    </w:lvl>
    <w:lvl w:ilvl="1">
      <w:lvlJc w:val="left"/>
      <w:lvlText w:val="(%2)"/>
      <w:numFmt w:val="lowerLetter"/>
      <w:start w:val="19"/>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
      <w:numFmt w:val="bullet"/>
      <w:start w:val="1"/>
    </w:lvl>
    <w:lvl w:ilvl="1">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lvl w:ilvl="1">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2019-12-07T02:46:28Z</dcterms:created>
  <dcterms:modified xsi:type="dcterms:W3CDTF">2019-12-07T02:46:28Z</dcterms:modified>
</cp:coreProperties>
</file>