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July 3, 2023</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26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27-0000798</w:t>
      </w:r>
    </w:p>
    <w:p>
      <w:pPr>
        <w:spacing w:after="0" w:line="31" w:lineRule="exact"/>
        <w:rPr>
          <w:sz w:val="24"/>
          <w:szCs w:val="24"/>
          <w:color w:val="auto"/>
        </w:rPr>
      </w:pPr>
    </w:p>
    <w:p>
      <w:pPr>
        <w:sectPr>
          <w:pgSz w:w="11900" w:h="16838" w:orient="portrait"/>
          <w:cols w:equalWidth="0" w:num="2">
            <w:col w:w="7180" w:space="720"/>
            <w:col w:w="3060"/>
          </w:cols>
          <w:pgMar w:left="440" w:top="229" w:right="499" w:bottom="144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180"/>
          </w:cols>
          <w:pgMar w:left="440" w:top="229" w:right="499" w:bottom="1440"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Philadelphia, PA 19103-2838</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(Address of Principal Executive Offices) (Zip Code)</w:t>
      </w:r>
    </w:p>
    <w:p>
      <w:pPr>
        <w:sectPr>
          <w:pgSz w:w="11900" w:h="16838" w:orient="portrait"/>
          <w:cols w:equalWidth="0" w:num="1">
            <w:col w:w="10960"/>
          </w:cols>
          <w:pgMar w:left="440" w:top="229" w:right="499" w:bottom="1440" w:gutter="0" w:footer="0" w:header="0"/>
          <w:type w:val="continuous"/>
        </w:sectPr>
      </w:pP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COMCAST CORPORATION 2023 OMNIBUS EQUITY INCENTIVE PLAN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Thomas J. Reid,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Philadelphia, PA 19103-2838</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(215) 286-1700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ind w:right="2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PART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documents containing the information specified in Part I of Form S-8 will be sent or given to participants in the Comcast Corporation 2023 Omnibus Equity Incentive Plan (the “Plan”) of Comcast Corporation (the “Registrant”) as specified by Rule 428(b)(1) promulgated by the Securities and Exchange Commission (the “Commission”) under the Securities Act of 1933, as amended (the “Securities Act”). In accordance with Rule 428 and the introductory note to Part I of Form S-8, such documents are not being filed with the Commission, but constitute, along with the documents incorporated by reference into this Registration Statement on Form S-8 (the “Registration Statement”) pursuant to Item 3 of Part II hereof, a prospectus that meets the requirements of Section 10(a) of the Securities Act.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documents filed with the Commission by the Registrant are hereby incorporated by reference into this Registration Statement (other than portions of the documents that are “furnished” rather than filed with the Commission):</w:t>
      </w:r>
    </w:p>
    <w:p>
      <w:pPr>
        <w:spacing w:after="0" w:line="76" w:lineRule="exact"/>
        <w:rPr>
          <w:sz w:val="20"/>
          <w:szCs w:val="20"/>
          <w:color w:val="auto"/>
        </w:rPr>
      </w:pPr>
    </w:p>
    <w:p>
      <w:pPr>
        <w:ind w:left="980" w:hanging="433"/>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filed with the Commission on February 3, 2023 (“Form 10-K”);</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the Registrant’s Quarterly Report on </w:t>
      </w:r>
      <w:hyperlink r:id="rId18">
        <w:r>
          <w:rPr>
            <w:rFonts w:ascii="Arial" w:cs="Arial" w:eastAsia="Arial" w:hAnsi="Arial"/>
            <w:sz w:val="16"/>
            <w:szCs w:val="16"/>
            <w:u w:val="single" w:color="auto"/>
            <w:color w:val="0000EE"/>
          </w:rPr>
          <w:t>Form 10-Q</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quarter ended March 31, 2023 filed with the Commission on April 27, 2023;</w:t>
      </w:r>
    </w:p>
    <w:p>
      <w:pPr>
        <w:spacing w:after="0" w:line="153" w:lineRule="exact"/>
        <w:rPr>
          <w:rFonts w:ascii="Arial" w:cs="Arial" w:eastAsia="Arial" w:hAnsi="Arial"/>
          <w:sz w:val="16"/>
          <w:szCs w:val="16"/>
          <w:color w:val="auto"/>
        </w:rPr>
      </w:pPr>
    </w:p>
    <w:p>
      <w:pPr>
        <w:ind w:left="980" w:hanging="433"/>
        <w:spacing w:after="0"/>
        <w:tabs>
          <w:tab w:leader="none" w:pos="980" w:val="left"/>
        </w:tabs>
        <w:numPr>
          <w:ilvl w:val="0"/>
          <w:numId w:val="1"/>
        </w:numPr>
        <w:rPr>
          <w:rFonts w:ascii="Arial" w:cs="Arial" w:eastAsia="Arial" w:hAnsi="Arial"/>
          <w:sz w:val="17"/>
          <w:szCs w:val="17"/>
          <w:color w:val="auto"/>
        </w:rPr>
      </w:pPr>
      <w:hyperlink r:id="rId19">
        <w:r>
          <w:rPr>
            <w:rFonts w:ascii="Arial" w:cs="Arial" w:eastAsia="Arial" w:hAnsi="Arial"/>
            <w:sz w:val="17"/>
            <w:szCs w:val="17"/>
            <w:color w:val="auto"/>
          </w:rPr>
          <w:t xml:space="preserve">the Registrant’s Current Reports on Form 8-K filed with the Commission on </w:t>
        </w:r>
        <w:r>
          <w:rPr>
            <w:rFonts w:ascii="Arial" w:cs="Arial" w:eastAsia="Arial" w:hAnsi="Arial"/>
            <w:sz w:val="17"/>
            <w:szCs w:val="17"/>
            <w:u w:val="single" w:color="auto"/>
            <w:color w:val="0000EE"/>
          </w:rPr>
          <w:t>January 6, 2023</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9, 2023</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 15, 2023</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April</w:t>
        </w:r>
      </w:hyperlink>
    </w:p>
    <w:p>
      <w:pPr>
        <w:spacing w:after="0" w:line="35" w:lineRule="exact"/>
        <w:rPr>
          <w:rFonts w:ascii="Arial" w:cs="Arial" w:eastAsia="Arial" w:hAnsi="Arial"/>
          <w:sz w:val="16"/>
          <w:szCs w:val="16"/>
          <w:color w:val="auto"/>
        </w:rPr>
      </w:pPr>
    </w:p>
    <w:p>
      <w:pPr>
        <w:ind w:left="980"/>
        <w:spacing w:after="0"/>
        <w:rPr>
          <w:rFonts w:ascii="Arial" w:cs="Arial" w:eastAsia="Arial" w:hAnsi="Arial"/>
          <w:sz w:val="18"/>
          <w:szCs w:val="18"/>
          <w:color w:val="0000EE"/>
        </w:rPr>
      </w:pPr>
      <w:hyperlink r:id="rId19">
        <w:r>
          <w:rPr>
            <w:rFonts w:ascii="Arial" w:cs="Arial" w:eastAsia="Arial" w:hAnsi="Arial"/>
            <w:sz w:val="18"/>
            <w:szCs w:val="18"/>
            <w:u w:val="single" w:color="auto"/>
            <w:color w:val="0000EE"/>
          </w:rPr>
          <w:t>21, 2023</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0">
        <w:r>
          <w:rPr>
            <w:rFonts w:ascii="Arial" w:cs="Arial" w:eastAsia="Arial" w:hAnsi="Arial"/>
            <w:sz w:val="18"/>
            <w:szCs w:val="18"/>
            <w:u w:val="single" w:color="auto"/>
            <w:color w:val="0000EE"/>
          </w:rPr>
          <w:t>April 24, 2023</w:t>
        </w:r>
      </w:hyperlink>
      <w:hyperlink r:id="rId1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1">
        <w:r>
          <w:rPr>
            <w:rFonts w:ascii="Arial" w:cs="Arial" w:eastAsia="Arial" w:hAnsi="Arial"/>
            <w:sz w:val="18"/>
            <w:szCs w:val="18"/>
            <w:u w:val="single" w:color="auto"/>
            <w:color w:val="0000EE"/>
          </w:rPr>
          <w:t>May 1, 2023</w:t>
        </w:r>
      </w:hyperlink>
      <w:hyperlink r:id="rId1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2">
        <w:r>
          <w:rPr>
            <w:rFonts w:ascii="Arial" w:cs="Arial" w:eastAsia="Arial" w:hAnsi="Arial"/>
            <w:sz w:val="18"/>
            <w:szCs w:val="18"/>
            <w:u w:val="single" w:color="auto"/>
            <w:color w:val="0000EE"/>
          </w:rPr>
          <w:t>May 8, 2023</w:t>
        </w:r>
      </w:hyperlink>
      <w:hyperlink r:id="rId1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3">
        <w:r>
          <w:rPr>
            <w:rFonts w:ascii="Arial" w:cs="Arial" w:eastAsia="Arial" w:hAnsi="Arial"/>
            <w:sz w:val="18"/>
            <w:szCs w:val="18"/>
            <w:u w:val="single" w:color="auto"/>
            <w:color w:val="0000EE"/>
          </w:rPr>
          <w:t xml:space="preserve">May 9, 2023 </w:t>
        </w:r>
      </w:hyperlink>
      <w:hyperlink r:id="rId19">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4">
        <w:r>
          <w:rPr>
            <w:rFonts w:ascii="Arial" w:cs="Arial" w:eastAsia="Arial" w:hAnsi="Arial"/>
            <w:sz w:val="18"/>
            <w:szCs w:val="18"/>
            <w:u w:val="single" w:color="auto"/>
            <w:color w:val="0000EE"/>
          </w:rPr>
          <w:t>June 9, 2023</w:t>
        </w:r>
      </w:hyperlink>
      <w:hyperlink r:id="rId19">
        <w:r>
          <w:rPr>
            <w:rFonts w:ascii="Arial" w:cs="Arial" w:eastAsia="Arial" w:hAnsi="Arial"/>
            <w:sz w:val="18"/>
            <w:szCs w:val="18"/>
            <w:color w:val="000000"/>
          </w:rPr>
          <w:t>;</w:t>
        </w:r>
      </w:hyperlink>
    </w:p>
    <w:p>
      <w:pPr>
        <w:spacing w:after="0" w:line="116" w:lineRule="exact"/>
        <w:rPr>
          <w:rFonts w:ascii="Arial" w:cs="Arial" w:eastAsia="Arial" w:hAnsi="Arial"/>
          <w:sz w:val="18"/>
          <w:szCs w:val="18"/>
          <w:color w:val="0000EE"/>
        </w:rPr>
      </w:pPr>
    </w:p>
    <w:p>
      <w:pPr>
        <w:ind w:left="980" w:right="200" w:hanging="4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sections of the Registrant’s </w:t>
      </w:r>
      <w:hyperlink r:id="rId25">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for the 2023 Annual Meeting of Shareholders filed with the Commission on April 28, 2023 and incorporated by reference into the Registrant’s Form 10-K; and</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Class A common stock contained in </w:t>
      </w:r>
      <w:hyperlink r:id="rId26">
        <w:r>
          <w:rPr>
            <w:rFonts w:ascii="Arial" w:cs="Arial" w:eastAsia="Arial" w:hAnsi="Arial"/>
            <w:sz w:val="18"/>
            <w:szCs w:val="18"/>
            <w:u w:val="single" w:color="auto"/>
            <w:color w:val="0000EE"/>
          </w:rPr>
          <w:t>Exhibit 4.15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Registrant’s Form 10-K.</w:t>
      </w:r>
    </w:p>
    <w:p>
      <w:pPr>
        <w:spacing w:after="0" w:line="225" w:lineRule="exact"/>
        <w:rPr>
          <w:rFonts w:ascii="Arial" w:cs="Arial" w:eastAsia="Arial" w:hAnsi="Arial"/>
          <w:sz w:val="18"/>
          <w:szCs w:val="18"/>
          <w:color w:val="auto"/>
        </w:rPr>
      </w:pPr>
    </w:p>
    <w:p>
      <w:pPr>
        <w:ind w:right="20"/>
        <w:spacing w:after="0" w:line="291" w:lineRule="auto"/>
        <w:rPr>
          <w:sz w:val="20"/>
          <w:szCs w:val="20"/>
          <w:color w:val="auto"/>
        </w:rPr>
      </w:pPr>
      <w:r>
        <w:rPr>
          <w:rFonts w:ascii="Arial" w:cs="Arial" w:eastAsia="Arial" w:hAnsi="Arial"/>
          <w:sz w:val="16"/>
          <w:szCs w:val="16"/>
          <w:color w:val="auto"/>
        </w:rPr>
        <w:t>All documents filed by the Registrant with the Commission pursuant to Sections 13(a), 13(c), 14 and 15(d) (other than the documents, or portions thereof, that are “furnished” rather than filed with the Commission) of the Securities Exchange Act of 1934, as amended (the “Exchange Act”),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 Any statements contained in a previously filed document incorporated by reference into this Registration Statement is deemed to be modified or superseded for purposes of this Registration Statement to the extent that a statement contained in this Registration Statement, or in a subsequently filed document also incorporated by reference herein, modifies or supersedes that statement.</w:t>
      </w:r>
    </w:p>
    <w:p>
      <w:pPr>
        <w:spacing w:after="0" w:line="311" w:lineRule="exact"/>
        <w:rPr>
          <w:rFonts w:ascii="Arial" w:cs="Arial" w:eastAsia="Arial" w:hAnsi="Arial"/>
          <w:sz w:val="18"/>
          <w:szCs w:val="18"/>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0"/>
          </w:cols>
          <w:pgMar w:left="440" w:top="486" w:right="45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9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or she is not entitled to be indemnified by the corporation. Except as otherwise provided in the corporation’s bylaws, advancement of expenses must be authorized by the board of directors.</w:t>
      </w:r>
    </w:p>
    <w:p>
      <w:pPr>
        <w:spacing w:after="0" w:line="18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ectPr>
          <w:pgSz w:w="11900" w:h="16838" w:orient="portrait"/>
          <w:cols w:equalWidth="0" w:num="1">
            <w:col w:w="11020"/>
          </w:cols>
          <w:pgMar w:left="440" w:top="486" w:right="439" w:bottom="1440" w:gutter="0" w:footer="0" w:header="0"/>
        </w:sectPr>
      </w:pPr>
    </w:p>
    <w:bookmarkStart w:id="3" w:name="page4"/>
    <w:bookmarkEnd w:id="3"/>
    <w:p>
      <w:pPr>
        <w:jc w:val="both"/>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pacing w:after="0" w:line="16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Article Eleventh of the Registrant’s charter provides that no person who is or was a director of the Registrant will be personally liable, as such, for monetary damages (other than under criminal statutes and under laws imposing such liability on directors for the payment of taxes) unless such person’s conduct constitutes self-dealing, willful misconduct or recklessness. Article Twelfth of the Registrant’s charter extends such protection to any person who is or was an officer of the Registrant.</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Article 7 of the Registrant’s bylaws provides that each officer and director of the Registrant will be indemnified and held harmless by the Registrant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the Registrant), whether civil, criminal, administrative or investigative, including any appeal therefrom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the Registrant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the Registrant of an undertaking, by or on behalf of the director or officer, to repay all advanced amounts without interest if it is ultimately determined that the director or officer is not entitled to be so indemnified.</w:t>
      </w:r>
    </w:p>
    <w:p>
      <w:pPr>
        <w:spacing w:after="0" w:line="1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Article 7 of the Registrant’s bylaws also provides that the Registrant may purchase and maintain insurance, at its expense, for the benefit of any person on behalf of whom insurance is permitted to be purchased by Pennsylvania law against any expense, liability or loss, whether or not the Registrant would have the power to indemnify such person under Pennsylvania or any other law. The Registrant may also purchase and maintain insurance to insure its indemnification obligations.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addition, the Registrant has entered into indemnification agreements with all of its directors, to indemnify the directors to the fullest extent permitted by applicable law. The Registrant also maintains directors and officers insurance to insure such persons against certain liabilities.</w:t>
      </w:r>
    </w:p>
    <w:p>
      <w:pPr>
        <w:spacing w:after="0" w:line="1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foregoing statements are subject to the detailed provisions of the PBCL and to the applicable provisions of the Registrant’s charter, bylaws and indemnification agreements.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60"/>
          </w:cols>
          <w:pgMar w:left="440" w:top="490" w:right="49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50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285"/>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24"/>
                <w:szCs w:val="24"/>
                <w:color w:val="auto"/>
              </w:rPr>
            </w:pPr>
          </w:p>
        </w:tc>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840" w:type="dxa"/>
            <w:vAlign w:val="bottom"/>
          </w:tcPr>
          <w:p>
            <w:pPr>
              <w:jc w:val="right"/>
              <w:ind w:right="354"/>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3"/>
                <w:szCs w:val="23"/>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0000EE"/>
              </w:rPr>
              <w:t>Opinion of Blank Rome LLP (regarding validity)</w:t>
            </w:r>
          </w:p>
        </w:tc>
      </w:tr>
      <w:tr>
        <w:trPr>
          <w:trHeight w:val="304"/>
        </w:trPr>
        <w:tc>
          <w:tcPr>
            <w:tcW w:w="840" w:type="dxa"/>
            <w:vAlign w:val="bottom"/>
          </w:tcPr>
          <w:p>
            <w:pPr>
              <w:jc w:val="right"/>
              <w:ind w:right="354"/>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25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2"/>
              </w:rPr>
              <w:t>Consent of Deloitte &amp; Touche LLP</w:t>
            </w:r>
          </w:p>
        </w:tc>
        <w:tc>
          <w:tcPr>
            <w:tcW w:w="10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r>
      <w:tr>
        <w:trPr>
          <w:trHeight w:val="304"/>
        </w:trPr>
        <w:tc>
          <w:tcPr>
            <w:tcW w:w="840" w:type="dxa"/>
            <w:vAlign w:val="bottom"/>
          </w:tcPr>
          <w:p>
            <w:pPr>
              <w:jc w:val="right"/>
              <w:ind w:right="354"/>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4"/>
                <w:szCs w:val="24"/>
                <w:color w:val="auto"/>
              </w:rPr>
            </w:pPr>
          </w:p>
        </w:tc>
        <w:tc>
          <w:tcPr>
            <w:tcW w:w="40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Consent of Blank Rome LLP (contained in Exhibit 5.1)</w:t>
            </w: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ind w:left="1344" w:hanging="1254"/>
        <w:spacing w:after="0"/>
        <w:tabs>
          <w:tab w:leader="none" w:pos="134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Power of Attorney (contained in the signature pages hereto)</w:t>
      </w:r>
    </w:p>
    <w:p>
      <w:pPr>
        <w:spacing w:after="0" w:line="117" w:lineRule="exact"/>
        <w:rPr>
          <w:sz w:val="20"/>
          <w:szCs w:val="20"/>
          <w:color w:val="auto"/>
        </w:rPr>
      </w:pPr>
    </w:p>
    <w:p>
      <w:pPr>
        <w:ind w:left="1344" w:right="160" w:hanging="1254"/>
        <w:spacing w:after="0" w:line="277" w:lineRule="auto"/>
        <w:tabs>
          <w:tab w:leader="none" w:pos="1344" w:val="left"/>
        </w:tabs>
        <w:numPr>
          <w:ilvl w:val="0"/>
          <w:numId w:val="4"/>
        </w:numPr>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Comcast Corporation 2023 Omnibus Equity Incentive Plan, effective June 7, 2023 (incorporated by reference to Exhibit 10.1 to the</w:t>
        </w:r>
      </w:hyperlink>
      <w:r>
        <w:rPr>
          <w:rFonts w:ascii="Arial" w:cs="Arial" w:eastAsia="Arial" w:hAnsi="Arial"/>
          <w:sz w:val="18"/>
          <w:szCs w:val="18"/>
          <w:u w:val="single" w:color="auto"/>
          <w:color w:val="0000EE"/>
        </w:rPr>
        <w:t xml:space="preserve"> </w:t>
      </w:r>
      <w:hyperlink r:id="rId30">
        <w:r>
          <w:rPr>
            <w:rFonts w:ascii="Arial" w:cs="Arial" w:eastAsia="Arial" w:hAnsi="Arial"/>
            <w:sz w:val="18"/>
            <w:szCs w:val="18"/>
            <w:u w:val="single" w:color="auto"/>
            <w:color w:val="0000EE"/>
          </w:rPr>
          <w:t>Registrant’s Current Report on Form 8-K filed on June 9, 2023)</w:t>
        </w:r>
      </w:hyperlink>
    </w:p>
    <w:p>
      <w:pPr>
        <w:spacing w:after="0" w:line="62" w:lineRule="exact"/>
        <w:rPr>
          <w:rFonts w:ascii="Arial" w:cs="Arial" w:eastAsia="Arial" w:hAnsi="Arial"/>
          <w:sz w:val="18"/>
          <w:szCs w:val="18"/>
          <w:color w:val="auto"/>
        </w:rPr>
      </w:pPr>
    </w:p>
    <w:p>
      <w:pPr>
        <w:ind w:left="1344" w:hanging="1344"/>
        <w:spacing w:after="0"/>
        <w:tabs>
          <w:tab w:leader="none" w:pos="134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370" w:lineRule="exact"/>
        <w:rPr>
          <w:rFonts w:ascii="Arial" w:cs="Arial" w:eastAsia="Arial" w:hAnsi="Arial"/>
          <w:sz w:val="18"/>
          <w:szCs w:val="18"/>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35" w:lineRule="exact"/>
        <w:rPr>
          <w:rFonts w:ascii="Arial" w:cs="Arial" w:eastAsia="Arial" w:hAnsi="Arial"/>
          <w:sz w:val="18"/>
          <w:szCs w:val="18"/>
          <w:color w:val="auto"/>
        </w:rPr>
      </w:pPr>
    </w:p>
    <w:p>
      <w:pPr>
        <w:ind w:left="984" w:hanging="544"/>
        <w:spacing w:after="0"/>
        <w:tabs>
          <w:tab w:leader="none" w:pos="9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424" w:hanging="433"/>
        <w:spacing w:after="0"/>
        <w:tabs>
          <w:tab w:leader="none" w:pos="1424" w:val="left"/>
        </w:tabs>
        <w:numPr>
          <w:ilvl w:val="1"/>
          <w:numId w:val="6"/>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1984" w:hanging="552"/>
        <w:spacing w:after="0"/>
        <w:tabs>
          <w:tab w:leader="none" w:pos="1984"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984" w:hanging="552"/>
        <w:spacing w:after="0" w:line="254" w:lineRule="auto"/>
        <w:tabs>
          <w:tab w:leader="none" w:pos="1984"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97" w:lineRule="exact"/>
        <w:rPr>
          <w:rFonts w:ascii="Arial" w:cs="Arial" w:eastAsia="Arial" w:hAnsi="Arial"/>
          <w:sz w:val="18"/>
          <w:szCs w:val="18"/>
          <w:color w:val="auto"/>
        </w:rPr>
      </w:pPr>
    </w:p>
    <w:p>
      <w:pPr>
        <w:ind w:left="1984" w:right="460" w:hanging="552"/>
        <w:spacing w:after="0" w:line="277" w:lineRule="auto"/>
        <w:tabs>
          <w:tab w:leader="none" w:pos="1984"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rFonts w:ascii="Arial" w:cs="Arial" w:eastAsia="Arial" w:hAnsi="Arial"/>
          <w:sz w:val="18"/>
          <w:szCs w:val="18"/>
          <w:color w:val="auto"/>
        </w:rPr>
      </w:pPr>
    </w:p>
    <w:p>
      <w:pPr>
        <w:jc w:val="both"/>
        <w:ind w:left="444" w:right="20"/>
        <w:spacing w:after="0" w:line="31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(a)(1)(i) and (a)(1)(ii) do not apply if the registration statement is on Form S-8, and the information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54" w:lineRule="exact"/>
        <w:rPr>
          <w:rFonts w:ascii="Arial" w:cs="Arial" w:eastAsia="Arial" w:hAnsi="Arial"/>
          <w:sz w:val="18"/>
          <w:szCs w:val="18"/>
          <w:color w:val="auto"/>
        </w:rPr>
      </w:pPr>
    </w:p>
    <w:p>
      <w:pPr>
        <w:ind w:left="1424" w:right="180" w:hanging="433"/>
        <w:spacing w:after="0" w:line="255" w:lineRule="auto"/>
        <w:tabs>
          <w:tab w:leader="none" w:pos="142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 w:lineRule="exact"/>
        <w:rPr>
          <w:rFonts w:ascii="Arial" w:cs="Arial" w:eastAsia="Arial" w:hAnsi="Arial"/>
          <w:sz w:val="18"/>
          <w:szCs w:val="18"/>
          <w:color w:val="auto"/>
        </w:rPr>
      </w:pPr>
    </w:p>
    <w:p>
      <w:pPr>
        <w:ind w:left="1424" w:right="160" w:hanging="433"/>
        <w:spacing w:after="0" w:line="260" w:lineRule="auto"/>
        <w:tabs>
          <w:tab w:leader="none" w:pos="1424"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90" w:lineRule="exact"/>
        <w:rPr>
          <w:rFonts w:ascii="Arial" w:cs="Arial" w:eastAsia="Arial" w:hAnsi="Arial"/>
          <w:sz w:val="18"/>
          <w:szCs w:val="18"/>
          <w:color w:val="auto"/>
        </w:rPr>
      </w:pPr>
    </w:p>
    <w:p>
      <w:pPr>
        <w:ind w:left="984" w:right="40" w:hanging="544"/>
        <w:spacing w:after="0" w:line="257" w:lineRule="auto"/>
        <w:tabs>
          <w:tab w:leader="none" w:pos="98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984" w:right="120" w:hanging="544"/>
        <w:spacing w:after="0" w:line="259" w:lineRule="auto"/>
        <w:tabs>
          <w:tab w:leader="none" w:pos="98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w:t>
      </w:r>
    </w:p>
    <w:p>
      <w:pPr>
        <w:sectPr>
          <w:pgSz w:w="11900" w:h="16838" w:orient="portrait"/>
          <w:cols w:equalWidth="0" w:num="1">
            <w:col w:w="11004"/>
          </w:cols>
          <w:pgMar w:left="436" w:top="486" w:right="459" w:bottom="1440" w:gutter="0" w:footer="0" w:header="0"/>
        </w:sectPr>
      </w:pPr>
    </w:p>
    <w:bookmarkStart w:id="5" w:name="page6"/>
    <w:bookmarkEnd w:id="5"/>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9960"/>
          </w:cols>
          <w:pgMar w:left="1420" w:top="490" w:right="5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July 3, 2023.</w:t>
      </w:r>
    </w:p>
    <w:p>
      <w:pPr>
        <w:spacing w:after="0" w:line="20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Thomas J. Reid</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Chief Legal Officer and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hereby constitutes and appoints Brian L. Roberts, Michael J. Cavanagh, Jason S. Armstrong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900" w:type="dxa"/>
            <w:vAlign w:val="bottom"/>
          </w:tcPr>
          <w:p>
            <w:pPr>
              <w:jc w:val="center"/>
              <w:ind w:left="92"/>
              <w:spacing w:after="0"/>
              <w:rPr>
                <w:sz w:val="20"/>
                <w:szCs w:val="20"/>
                <w:color w:val="auto"/>
              </w:rPr>
            </w:pPr>
            <w:r>
              <w:rPr>
                <w:rFonts w:ascii="Arial" w:cs="Arial" w:eastAsia="Arial" w:hAnsi="Arial"/>
                <w:sz w:val="14"/>
                <w:szCs w:val="14"/>
                <w:b w:val="1"/>
                <w:bCs w:val="1"/>
                <w:color w:val="auto"/>
                <w:w w:val="97"/>
              </w:rPr>
              <w:t>Title</w:t>
            </w:r>
          </w:p>
        </w:tc>
        <w:tc>
          <w:tcPr>
            <w:tcW w:w="1500" w:type="dxa"/>
            <w:vAlign w:val="bottom"/>
          </w:tcPr>
          <w:p>
            <w:pPr>
              <w:jc w:val="center"/>
              <w:ind w:left="51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Brian L. Roberts</w:t>
            </w: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3"/>
              </w:rPr>
              <w:t>Chairman and Chief Executive Officer; Director</w:t>
            </w:r>
          </w:p>
        </w:tc>
        <w:tc>
          <w:tcPr>
            <w:tcW w:w="1500" w:type="dxa"/>
            <w:vAlign w:val="bottom"/>
          </w:tcPr>
          <w:p>
            <w:pPr>
              <w:jc w:val="center"/>
              <w:ind w:left="512"/>
              <w:spacing w:after="0"/>
              <w:rPr>
                <w:sz w:val="20"/>
                <w:szCs w:val="20"/>
                <w:color w:val="auto"/>
              </w:rPr>
            </w:pPr>
            <w:r>
              <w:rPr>
                <w:rFonts w:ascii="Arial" w:cs="Arial" w:eastAsia="Arial" w:hAnsi="Arial"/>
                <w:sz w:val="18"/>
                <w:szCs w:val="18"/>
                <w:color w:val="auto"/>
                <w:w w:val="92"/>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Brian L. Roberts</w:t>
            </w:r>
          </w:p>
        </w:tc>
        <w:tc>
          <w:tcPr>
            <w:tcW w:w="4900" w:type="dxa"/>
            <w:vAlign w:val="bottom"/>
          </w:tcPr>
          <w:p>
            <w:pPr>
              <w:jc w:val="center"/>
              <w:ind w:left="72"/>
              <w:spacing w:after="0"/>
              <w:rPr>
                <w:sz w:val="20"/>
                <w:szCs w:val="20"/>
                <w:color w:val="auto"/>
              </w:rPr>
            </w:pPr>
            <w:r>
              <w:rPr>
                <w:rFonts w:ascii="Arial" w:cs="Arial" w:eastAsia="Arial" w:hAnsi="Arial"/>
                <w:sz w:val="18"/>
                <w:szCs w:val="18"/>
                <w:color w:val="auto"/>
                <w:w w:val="94"/>
              </w:rPr>
              <w:t>(Principal Executive Officer)</w:t>
            </w:r>
          </w:p>
        </w:tc>
        <w:tc>
          <w:tcPr>
            <w:tcW w:w="15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Jason S. Armstrong</w:t>
            </w:r>
          </w:p>
        </w:tc>
        <w:tc>
          <w:tcPr>
            <w:tcW w:w="4900" w:type="dxa"/>
            <w:vAlign w:val="bottom"/>
          </w:tcPr>
          <w:p>
            <w:pPr>
              <w:jc w:val="center"/>
              <w:ind w:left="72"/>
              <w:spacing w:after="0"/>
              <w:rPr>
                <w:sz w:val="20"/>
                <w:szCs w:val="20"/>
                <w:color w:val="auto"/>
              </w:rPr>
            </w:pPr>
            <w:r>
              <w:rPr>
                <w:rFonts w:ascii="Arial" w:cs="Arial" w:eastAsia="Arial" w:hAnsi="Arial"/>
                <w:sz w:val="18"/>
                <w:szCs w:val="18"/>
                <w:color w:val="auto"/>
                <w:w w:val="91"/>
              </w:rPr>
              <w:t>Chief Financial Officer and Treasurer</w:t>
            </w:r>
          </w:p>
        </w:tc>
        <w:tc>
          <w:tcPr>
            <w:tcW w:w="1500" w:type="dxa"/>
            <w:vAlign w:val="bottom"/>
          </w:tcPr>
          <w:p>
            <w:pPr>
              <w:jc w:val="center"/>
              <w:ind w:left="512"/>
              <w:spacing w:after="0"/>
              <w:rPr>
                <w:sz w:val="20"/>
                <w:szCs w:val="20"/>
                <w:color w:val="auto"/>
              </w:rPr>
            </w:pPr>
            <w:r>
              <w:rPr>
                <w:rFonts w:ascii="Arial" w:cs="Arial" w:eastAsia="Arial" w:hAnsi="Arial"/>
                <w:sz w:val="18"/>
                <w:szCs w:val="18"/>
                <w:color w:val="auto"/>
                <w:w w:val="92"/>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Jason S. Armstrong</w:t>
            </w: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4"/>
              </w:rPr>
              <w:t>(Principal Financial Officer)</w:t>
            </w:r>
          </w:p>
        </w:tc>
        <w:tc>
          <w:tcPr>
            <w:tcW w:w="1500" w:type="dxa"/>
            <w:vAlign w:val="bottom"/>
          </w:tcPr>
          <w:p>
            <w:pPr>
              <w:spacing w:after="0"/>
              <w:rPr>
                <w:sz w:val="19"/>
                <w:szCs w:val="19"/>
                <w:color w:val="auto"/>
              </w:rPr>
            </w:pPr>
          </w:p>
        </w:tc>
      </w:tr>
      <w:tr>
        <w:trPr>
          <w:trHeight w:val="44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Daniel C. Murdock</w:t>
            </w: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1"/>
              </w:rPr>
              <w:t>Executive Vice President, Chief Accounting</w:t>
            </w:r>
          </w:p>
        </w:tc>
        <w:tc>
          <w:tcPr>
            <w:tcW w:w="1500" w:type="dxa"/>
            <w:vAlign w:val="bottom"/>
          </w:tcPr>
          <w:p>
            <w:pPr>
              <w:jc w:val="center"/>
              <w:ind w:left="512"/>
              <w:spacing w:after="0"/>
              <w:rPr>
                <w:sz w:val="20"/>
                <w:szCs w:val="20"/>
                <w:color w:val="auto"/>
              </w:rPr>
            </w:pPr>
            <w:r>
              <w:rPr>
                <w:rFonts w:ascii="Arial" w:cs="Arial" w:eastAsia="Arial" w:hAnsi="Arial"/>
                <w:sz w:val="18"/>
                <w:szCs w:val="18"/>
                <w:color w:val="auto"/>
                <w:w w:val="92"/>
              </w:rPr>
              <w:t>July 3, 2023</w:t>
            </w:r>
          </w:p>
        </w:tc>
      </w:tr>
      <w:tr>
        <w:trPr>
          <w:trHeight w:val="182"/>
        </w:trPr>
        <w:tc>
          <w:tcPr>
            <w:tcW w:w="4180" w:type="dxa"/>
            <w:vAlign w:val="bottom"/>
          </w:tcPr>
          <w:p>
            <w:pPr>
              <w:jc w:val="center"/>
              <w:spacing w:after="0" w:line="182" w:lineRule="exact"/>
              <w:rPr>
                <w:sz w:val="20"/>
                <w:szCs w:val="20"/>
                <w:color w:val="auto"/>
              </w:rPr>
            </w:pPr>
            <w:r>
              <w:rPr>
                <w:rFonts w:ascii="Arial" w:cs="Arial" w:eastAsia="Arial" w:hAnsi="Arial"/>
                <w:sz w:val="18"/>
                <w:szCs w:val="18"/>
                <w:color w:val="auto"/>
                <w:w w:val="93"/>
              </w:rPr>
              <w:t>Daniel C. Murdock</w:t>
            </w:r>
          </w:p>
        </w:tc>
        <w:tc>
          <w:tcPr>
            <w:tcW w:w="49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3"/>
              </w:rPr>
              <w:t>Officer and Controller</w:t>
            </w:r>
          </w:p>
        </w:tc>
        <w:tc>
          <w:tcPr>
            <w:tcW w:w="1500" w:type="dxa"/>
            <w:vAlign w:val="bottom"/>
          </w:tcPr>
          <w:p>
            <w:pPr>
              <w:spacing w:after="0"/>
              <w:rPr>
                <w:sz w:val="15"/>
                <w:szCs w:val="15"/>
                <w:color w:val="auto"/>
              </w:rPr>
            </w:pPr>
          </w:p>
        </w:tc>
      </w:tr>
      <w:tr>
        <w:trPr>
          <w:trHeight w:val="230"/>
        </w:trPr>
        <w:tc>
          <w:tcPr>
            <w:tcW w:w="4180" w:type="dxa"/>
            <w:vAlign w:val="bottom"/>
          </w:tcPr>
          <w:p>
            <w:pPr>
              <w:spacing w:after="0"/>
              <w:rPr>
                <w:sz w:val="20"/>
                <w:szCs w:val="20"/>
                <w:color w:val="auto"/>
              </w:rPr>
            </w:pP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4"/>
              </w:rPr>
              <w:t>(Principal Accounting Officer)</w:t>
            </w:r>
          </w:p>
        </w:tc>
        <w:tc>
          <w:tcPr>
            <w:tcW w:w="1500" w:type="dxa"/>
            <w:vAlign w:val="bottom"/>
          </w:tcPr>
          <w:p>
            <w:pPr>
              <w:spacing w:after="0"/>
              <w:rPr>
                <w:sz w:val="20"/>
                <w:szCs w:val="20"/>
                <w:color w:val="auto"/>
              </w:rPr>
            </w:pPr>
          </w:p>
        </w:tc>
      </w:tr>
      <w:tr>
        <w:trPr>
          <w:trHeight w:val="44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Kenneth J. Bacon</w:t>
            </w: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5"/>
              </w:rPr>
              <w:t>Director</w:t>
            </w:r>
          </w:p>
        </w:tc>
        <w:tc>
          <w:tcPr>
            <w:tcW w:w="1500" w:type="dxa"/>
            <w:vAlign w:val="bottom"/>
          </w:tcPr>
          <w:p>
            <w:pPr>
              <w:jc w:val="center"/>
              <w:ind w:left="512"/>
              <w:spacing w:after="0"/>
              <w:rPr>
                <w:sz w:val="20"/>
                <w:szCs w:val="20"/>
                <w:color w:val="auto"/>
              </w:rPr>
            </w:pPr>
            <w:r>
              <w:rPr>
                <w:rFonts w:ascii="Arial" w:cs="Arial" w:eastAsia="Arial" w:hAnsi="Arial"/>
                <w:sz w:val="18"/>
                <w:szCs w:val="18"/>
                <w:color w:val="auto"/>
                <w:w w:val="92"/>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Kenneth J. Bacon</w:t>
            </w:r>
          </w:p>
        </w:tc>
        <w:tc>
          <w:tcPr>
            <w:tcW w:w="49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Thomas J. Baltimore</w:t>
            </w: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5"/>
              </w:rPr>
              <w:t>Director</w:t>
            </w:r>
          </w:p>
        </w:tc>
        <w:tc>
          <w:tcPr>
            <w:tcW w:w="1500" w:type="dxa"/>
            <w:vAlign w:val="bottom"/>
          </w:tcPr>
          <w:p>
            <w:pPr>
              <w:jc w:val="center"/>
              <w:ind w:left="512"/>
              <w:spacing w:after="0"/>
              <w:rPr>
                <w:sz w:val="20"/>
                <w:szCs w:val="20"/>
                <w:color w:val="auto"/>
              </w:rPr>
            </w:pPr>
            <w:r>
              <w:rPr>
                <w:rFonts w:ascii="Arial" w:cs="Arial" w:eastAsia="Arial" w:hAnsi="Arial"/>
                <w:sz w:val="18"/>
                <w:szCs w:val="18"/>
                <w:color w:val="auto"/>
                <w:w w:val="92"/>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Thomas J. Baltimore</w:t>
            </w:r>
          </w:p>
        </w:tc>
        <w:tc>
          <w:tcPr>
            <w:tcW w:w="49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4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Madeline S. Bell</w:t>
            </w: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5"/>
              </w:rPr>
              <w:t>Director</w:t>
            </w:r>
          </w:p>
        </w:tc>
        <w:tc>
          <w:tcPr>
            <w:tcW w:w="1500" w:type="dxa"/>
            <w:vAlign w:val="bottom"/>
          </w:tcPr>
          <w:p>
            <w:pPr>
              <w:jc w:val="center"/>
              <w:ind w:left="512"/>
              <w:spacing w:after="0"/>
              <w:rPr>
                <w:sz w:val="20"/>
                <w:szCs w:val="20"/>
                <w:color w:val="auto"/>
              </w:rPr>
            </w:pPr>
            <w:r>
              <w:rPr>
                <w:rFonts w:ascii="Arial" w:cs="Arial" w:eastAsia="Arial" w:hAnsi="Arial"/>
                <w:sz w:val="18"/>
                <w:szCs w:val="18"/>
                <w:color w:val="auto"/>
                <w:w w:val="92"/>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Madeline S. Bell</w:t>
            </w:r>
          </w:p>
        </w:tc>
        <w:tc>
          <w:tcPr>
            <w:tcW w:w="49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Edward D. Breen</w:t>
            </w: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5"/>
              </w:rPr>
              <w:t>Director</w:t>
            </w:r>
          </w:p>
        </w:tc>
        <w:tc>
          <w:tcPr>
            <w:tcW w:w="1500" w:type="dxa"/>
            <w:vAlign w:val="bottom"/>
          </w:tcPr>
          <w:p>
            <w:pPr>
              <w:jc w:val="center"/>
              <w:ind w:left="512"/>
              <w:spacing w:after="0"/>
              <w:rPr>
                <w:sz w:val="20"/>
                <w:szCs w:val="20"/>
                <w:color w:val="auto"/>
              </w:rPr>
            </w:pPr>
            <w:r>
              <w:rPr>
                <w:rFonts w:ascii="Arial" w:cs="Arial" w:eastAsia="Arial" w:hAnsi="Arial"/>
                <w:sz w:val="18"/>
                <w:szCs w:val="18"/>
                <w:color w:val="auto"/>
                <w:w w:val="92"/>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Edward D. Breen</w:t>
            </w:r>
          </w:p>
        </w:tc>
        <w:tc>
          <w:tcPr>
            <w:tcW w:w="490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sectPr>
          <w:pgSz w:w="11900" w:h="16838" w:orient="portrait"/>
          <w:cols w:equalWidth="0" w:num="1">
            <w:col w:w="10980"/>
          </w:cols>
          <w:pgMar w:left="440" w:top="486" w:right="47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Gerald L. Hassell</w:t>
            </w:r>
          </w:p>
        </w:tc>
        <w:tc>
          <w:tcPr>
            <w:tcW w:w="418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20"/>
              <w:spacing w:after="0"/>
              <w:rPr>
                <w:sz w:val="20"/>
                <w:szCs w:val="20"/>
                <w:color w:val="auto"/>
              </w:rPr>
            </w:pPr>
            <w:r>
              <w:rPr>
                <w:rFonts w:ascii="Arial" w:cs="Arial" w:eastAsia="Arial" w:hAnsi="Arial"/>
                <w:sz w:val="18"/>
                <w:szCs w:val="18"/>
                <w:color w:val="auto"/>
                <w:w w:val="90"/>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Gerald L. Hassell</w:t>
            </w:r>
          </w:p>
        </w:tc>
        <w:tc>
          <w:tcPr>
            <w:tcW w:w="41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Jeffrey A. Honickman</w:t>
            </w:r>
          </w:p>
        </w:tc>
        <w:tc>
          <w:tcPr>
            <w:tcW w:w="418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20"/>
              <w:spacing w:after="0"/>
              <w:rPr>
                <w:sz w:val="20"/>
                <w:szCs w:val="20"/>
                <w:color w:val="auto"/>
              </w:rPr>
            </w:pPr>
            <w:r>
              <w:rPr>
                <w:rFonts w:ascii="Arial" w:cs="Arial" w:eastAsia="Arial" w:hAnsi="Arial"/>
                <w:sz w:val="18"/>
                <w:szCs w:val="18"/>
                <w:color w:val="auto"/>
                <w:w w:val="90"/>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Jeffrey A. Honickman</w:t>
            </w:r>
          </w:p>
        </w:tc>
        <w:tc>
          <w:tcPr>
            <w:tcW w:w="41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4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Maritza G. Montiel</w:t>
            </w:r>
          </w:p>
        </w:tc>
        <w:tc>
          <w:tcPr>
            <w:tcW w:w="418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20"/>
              <w:spacing w:after="0"/>
              <w:rPr>
                <w:sz w:val="20"/>
                <w:szCs w:val="20"/>
                <w:color w:val="auto"/>
              </w:rPr>
            </w:pPr>
            <w:r>
              <w:rPr>
                <w:rFonts w:ascii="Arial" w:cs="Arial" w:eastAsia="Arial" w:hAnsi="Arial"/>
                <w:sz w:val="18"/>
                <w:szCs w:val="18"/>
                <w:color w:val="auto"/>
                <w:w w:val="90"/>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Maritza G. Montiel</w:t>
            </w:r>
          </w:p>
        </w:tc>
        <w:tc>
          <w:tcPr>
            <w:tcW w:w="41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Asuka Nakahara</w:t>
            </w:r>
          </w:p>
        </w:tc>
        <w:tc>
          <w:tcPr>
            <w:tcW w:w="418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20"/>
              <w:spacing w:after="0"/>
              <w:rPr>
                <w:sz w:val="20"/>
                <w:szCs w:val="20"/>
                <w:color w:val="auto"/>
              </w:rPr>
            </w:pPr>
            <w:r>
              <w:rPr>
                <w:rFonts w:ascii="Arial" w:cs="Arial" w:eastAsia="Arial" w:hAnsi="Arial"/>
                <w:sz w:val="18"/>
                <w:szCs w:val="18"/>
                <w:color w:val="auto"/>
                <w:w w:val="90"/>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Asuka Nakahara</w:t>
            </w:r>
          </w:p>
        </w:tc>
        <w:tc>
          <w:tcPr>
            <w:tcW w:w="41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C. Novak</w:t>
            </w:r>
          </w:p>
        </w:tc>
        <w:tc>
          <w:tcPr>
            <w:tcW w:w="418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20"/>
              <w:spacing w:after="0"/>
              <w:rPr>
                <w:sz w:val="20"/>
                <w:szCs w:val="20"/>
                <w:color w:val="auto"/>
              </w:rPr>
            </w:pPr>
            <w:r>
              <w:rPr>
                <w:rFonts w:ascii="Arial" w:cs="Arial" w:eastAsia="Arial" w:hAnsi="Arial"/>
                <w:sz w:val="18"/>
                <w:szCs w:val="18"/>
                <w:color w:val="auto"/>
                <w:w w:val="90"/>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David C. Novak</w:t>
            </w:r>
          </w:p>
        </w:tc>
        <w:tc>
          <w:tcPr>
            <w:tcW w:w="418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sectPr>
          <w:pgSz w:w="11900" w:h="16838" w:orient="portrait"/>
          <w:cols w:equalWidth="0" w:num="1">
            <w:col w:w="10580"/>
          </w:cols>
          <w:pgMar w:left="440" w:top="490" w:right="8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8336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4833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One Logan Square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 North 18th Street | Philadelphia, PA 19103-6998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blankrome.com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Phone:</w:t>
            </w:r>
          </w:p>
        </w:tc>
        <w:tc>
          <w:tcPr>
            <w:tcW w:w="1880" w:type="dxa"/>
            <w:vAlign w:val="bottom"/>
          </w:tcPr>
          <w:p>
            <w:pPr>
              <w:jc w:val="right"/>
              <w:spacing w:after="0"/>
              <w:rPr>
                <w:sz w:val="20"/>
                <w:szCs w:val="20"/>
                <w:color w:val="auto"/>
              </w:rPr>
            </w:pPr>
            <w:r>
              <w:rPr>
                <w:rFonts w:ascii="Arial" w:cs="Arial" w:eastAsia="Arial" w:hAnsi="Arial"/>
                <w:sz w:val="18"/>
                <w:szCs w:val="18"/>
                <w:color w:val="auto"/>
              </w:rPr>
              <w:t>215-569-5500</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Fax:</w:t>
            </w:r>
          </w:p>
        </w:tc>
        <w:tc>
          <w:tcPr>
            <w:tcW w:w="1880" w:type="dxa"/>
            <w:vAlign w:val="bottom"/>
          </w:tcPr>
          <w:p>
            <w:pPr>
              <w:jc w:val="right"/>
              <w:spacing w:after="0"/>
              <w:rPr>
                <w:sz w:val="20"/>
                <w:szCs w:val="20"/>
                <w:color w:val="auto"/>
              </w:rPr>
            </w:pPr>
            <w:r>
              <w:rPr>
                <w:rFonts w:ascii="Arial" w:cs="Arial" w:eastAsia="Arial" w:hAnsi="Arial"/>
                <w:sz w:val="18"/>
                <w:szCs w:val="18"/>
                <w:color w:val="auto"/>
              </w:rPr>
              <w:t>215-569-5555</w:t>
            </w:r>
          </w:p>
        </w:tc>
      </w:tr>
    </w:tbl>
    <w:p>
      <w:pPr>
        <w:spacing w:after="0" w:line="202" w:lineRule="exact"/>
        <w:rPr>
          <w:sz w:val="20"/>
          <w:szCs w:val="20"/>
          <w:color w:val="auto"/>
        </w:rPr>
      </w:pPr>
    </w:p>
    <w:p>
      <w:pPr>
        <w:ind w:left="10120"/>
        <w:spacing w:after="0"/>
        <w:rPr>
          <w:sz w:val="20"/>
          <w:szCs w:val="20"/>
          <w:color w:val="auto"/>
        </w:rPr>
      </w:pPr>
      <w:r>
        <w:rPr>
          <w:rFonts w:ascii="Arial" w:cs="Arial" w:eastAsia="Arial" w:hAnsi="Arial"/>
          <w:sz w:val="16"/>
          <w:szCs w:val="16"/>
          <w:color w:val="auto"/>
        </w:rPr>
        <w:t>July 3,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We have acted as counsel to Comcast Corporation, a Pennsylvania corporation (the “Company”), in connection with the preparation of the Registration Statement on Form S-8 (the “Registration Statement”) to be filed by the Company with the Securities and Exchange Commission under the Securities Act of 1933, as amended (the “Act”), relating to the registration by the Company of 275,000,000 shares (the “Shares”) of Class A common stock, par value $0.01 per share (“Common Stock”), issuable pursuant to the Comcast Corporation 2023 Omnibus Equity Incentive Plan (the “Plan”). This opinion is furnished pursuant to the requirements of Item 601(b)(5) of Regulation S-K.</w:t>
      </w:r>
    </w:p>
    <w:p>
      <w:pPr>
        <w:spacing w:after="0" w:line="176"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Although as counsel to the Company we have advised the Company in connection with a variety of matters referred to us by it, our services are limited to specific matters so referred. Consequently, we do not have knowledge of many transactions in which the Company has engaged or its day-to-day operations.</w:t>
      </w:r>
    </w:p>
    <w:p>
      <w:pPr>
        <w:spacing w:after="0" w:line="184"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In rendering this opinion, we have examined the following documents: (i) a certificate from an assistant secretary of the Company (including all attachments thereto); (ii) the Registration Statement (including all exhibits thereto); (iii) the Plan; and (iv) such other documents as we deem relevant and necessary as a basis for the opinion hereinafter expressed. We have not made any independent investigation in rendering this opinion other than the document examination described. We have assumed and relied, as to questions of fact and mixed questions of law and fact, on the truth, completeness, authenticity and due authorization of all certificates, documents and records examined and the genuineness of all signatures.</w:t>
      </w:r>
    </w:p>
    <w:p>
      <w:pPr>
        <w:spacing w:after="0" w:line="16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In rendering this opinion, we have assumed that, at the time of issuance of any Shares, there shall be a sufficient number of duly authorized and unissued shares of the Company’s Common Stock to accommodate the issuance of the Shares.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opinion is limited to the Pennsylvania Business Corporation Law of 1988, as amended.</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when issued in accordance with the terms of the Plan, will be validly issued, fully paid and nonassessable.</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This opinion is given as of the date hereof. We assume no obligation to update or supplement this opinion to reflect any facts or circumstances which may hereafter come to our attention or any changes in laws which may hereafter occur.</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This opinion is strictly limited to the matters stated herein and no other or more extensive opinion is intended, implied or to be inferred beyond the matters expressly stated herein.</w:t>
      </w:r>
    </w:p>
    <w:p>
      <w:pPr>
        <w:sectPr>
          <w:pgSz w:w="11900" w:h="16838" w:orient="portrait"/>
          <w:cols w:equalWidth="0" w:num="1">
            <w:col w:w="11020"/>
          </w:cols>
          <w:pgMar w:left="440" w:top="121" w:right="439" w:bottom="1440" w:gutter="0" w:footer="0" w:header="0"/>
        </w:sectPr>
      </w:pPr>
    </w:p>
    <w:bookmarkStart w:id="9" w:name="page10"/>
    <w:bookmarkEnd w:id="9"/>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We consent to the filing of this opinion as an exhibit to the Registration Statement. In giving such consent, we do not thereby admit that we are included in the category of persons whose consent is required under Section 7 of the Act or the rules and regulations of the Securities and Exchange Commission.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Blank Rome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BLANK ROME LLP</w:t>
      </w:r>
    </w:p>
    <w:p>
      <w:pPr>
        <w:sectPr>
          <w:pgSz w:w="11900" w:h="16838" w:orient="portrait"/>
          <w:cols w:equalWidth="0" w:num="1">
            <w:col w:w="10720"/>
          </w:cols>
          <w:pgMar w:left="440" w:top="490" w:right="7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February 3, 2023, relating to the financial statements of Comcast Corporation and the effectiveness of Comcast Corporation’s internal control over financial reporting, appearing in the Annual Report on Form 10-K of Comcast Corporation for the year ended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 2023</w:t>
      </w:r>
    </w:p>
    <w:p>
      <w:pPr>
        <w:sectPr>
          <w:pgSz w:w="11900" w:h="16838" w:orient="portrait"/>
          <w:cols w:equalWidth="0" w:num="1">
            <w:col w:w="11020"/>
          </w:cols>
          <w:pgMar w:left="440" w:top="121"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ind w:left="5084"/>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ind w:left="5044"/>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Table 1: Newly Registered Securities</w:t>
      </w:r>
    </w:p>
    <w:p>
      <w:pPr>
        <w:spacing w:after="0" w:line="246"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980" w:type="dxa"/>
            <w:vAlign w:val="bottom"/>
            <w:tcBorders>
              <w:top w:val="single" w:sz="8" w:color="auto"/>
              <w:left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3"/>
              </w:rPr>
              <w:t>Proposed</w:t>
            </w:r>
          </w:p>
        </w:tc>
        <w:tc>
          <w:tcPr>
            <w:tcW w:w="162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spacing w:after="0"/>
              <w:rPr>
                <w:sz w:val="12"/>
                <w:szCs w:val="12"/>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9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Security</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8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9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40"/>
        </w:trPr>
        <w:tc>
          <w:tcPr>
            <w:tcW w:w="980" w:type="dxa"/>
            <w:vAlign w:val="bottom"/>
            <w:tcBorders>
              <w:left w:val="single" w:sz="8" w:color="auto"/>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0"/>
              </w:rPr>
              <w:t>Class</w:t>
            </w:r>
          </w:p>
        </w:tc>
        <w:tc>
          <w:tcPr>
            <w:tcW w:w="72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8"/>
              </w:rPr>
              <w:t>Calculation</w:t>
            </w:r>
          </w:p>
        </w:tc>
        <w:tc>
          <w:tcPr>
            <w:tcW w:w="80" w:type="dxa"/>
            <w:vAlign w:val="bottom"/>
          </w:tcPr>
          <w:p>
            <w:pPr>
              <w:spacing w:after="0"/>
              <w:rPr>
                <w:sz w:val="12"/>
                <w:szCs w:val="12"/>
                <w:color w:val="auto"/>
              </w:rPr>
            </w:pPr>
          </w:p>
        </w:tc>
        <w:tc>
          <w:tcPr>
            <w:tcW w:w="98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93"/>
              </w:rPr>
              <w:t>Amount</w:t>
            </w:r>
          </w:p>
        </w:tc>
        <w:tc>
          <w:tcPr>
            <w:tcW w:w="7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8"/>
              </w:rPr>
              <w:t>Price Per</w:t>
            </w:r>
          </w:p>
        </w:tc>
        <w:tc>
          <w:tcPr>
            <w:tcW w:w="162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90"/>
              </w:rPr>
              <w:t>Offering</w:t>
            </w:r>
          </w:p>
        </w:tc>
        <w:tc>
          <w:tcPr>
            <w:tcW w:w="96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0"/>
              </w:rPr>
              <w:t>Fee</w:t>
            </w:r>
          </w:p>
        </w:tc>
        <w:tc>
          <w:tcPr>
            <w:tcW w:w="12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6"/>
              </w:rPr>
              <w:t>Registration</w:t>
            </w:r>
          </w:p>
        </w:tc>
      </w:tr>
      <w:tr>
        <w:trPr>
          <w:trHeight w:val="189"/>
        </w:trPr>
        <w:tc>
          <w:tcPr>
            <w:tcW w:w="980" w:type="dxa"/>
            <w:vAlign w:val="bottom"/>
            <w:tcBorders>
              <w:left w:val="single" w:sz="8" w:color="auto"/>
              <w:bottom w:val="single" w:sz="8" w:color="auto"/>
              <w:right w:val="single" w:sz="8" w:color="auto"/>
            </w:tcBorders>
          </w:tcPr>
          <w:p>
            <w:pPr>
              <w:jc w:val="center"/>
              <w:ind w:left="4"/>
              <w:spacing w:after="0"/>
              <w:rPr>
                <w:sz w:val="20"/>
                <w:szCs w:val="20"/>
                <w:color w:val="auto"/>
              </w:rPr>
            </w:pPr>
            <w:r>
              <w:rPr>
                <w:rFonts w:ascii="Arial" w:cs="Arial" w:eastAsia="Arial" w:hAnsi="Arial"/>
                <w:sz w:val="13"/>
                <w:szCs w:val="13"/>
                <w:b w:val="1"/>
                <w:bCs w:val="1"/>
                <w:color w:val="auto"/>
                <w:w w:val="86"/>
              </w:rPr>
              <w:t>Security Type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Rule</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85"/>
              </w:rPr>
              <w:t>Registered</w:t>
            </w:r>
            <w:r>
              <w:rPr>
                <w:rFonts w:ascii="Arial" w:cs="Arial" w:eastAsia="Arial" w:hAnsi="Arial"/>
                <w:sz w:val="18"/>
                <w:szCs w:val="18"/>
                <w:b w:val="1"/>
                <w:bCs w:val="1"/>
                <w:color w:val="auto"/>
                <w:w w:val="85"/>
                <w:vertAlign w:val="superscript"/>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Unit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Fee</w:t>
            </w:r>
          </w:p>
        </w:tc>
      </w:tr>
      <w:tr>
        <w:trPr>
          <w:trHeight w:val="209"/>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Class A</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457(h)</w:t>
            </w:r>
          </w:p>
        </w:tc>
        <w:tc>
          <w:tcPr>
            <w:tcW w:w="80" w:type="dxa"/>
            <w:vAlign w:val="bottom"/>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275,000,000</w:t>
            </w:r>
          </w:p>
        </w:tc>
        <w:tc>
          <w:tcPr>
            <w:tcW w:w="7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17"/>
                <w:szCs w:val="17"/>
                <w:color w:val="auto"/>
                <w:w w:val="92"/>
              </w:rPr>
              <w:t>$40.48</w:t>
            </w:r>
            <w:r>
              <w:rPr>
                <w:rFonts w:ascii="Arial" w:cs="Arial" w:eastAsia="Arial" w:hAnsi="Arial"/>
                <w:sz w:val="24"/>
                <w:szCs w:val="24"/>
                <w:color w:val="auto"/>
                <w:w w:val="92"/>
                <w:vertAlign w:val="superscript"/>
              </w:rPr>
              <w:t>(2)</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$11,130,625,000.00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$110.20 per</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$1,226,594.88</w:t>
            </w: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$1,000,000</w:t>
            </w:r>
          </w:p>
        </w:tc>
        <w:tc>
          <w:tcPr>
            <w:tcW w:w="124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Stock, $0.01</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 value per</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(“Common</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Stock”),</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reserved for</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issuance</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pursuant to</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the Comcast</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Corporation</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Omnibus</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Incentive</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Plan (the</w:t>
            </w: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37"/>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“Plan”)</w:t>
            </w:r>
          </w:p>
        </w:tc>
        <w:tc>
          <w:tcPr>
            <w:tcW w:w="7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237"/>
        </w:trPr>
        <w:tc>
          <w:tcPr>
            <w:tcW w:w="980" w:type="dxa"/>
            <w:vAlign w:val="bottom"/>
            <w:tcBorders>
              <w:left w:val="single" w:sz="8" w:color="auto"/>
              <w:bottom w:val="single" w:sz="8" w:color="auto"/>
            </w:tcBorders>
          </w:tcPr>
          <w:p>
            <w:pPr>
              <w:spacing w:after="0"/>
              <w:rPr>
                <w:sz w:val="20"/>
                <w:szCs w:val="20"/>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0"/>
              </w:rPr>
              <w:t>Total Offering</w:t>
            </w: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5"/>
              </w:rPr>
              <w:t>Amounts</w:t>
            </w: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$11,130,625,000.00</w:t>
            </w: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$1,226,594.88</w:t>
            </w:r>
          </w:p>
        </w:tc>
      </w:tr>
      <w:tr>
        <w:trPr>
          <w:trHeight w:val="230"/>
        </w:trPr>
        <w:tc>
          <w:tcPr>
            <w:tcW w:w="980" w:type="dxa"/>
            <w:vAlign w:val="bottom"/>
            <w:tcBorders>
              <w:left w:val="single" w:sz="8" w:color="auto"/>
            </w:tcBorders>
          </w:tcPr>
          <w:p>
            <w:pPr>
              <w:spacing w:after="0"/>
              <w:rPr>
                <w:sz w:val="20"/>
                <w:szCs w:val="20"/>
                <w:color w:val="auto"/>
              </w:rPr>
            </w:pPr>
          </w:p>
        </w:tc>
        <w:tc>
          <w:tcPr>
            <w:tcW w:w="1860" w:type="dxa"/>
            <w:vAlign w:val="bottom"/>
            <w:gridSpan w:val="3"/>
          </w:tcPr>
          <w:p>
            <w:pPr>
              <w:jc w:val="center"/>
              <w:ind w:left="53"/>
              <w:spacing w:after="0"/>
              <w:rPr>
                <w:sz w:val="20"/>
                <w:szCs w:val="20"/>
                <w:color w:val="auto"/>
              </w:rPr>
            </w:pPr>
            <w:r>
              <w:rPr>
                <w:rFonts w:ascii="Arial" w:cs="Arial" w:eastAsia="Arial" w:hAnsi="Arial"/>
                <w:sz w:val="18"/>
                <w:szCs w:val="18"/>
                <w:color w:val="auto"/>
                <w:w w:val="89"/>
              </w:rPr>
              <w:t>Total Fee Offsets</w:t>
            </w:r>
          </w:p>
        </w:tc>
        <w:tc>
          <w:tcPr>
            <w:tcW w:w="98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6"/>
        </w:trPr>
        <w:tc>
          <w:tcPr>
            <w:tcW w:w="980" w:type="dxa"/>
            <w:vAlign w:val="bottom"/>
            <w:tcBorders>
              <w:left w:val="single" w:sz="8" w:color="auto"/>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30"/>
        </w:trPr>
        <w:tc>
          <w:tcPr>
            <w:tcW w:w="98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3"/>
              <w:spacing w:after="0"/>
              <w:rPr>
                <w:sz w:val="20"/>
                <w:szCs w:val="20"/>
                <w:color w:val="auto"/>
              </w:rPr>
            </w:pPr>
            <w:r>
              <w:rPr>
                <w:rFonts w:ascii="Arial" w:cs="Arial" w:eastAsia="Arial" w:hAnsi="Arial"/>
                <w:sz w:val="18"/>
                <w:szCs w:val="18"/>
                <w:color w:val="auto"/>
                <w:w w:val="90"/>
              </w:rPr>
              <w:t>Net Fee Due</w:t>
            </w:r>
          </w:p>
        </w:tc>
        <w:tc>
          <w:tcPr>
            <w:tcW w:w="9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$1,226,594.88</w:t>
            </w:r>
          </w:p>
        </w:tc>
      </w:tr>
    </w:tbl>
    <w:p>
      <w:pPr>
        <w:spacing w:after="0" w:line="229" w:lineRule="exact"/>
        <w:rPr>
          <w:sz w:val="20"/>
          <w:szCs w:val="20"/>
          <w:color w:val="auto"/>
        </w:rPr>
      </w:pPr>
    </w:p>
    <w:p>
      <w:pPr>
        <w:jc w:val="both"/>
        <w:ind w:left="444" w:right="460" w:hanging="444"/>
        <w:spacing w:after="0" w:line="291" w:lineRule="auto"/>
        <w:tabs>
          <w:tab w:leader="none" w:pos="444" w:val="left"/>
        </w:tabs>
        <w:numPr>
          <w:ilvl w:val="0"/>
          <w:numId w:val="9"/>
        </w:numPr>
        <w:rPr>
          <w:rFonts w:ascii="Arial" w:cs="Arial" w:eastAsia="Arial" w:hAnsi="Arial"/>
          <w:sz w:val="16"/>
          <w:szCs w:val="16"/>
          <w:color w:val="auto"/>
        </w:rPr>
      </w:pPr>
      <w:r>
        <w:rPr>
          <w:rFonts w:ascii="Arial" w:cs="Arial" w:eastAsia="Arial" w:hAnsi="Arial"/>
          <w:sz w:val="16"/>
          <w:szCs w:val="16"/>
          <w:color w:val="auto"/>
        </w:rPr>
        <w:t>Pursuant to Rule 416(a) under the Securities Act of 1933, as amended (the “Securities Act”), this Registration Statement shall also cover any additional shares of Common Stock that become issuable under the Plan by reason of any stock dividend, stock split or similar transactions.</w:t>
      </w:r>
    </w:p>
    <w:p>
      <w:pPr>
        <w:ind w:left="444" w:right="160" w:hanging="444"/>
        <w:spacing w:after="0" w:line="290" w:lineRule="auto"/>
        <w:tabs>
          <w:tab w:leader="none" w:pos="444" w:val="left"/>
        </w:tabs>
        <w:numPr>
          <w:ilvl w:val="0"/>
          <w:numId w:val="9"/>
        </w:numPr>
        <w:rPr>
          <w:rFonts w:ascii="Arial" w:cs="Arial" w:eastAsia="Arial" w:hAnsi="Arial"/>
          <w:sz w:val="17"/>
          <w:szCs w:val="17"/>
          <w:color w:val="auto"/>
        </w:rPr>
      </w:pPr>
      <w:r>
        <w:rPr>
          <w:rFonts w:ascii="Arial" w:cs="Arial" w:eastAsia="Arial" w:hAnsi="Arial"/>
          <w:sz w:val="17"/>
          <w:szCs w:val="17"/>
          <w:color w:val="auto"/>
        </w:rPr>
        <w:t>Estimated in accordance with Rule 457(h) under the Securities Act solely for purposes of calculating the registration fee, based on the average of the high and low sales prices per share of Common Stock, as reported on The Nasdaq Stock Market LLC on June 26, 2023.</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24"/>
    </w:lvl>
  </w:abstractNum>
  <w:abstractNum w:abstractNumId="3">
    <w:nsid w:val="2EB141F2"/>
    <w:multiLevelType w:val="hybridMultilevel"/>
    <w:lvl w:ilvl="0">
      <w:lvlJc w:val="left"/>
      <w:lvlText w:val="%1"/>
      <w:numFmt w:val="decimal"/>
      <w:start w:val="99"/>
    </w:lvl>
  </w:abstractNum>
  <w:abstractNum w:abstractNumId="4">
    <w:nsid w:val="41B71EFB"/>
    <w:multiLevelType w:val="hybridMultilevel"/>
    <w:lvl w:ilvl="0">
      <w:lvlJc w:val="left"/>
      <w:lvlText w:val="%1"/>
      <w:numFmt w:val="decimal"/>
      <w:start w:val="107"/>
    </w:lvl>
  </w:abstractNum>
  <w:abstractNum w:abstractNumId="5">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7545E146"/>
    <w:multiLevelType w:val="hybridMultilevel"/>
    <w:lvl w:ilvl="0">
      <w:lvlJc w:val="left"/>
      <w:lvlText w:val="%1"/>
      <w:numFmt w:val="lowerLetter"/>
      <w:start w:val="1"/>
    </w:lvl>
    <w:lvl w:ilvl="1">
      <w:lvlJc w:val="left"/>
      <w:lvlText w:val="(%2)"/>
      <w:numFmt w:val="decimal"/>
      <w:start w:val="2"/>
    </w:lvl>
  </w:abstractNum>
  <w:abstractNum w:abstractNumId="7">
    <w:nsid w:val="515F007C"/>
    <w:multiLevelType w:val="hybridMultilevel"/>
    <w:lvl w:ilvl="0">
      <w:lvlJc w:val="left"/>
      <w:lvlText w:val="(%1)"/>
      <w:numFmt w:val="lowerLetter"/>
      <w:start w:val="2"/>
    </w:lvl>
    <w:lvl w:ilvl="1">
      <w:lvlJc w:val="left"/>
      <w:lvlText w:val="%2"/>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jpeg"/><Relationship Id="rId36" Type="http://schemas.openxmlformats.org/officeDocument/2006/relationships/image" Target="media/image18.png"/><Relationship Id="rId17" Type="http://schemas.openxmlformats.org/officeDocument/2006/relationships/hyperlink" Target="http://www.sec.gov/ix?doc=/Archives/edgar/data/1166691/000116669123000010/cmcsa-20221231.htm" TargetMode="External"/><Relationship Id="rId18" Type="http://schemas.openxmlformats.org/officeDocument/2006/relationships/hyperlink" Target="http://www.sec.gov/ix?doc=/Archives/edgar/data/1166691/000116669123000024/cmcsa-20230331.htm" TargetMode="External"/><Relationship Id="rId19" Type="http://schemas.openxmlformats.org/officeDocument/2006/relationships/hyperlink" Target="http://www.sec.gov/ix?doc=/Archives/edgar/data/1166691/000095010323006033/dp190706_8k.htm" TargetMode="External"/><Relationship Id="rId20" Type="http://schemas.openxmlformats.org/officeDocument/2006/relationships/hyperlink" Target="http://www.sec.gov/ix?doc=/Archives/edgar/data/1166691/000095010323006065/dp192586_8k.htm" TargetMode="External"/><Relationship Id="rId21" Type="http://schemas.openxmlformats.org/officeDocument/2006/relationships/hyperlink" Target="http://www.sec.gov/ix?doc=/Archives/edgar/data/1166691/000095010323006594/dp193091_8k.htm" TargetMode="External"/><Relationship Id="rId22" Type="http://schemas.openxmlformats.org/officeDocument/2006/relationships/hyperlink" Target="http://www.sec.gov/ix?doc=/Archives/edgar/data/1166691/000095010323006958/dp193468_8k.htm" TargetMode="External"/><Relationship Id="rId23" Type="http://schemas.openxmlformats.org/officeDocument/2006/relationships/hyperlink" Target="http://www.sec.gov/ix?doc=/Archives/edgar/data/1166691/000095010323007049/dp193525_8k.htm" TargetMode="External"/><Relationship Id="rId24" Type="http://schemas.openxmlformats.org/officeDocument/2006/relationships/hyperlink" Target="http://www.sec.gov/ix?doc=/Archives/edgar/data/1166691/000095010323008707/dp195127_8k.htm" TargetMode="External"/><Relationship Id="rId25" Type="http://schemas.openxmlformats.org/officeDocument/2006/relationships/hyperlink" Target="http://www.sec.gov/ix?doc=/Archives/edgar/data/1166691/000130817923000809/cmcsa4130111-def14a.htm" TargetMode="External"/><Relationship Id="rId26" Type="http://schemas.openxmlformats.org/officeDocument/2006/relationships/hyperlink" Target="http://www.sec.gov/Archives/edgar/data/1166691/000116669123000010/ex415-12312022.htm" TargetMode="External"/><Relationship Id="rId30" Type="http://schemas.openxmlformats.org/officeDocument/2006/relationships/hyperlink" Target="http://www.sec.gov/Archives/edgar/data/1166691/000095010323008707/dp195127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2023-07-03T09:11:39Z</dcterms:created>
  <dcterms:modified xsi:type="dcterms:W3CDTF">2023-07-03T09:11:39Z</dcterms:modified>
</cp:coreProperties>
</file>