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15</w:t>
      </w:r>
    </w:p>
    <w:p>
      <w:pPr>
        <w:spacing w:after="0" w:line="221" w:lineRule="exact"/>
        <w:rPr>
          <w:sz w:val="24"/>
          <w:szCs w:val="24"/>
          <w:color w:val="auto"/>
        </w:rPr>
      </w:pPr>
    </w:p>
    <w:p>
      <w:pPr>
        <w:jc w:val="center"/>
        <w:ind w:left="260" w:right="162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90" w:lineRule="exact"/>
        <w:rPr>
          <w:sz w:val="24"/>
          <w:szCs w:val="24"/>
          <w:color w:val="auto"/>
        </w:rPr>
      </w:pPr>
    </w:p>
    <w:tbl>
      <w:tblPr>
        <w:tblLayout w:type="fixed"/>
        <w:tblInd w:w="66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Arial" w:cs="Arial" w:eastAsia="Arial" w:hAnsi="Arial"/>
                <w:sz w:val="18"/>
                <w:szCs w:val="18"/>
                <w:color w:val="auto"/>
                <w:w w:val="94"/>
              </w:rPr>
              <w:t>Commission File Number</w:t>
            </w:r>
          </w:p>
        </w:tc>
        <w:tc>
          <w:tcPr>
            <w:tcW w:w="28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001-15471</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HOLDINGS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1500 Market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(215) 665-1700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 Exchangeable Subordinated Debentures due November 2029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 of securities covered by this Form)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Please place an X in the box(es) to designate the appropriate rule provision(s) relied upon to terminate or suspend the duty to file reports:</w:t>
      </w:r>
    </w:p>
    <w:p>
      <w:pPr>
        <w:spacing w:after="0" w:line="204" w:lineRule="exact"/>
        <w:rPr>
          <w:sz w:val="24"/>
          <w:szCs w:val="24"/>
          <w:color w:val="auto"/>
        </w:rPr>
      </w:pPr>
    </w:p>
    <w:tbl>
      <w:tblPr>
        <w:tblLayout w:type="fixed"/>
        <w:tblInd w:w="660" w:type="dxa"/>
        <w:tblCellMar>
          <w:top w:w="0" w:type="dxa"/>
          <w:left w:w="0" w:type="dxa"/>
          <w:bottom w:w="0" w:type="dxa"/>
          <w:right w:w="0" w:type="dxa"/>
        </w:tblCellMar>
      </w:tblPr>
      <w:tr>
        <w:trPr>
          <w:trHeight w:val="249"/>
        </w:trPr>
        <w:tc>
          <w:tcPr>
            <w:tcW w:w="2960" w:type="dxa"/>
            <w:vAlign w:val="bottom"/>
          </w:tcPr>
          <w:p>
            <w:pPr>
              <w:ind w:left="1340"/>
              <w:spacing w:after="0"/>
              <w:rPr>
                <w:sz w:val="20"/>
                <w:szCs w:val="20"/>
                <w:color w:val="auto"/>
              </w:rPr>
            </w:pPr>
            <w:r>
              <w:rPr>
                <w:rFonts w:ascii="Arial" w:cs="Arial" w:eastAsia="Arial" w:hAnsi="Arial"/>
                <w:sz w:val="18"/>
                <w:szCs w:val="18"/>
                <w:color w:val="auto"/>
              </w:rPr>
              <w:t>Rule 12g-4(a)(1)(i)</w:t>
            </w:r>
          </w:p>
        </w:tc>
        <w:tc>
          <w:tcPr>
            <w:tcW w:w="3120" w:type="dxa"/>
            <w:vAlign w:val="bottom"/>
          </w:tcPr>
          <w:p>
            <w:pPr>
              <w:ind w:left="200"/>
              <w:spacing w:after="0"/>
              <w:rPr>
                <w:sz w:val="20"/>
                <w:szCs w:val="20"/>
                <w:color w:val="auto"/>
              </w:rPr>
            </w:pPr>
            <w:r>
              <w:rPr>
                <w:rFonts w:ascii="Arial" w:cs="Arial" w:eastAsia="Arial" w:hAnsi="Arial"/>
                <w:sz w:val="18"/>
                <w:szCs w:val="18"/>
                <w:color w:val="auto"/>
              </w:rPr>
              <w:t>o</w:t>
            </w:r>
          </w:p>
        </w:tc>
        <w:tc>
          <w:tcPr>
            <w:tcW w:w="1880" w:type="dxa"/>
            <w:vAlign w:val="bottom"/>
            <w:gridSpan w:val="2"/>
          </w:tcPr>
          <w:p>
            <w:pPr>
              <w:ind w:left="420"/>
              <w:spacing w:after="0"/>
              <w:rPr>
                <w:sz w:val="20"/>
                <w:szCs w:val="20"/>
                <w:color w:val="auto"/>
              </w:rPr>
            </w:pPr>
            <w:r>
              <w:rPr>
                <w:rFonts w:ascii="Arial" w:cs="Arial" w:eastAsia="Arial" w:hAnsi="Arial"/>
                <w:sz w:val="18"/>
                <w:szCs w:val="18"/>
                <w:color w:val="auto"/>
                <w:w w:val="97"/>
              </w:rPr>
              <w:t>Rule 12h-3(b)(1)(i)</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60" w:type="dxa"/>
            <w:vAlign w:val="bottom"/>
          </w:tcPr>
          <w:p>
            <w:pPr>
              <w:ind w:left="1340"/>
              <w:spacing w:after="0"/>
              <w:rPr>
                <w:sz w:val="20"/>
                <w:szCs w:val="20"/>
                <w:color w:val="auto"/>
              </w:rPr>
            </w:pPr>
            <w:r>
              <w:rPr>
                <w:rFonts w:ascii="Arial" w:cs="Arial" w:eastAsia="Arial" w:hAnsi="Arial"/>
                <w:sz w:val="18"/>
                <w:szCs w:val="18"/>
                <w:color w:val="auto"/>
              </w:rPr>
              <w:t>Rule 12g-4(a)(1)(ii)</w:t>
            </w:r>
          </w:p>
        </w:tc>
        <w:tc>
          <w:tcPr>
            <w:tcW w:w="3120" w:type="dxa"/>
            <w:vAlign w:val="bottom"/>
          </w:tcPr>
          <w:p>
            <w:pPr>
              <w:ind w:left="200"/>
              <w:spacing w:after="0"/>
              <w:rPr>
                <w:sz w:val="20"/>
                <w:szCs w:val="20"/>
                <w:color w:val="auto"/>
              </w:rPr>
            </w:pPr>
            <w:r>
              <w:rPr>
                <w:rFonts w:ascii="Arial" w:cs="Arial" w:eastAsia="Arial" w:hAnsi="Arial"/>
                <w:sz w:val="18"/>
                <w:szCs w:val="18"/>
                <w:color w:val="auto"/>
              </w:rPr>
              <w:t>o</w:t>
            </w:r>
          </w:p>
        </w:tc>
        <w:tc>
          <w:tcPr>
            <w:tcW w:w="1880" w:type="dxa"/>
            <w:vAlign w:val="bottom"/>
            <w:gridSpan w:val="2"/>
          </w:tcPr>
          <w:p>
            <w:pPr>
              <w:ind w:left="420"/>
              <w:spacing w:after="0"/>
              <w:rPr>
                <w:sz w:val="20"/>
                <w:szCs w:val="20"/>
                <w:color w:val="auto"/>
              </w:rPr>
            </w:pPr>
            <w:r>
              <w:rPr>
                <w:rFonts w:ascii="Arial" w:cs="Arial" w:eastAsia="Arial" w:hAnsi="Arial"/>
                <w:sz w:val="18"/>
                <w:szCs w:val="18"/>
                <w:color w:val="auto"/>
                <w:w w:val="94"/>
              </w:rPr>
              <w:t>Rule 12h-3(b)(1)(ii)</w:t>
            </w:r>
          </w:p>
        </w:tc>
        <w:tc>
          <w:tcPr>
            <w:tcW w:w="500" w:type="dxa"/>
            <w:vAlign w:val="bottom"/>
          </w:tcPr>
          <w:p>
            <w:pPr>
              <w:ind w:left="340"/>
              <w:spacing w:after="0"/>
              <w:rPr>
                <w:sz w:val="20"/>
                <w:szCs w:val="20"/>
                <w:color w:val="auto"/>
              </w:rPr>
            </w:pPr>
            <w:r>
              <w:rPr>
                <w:rFonts w:ascii="Arial" w:cs="Arial" w:eastAsia="Arial" w:hAnsi="Arial"/>
                <w:sz w:val="18"/>
                <w:szCs w:val="18"/>
                <w:color w:val="auto"/>
              </w:rPr>
              <w:t>o</w:t>
            </w:r>
          </w:p>
        </w:tc>
      </w:tr>
      <w:tr>
        <w:trPr>
          <w:trHeight w:val="216"/>
        </w:trPr>
        <w:tc>
          <w:tcPr>
            <w:tcW w:w="2960" w:type="dxa"/>
            <w:vAlign w:val="bottom"/>
          </w:tcPr>
          <w:p>
            <w:pPr>
              <w:ind w:left="1340"/>
              <w:spacing w:after="0"/>
              <w:rPr>
                <w:sz w:val="20"/>
                <w:szCs w:val="20"/>
                <w:color w:val="auto"/>
              </w:rPr>
            </w:pPr>
            <w:r>
              <w:rPr>
                <w:rFonts w:ascii="Arial" w:cs="Arial" w:eastAsia="Arial" w:hAnsi="Arial"/>
                <w:sz w:val="18"/>
                <w:szCs w:val="18"/>
                <w:color w:val="auto"/>
              </w:rPr>
              <w:t>Rule 12g-4(a)(2)(i)</w:t>
            </w:r>
          </w:p>
        </w:tc>
        <w:tc>
          <w:tcPr>
            <w:tcW w:w="3120" w:type="dxa"/>
            <w:vAlign w:val="bottom"/>
          </w:tcPr>
          <w:p>
            <w:pPr>
              <w:ind w:left="200"/>
              <w:spacing w:after="0"/>
              <w:rPr>
                <w:sz w:val="20"/>
                <w:szCs w:val="20"/>
                <w:color w:val="auto"/>
              </w:rPr>
            </w:pPr>
            <w:r>
              <w:rPr>
                <w:rFonts w:ascii="Arial" w:cs="Arial" w:eastAsia="Arial" w:hAnsi="Arial"/>
                <w:sz w:val="18"/>
                <w:szCs w:val="18"/>
                <w:color w:val="auto"/>
              </w:rPr>
              <w:t>o</w:t>
            </w:r>
          </w:p>
        </w:tc>
        <w:tc>
          <w:tcPr>
            <w:tcW w:w="1880" w:type="dxa"/>
            <w:vAlign w:val="bottom"/>
            <w:gridSpan w:val="2"/>
          </w:tcPr>
          <w:p>
            <w:pPr>
              <w:ind w:left="420"/>
              <w:spacing w:after="0"/>
              <w:rPr>
                <w:sz w:val="20"/>
                <w:szCs w:val="20"/>
                <w:color w:val="auto"/>
              </w:rPr>
            </w:pPr>
            <w:r>
              <w:rPr>
                <w:rFonts w:ascii="Arial" w:cs="Arial" w:eastAsia="Arial" w:hAnsi="Arial"/>
                <w:sz w:val="18"/>
                <w:szCs w:val="18"/>
                <w:color w:val="auto"/>
                <w:w w:val="97"/>
              </w:rPr>
              <w:t>Rule 12h-3(b)(2)(i)</w:t>
            </w:r>
          </w:p>
        </w:tc>
        <w:tc>
          <w:tcPr>
            <w:tcW w:w="500" w:type="dxa"/>
            <w:vAlign w:val="bottom"/>
          </w:tcPr>
          <w:p>
            <w:pPr>
              <w:ind w:left="340"/>
              <w:spacing w:after="0"/>
              <w:rPr>
                <w:sz w:val="20"/>
                <w:szCs w:val="20"/>
                <w:color w:val="auto"/>
              </w:rPr>
            </w:pPr>
            <w:r>
              <w:rPr>
                <w:rFonts w:ascii="Arial" w:cs="Arial" w:eastAsia="Arial" w:hAnsi="Arial"/>
                <w:sz w:val="18"/>
                <w:szCs w:val="18"/>
                <w:color w:val="auto"/>
              </w:rPr>
              <w:t>o</w:t>
            </w:r>
          </w:p>
        </w:tc>
      </w:tr>
      <w:tr>
        <w:trPr>
          <w:trHeight w:val="216"/>
        </w:trPr>
        <w:tc>
          <w:tcPr>
            <w:tcW w:w="2960" w:type="dxa"/>
            <w:vAlign w:val="bottom"/>
          </w:tcPr>
          <w:p>
            <w:pPr>
              <w:ind w:left="1340"/>
              <w:spacing w:after="0"/>
              <w:rPr>
                <w:sz w:val="20"/>
                <w:szCs w:val="20"/>
                <w:color w:val="auto"/>
              </w:rPr>
            </w:pPr>
            <w:r>
              <w:rPr>
                <w:rFonts w:ascii="Arial" w:cs="Arial" w:eastAsia="Arial" w:hAnsi="Arial"/>
                <w:sz w:val="18"/>
                <w:szCs w:val="18"/>
                <w:color w:val="auto"/>
              </w:rPr>
              <w:t>Rule 12g-4(a)(2)(ii)</w:t>
            </w:r>
          </w:p>
        </w:tc>
        <w:tc>
          <w:tcPr>
            <w:tcW w:w="3120" w:type="dxa"/>
            <w:vAlign w:val="bottom"/>
          </w:tcPr>
          <w:p>
            <w:pPr>
              <w:ind w:left="200"/>
              <w:spacing w:after="0"/>
              <w:rPr>
                <w:sz w:val="20"/>
                <w:szCs w:val="20"/>
                <w:color w:val="auto"/>
              </w:rPr>
            </w:pPr>
            <w:r>
              <w:rPr>
                <w:rFonts w:ascii="Arial" w:cs="Arial" w:eastAsia="Arial" w:hAnsi="Arial"/>
                <w:sz w:val="18"/>
                <w:szCs w:val="18"/>
                <w:color w:val="auto"/>
              </w:rPr>
              <w:t>o</w:t>
            </w:r>
          </w:p>
        </w:tc>
        <w:tc>
          <w:tcPr>
            <w:tcW w:w="1880" w:type="dxa"/>
            <w:vAlign w:val="bottom"/>
            <w:gridSpan w:val="2"/>
          </w:tcPr>
          <w:p>
            <w:pPr>
              <w:ind w:left="420"/>
              <w:spacing w:after="0"/>
              <w:rPr>
                <w:sz w:val="20"/>
                <w:szCs w:val="20"/>
                <w:color w:val="auto"/>
              </w:rPr>
            </w:pPr>
            <w:r>
              <w:rPr>
                <w:rFonts w:ascii="Arial" w:cs="Arial" w:eastAsia="Arial" w:hAnsi="Arial"/>
                <w:sz w:val="18"/>
                <w:szCs w:val="18"/>
                <w:color w:val="auto"/>
                <w:w w:val="94"/>
              </w:rPr>
              <w:t>Rule 12h-3(b)(2)(ii)</w:t>
            </w:r>
          </w:p>
        </w:tc>
        <w:tc>
          <w:tcPr>
            <w:tcW w:w="500" w:type="dxa"/>
            <w:vAlign w:val="bottom"/>
          </w:tcPr>
          <w:p>
            <w:pPr>
              <w:ind w:left="340"/>
              <w:spacing w:after="0"/>
              <w:rPr>
                <w:sz w:val="20"/>
                <w:szCs w:val="20"/>
                <w:color w:val="auto"/>
              </w:rPr>
            </w:pPr>
            <w:r>
              <w:rPr>
                <w:rFonts w:ascii="Arial" w:cs="Arial" w:eastAsia="Arial" w:hAnsi="Arial"/>
                <w:sz w:val="18"/>
                <w:szCs w:val="18"/>
                <w:color w:val="auto"/>
              </w:rPr>
              <w:t>o</w:t>
            </w:r>
          </w:p>
        </w:tc>
      </w:tr>
      <w:tr>
        <w:trPr>
          <w:trHeight w:val="230"/>
        </w:trPr>
        <w:tc>
          <w:tcPr>
            <w:tcW w:w="2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80" w:type="dxa"/>
            <w:vAlign w:val="bottom"/>
            <w:gridSpan w:val="2"/>
          </w:tcPr>
          <w:p>
            <w:pPr>
              <w:ind w:left="420"/>
              <w:spacing w:after="0"/>
              <w:rPr>
                <w:sz w:val="20"/>
                <w:szCs w:val="20"/>
                <w:color w:val="auto"/>
              </w:rPr>
            </w:pPr>
            <w:r>
              <w:rPr>
                <w:rFonts w:ascii="Arial" w:cs="Arial" w:eastAsia="Arial" w:hAnsi="Arial"/>
                <w:sz w:val="18"/>
                <w:szCs w:val="18"/>
                <w:color w:val="auto"/>
              </w:rPr>
              <w:t>Rule 15d-6</w:t>
            </w:r>
          </w:p>
        </w:tc>
        <w:tc>
          <w:tcPr>
            <w:tcW w:w="500" w:type="dxa"/>
            <w:vAlign w:val="bottom"/>
          </w:tcPr>
          <w:p>
            <w:pPr>
              <w:ind w:left="340"/>
              <w:spacing w:after="0"/>
              <w:rPr>
                <w:sz w:val="20"/>
                <w:szCs w:val="20"/>
                <w:color w:val="auto"/>
              </w:rPr>
            </w:pPr>
            <w:r>
              <w:rPr>
                <w:rFonts w:ascii="Arial" w:cs="Arial" w:eastAsia="Arial" w:hAnsi="Arial"/>
                <w:sz w:val="18"/>
                <w:szCs w:val="18"/>
                <w:color w:val="auto"/>
              </w:rPr>
              <w:t>o</w:t>
            </w: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w w:val="98"/>
              </w:rPr>
              <w:t>Approximate number of holders of record as of the certification or notice date:</w:t>
            </w:r>
          </w:p>
        </w:tc>
        <w:tc>
          <w:tcPr>
            <w:tcW w:w="740" w:type="dxa"/>
            <w:vAlign w:val="bottom"/>
          </w:tcPr>
          <w:p>
            <w:pPr>
              <w:spacing w:after="0"/>
              <w:rPr>
                <w:sz w:val="24"/>
                <w:szCs w:val="24"/>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r>
    </w:tbl>
    <w:p>
      <w:pPr>
        <w:spacing w:after="0" w:line="202" w:lineRule="exact"/>
        <w:rPr>
          <w:sz w:val="24"/>
          <w:szCs w:val="24"/>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Comcast Holdings Corporation has caused this certification/notice to be signed on its behalf by the undersigned duly authorized person.</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Date:  September 13, 2005</w:t>
            </w:r>
          </w:p>
        </w:tc>
        <w:tc>
          <w:tcPr>
            <w:tcW w:w="2900" w:type="dxa"/>
            <w:vAlign w:val="bottom"/>
          </w:tcPr>
          <w:p>
            <w:pPr>
              <w:ind w:left="222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Lawrence J. Salva</w:t>
            </w:r>
          </w:p>
        </w:tc>
      </w:tr>
      <w:tr>
        <w:trPr>
          <w:trHeight w:val="195"/>
        </w:trPr>
        <w:tc>
          <w:tcPr>
            <w:tcW w:w="580" w:type="dxa"/>
            <w:vAlign w:val="bottom"/>
          </w:tcPr>
          <w:p>
            <w:pPr>
              <w:spacing w:after="0"/>
              <w:rPr>
                <w:sz w:val="16"/>
                <w:szCs w:val="16"/>
                <w:color w:val="auto"/>
              </w:rPr>
            </w:pPr>
          </w:p>
        </w:tc>
        <w:tc>
          <w:tcPr>
            <w:tcW w:w="3160" w:type="dxa"/>
            <w:vAlign w:val="bottom"/>
            <w:tcBorders>
              <w:top w:val="single" w:sz="8" w:color="auto"/>
            </w:tcBorders>
          </w:tcPr>
          <w:p>
            <w:pPr>
              <w:spacing w:after="0"/>
              <w:rPr>
                <w:sz w:val="16"/>
                <w:szCs w:val="16"/>
                <w:color w:val="auto"/>
              </w:rPr>
            </w:pPr>
          </w:p>
        </w:tc>
        <w:tc>
          <w:tcPr>
            <w:tcW w:w="2900" w:type="dxa"/>
            <w:vAlign w:val="bottom"/>
          </w:tcPr>
          <w:p>
            <w:pPr>
              <w:ind w:left="2220"/>
              <w:spacing w:after="0" w:line="195"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r>
      <w:tr>
        <w:trPr>
          <w:trHeight w:val="216"/>
        </w:trPr>
        <w:tc>
          <w:tcPr>
            <w:tcW w:w="5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900" w:type="dxa"/>
            <w:vAlign w:val="bottom"/>
          </w:tcPr>
          <w:p>
            <w:pPr>
              <w:ind w:left="222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5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Accounting Officer and Controller</w:t>
            </w:r>
          </w:p>
        </w:tc>
      </w:tr>
      <w:tr>
        <w:trPr>
          <w:trHeight w:val="230"/>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2" w:lineRule="exact"/>
        <w:rPr>
          <w:sz w:val="24"/>
          <w:szCs w:val="24"/>
          <w:color w:val="auto"/>
        </w:rPr>
      </w:pPr>
    </w:p>
    <w:p>
      <w:pPr>
        <w:ind w:right="100"/>
        <w:spacing w:after="0" w:line="312" w:lineRule="auto"/>
        <w:rPr>
          <w:sz w:val="20"/>
          <w:szCs w:val="20"/>
          <w:color w:val="auto"/>
        </w:rPr>
      </w:pPr>
      <w:r>
        <w:rPr>
          <w:rFonts w:ascii="Arial" w:cs="Arial" w:eastAsia="Arial" w:hAnsi="Arial"/>
          <w:sz w:val="16"/>
          <w:szCs w:val="16"/>
          <w:color w:val="auto"/>
        </w:rPr>
        <w:t>Instruction: This form is required by Rules 12g-4, 12h-3 and 15d-6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2019-12-12T22:59:53Z</dcterms:created>
  <dcterms:modified xsi:type="dcterms:W3CDTF">2019-12-12T22:59:53Z</dcterms:modified>
</cp:coreProperties>
</file>