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SCHEDULE SC 13G/A</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Under the Securities Exchange Act of 1934</w:t>
      </w:r>
    </w:p>
    <w:p>
      <w:pPr>
        <w:ind w:left="2440"/>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COMCAST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20030N200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/_/.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previsions of the Act (however, see the Notes)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5220" w:type="dxa"/>
            <w:vAlign w:val="bottom"/>
          </w:tcPr>
          <w:p>
            <w:pPr>
              <w:ind w:left="38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COMCAST CORP</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1(b)</w:t>
            </w:r>
          </w:p>
        </w:tc>
        <w:tc>
          <w:tcPr>
            <w:tcW w:w="5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7"/>
              </w:rPr>
              <w:t>ADDRESS OF ISSUERS PRINCIPAL EXECUTIVE OFFICES</w:t>
            </w:r>
          </w:p>
        </w:tc>
      </w:tr>
    </w:tbl>
    <w:p>
      <w:pPr>
        <w:ind w:left="860"/>
        <w:spacing w:after="0" w:line="238" w:lineRule="auto"/>
        <w:rPr>
          <w:sz w:val="20"/>
          <w:szCs w:val="20"/>
          <w:color w:val="auto"/>
        </w:rPr>
      </w:pPr>
      <w:r>
        <w:rPr>
          <w:rFonts w:ascii="Courier New" w:cs="Courier New" w:eastAsia="Courier New" w:hAnsi="Courier New"/>
          <w:sz w:val="18"/>
          <w:szCs w:val="18"/>
          <w:color w:val="auto"/>
        </w:rPr>
        <w:t>1500 MARKET ST</w:t>
      </w:r>
    </w:p>
    <w:p>
      <w:pPr>
        <w:ind w:left="860"/>
        <w:spacing w:after="0"/>
        <w:rPr>
          <w:sz w:val="20"/>
          <w:szCs w:val="20"/>
          <w:color w:val="auto"/>
        </w:rPr>
      </w:pPr>
      <w:r>
        <w:rPr>
          <w:rFonts w:ascii="Courier New" w:cs="Courier New" w:eastAsia="Courier New" w:hAnsi="Courier New"/>
          <w:sz w:val="18"/>
          <w:szCs w:val="18"/>
          <w:color w:val="auto"/>
        </w:rPr>
        <w:t>PHILADELPHIA, PENNSYLVANIA 19102-2148</w:t>
      </w:r>
    </w:p>
    <w:p>
      <w:pPr>
        <w:jc w:val="right"/>
        <w:ind w:right="6319"/>
        <w:spacing w:after="0"/>
        <w:tabs>
          <w:tab w:leader="none" w:pos="5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jc w:val="right"/>
        <w:ind w:right="6319"/>
        <w:spacing w:after="0" w:line="238" w:lineRule="auto"/>
        <w:rPr>
          <w:sz w:val="20"/>
          <w:szCs w:val="20"/>
          <w:color w:val="auto"/>
        </w:rPr>
      </w:pPr>
      <w:r>
        <w:rPr>
          <w:rFonts w:ascii="Courier New" w:cs="Courier New" w:eastAsia="Courier New" w:hAnsi="Courier New"/>
          <w:sz w:val="18"/>
          <w:szCs w:val="18"/>
          <w:color w:val="auto"/>
        </w:rPr>
        <w:t>Davis Selected Advisers, L.P.</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860"/>
        <w:spacing w:after="0" w:line="238" w:lineRule="auto"/>
        <w:rPr>
          <w:sz w:val="20"/>
          <w:szCs w:val="20"/>
          <w:color w:val="auto"/>
        </w:rPr>
      </w:pPr>
      <w:r>
        <w:rPr>
          <w:rFonts w:ascii="Courier New" w:cs="Courier New" w:eastAsia="Courier New" w:hAnsi="Courier New"/>
          <w:sz w:val="18"/>
          <w:szCs w:val="18"/>
          <w:color w:val="auto"/>
        </w:rPr>
        <w:t>2949 East Elvira Road, Suite 101</w:t>
      </w:r>
    </w:p>
    <w:p>
      <w:pPr>
        <w:ind w:left="860"/>
        <w:spacing w:after="0"/>
        <w:rPr>
          <w:sz w:val="20"/>
          <w:szCs w:val="20"/>
          <w:color w:val="auto"/>
        </w:rPr>
      </w:pPr>
      <w:r>
        <w:rPr>
          <w:rFonts w:ascii="Courier New" w:cs="Courier New" w:eastAsia="Courier New" w:hAnsi="Courier New"/>
          <w:sz w:val="18"/>
          <w:szCs w:val="18"/>
          <w:color w:val="auto"/>
        </w:rPr>
        <w:t>Tucson, Arizona 85706</w:t>
      </w: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860"/>
        <w:spacing w:after="0" w:line="238" w:lineRule="auto"/>
        <w:rPr>
          <w:sz w:val="20"/>
          <w:szCs w:val="20"/>
          <w:color w:val="auto"/>
        </w:rPr>
      </w:pPr>
      <w:r>
        <w:rPr>
          <w:rFonts w:ascii="Courier New" w:cs="Courier New" w:eastAsia="Courier New" w:hAnsi="Courier New"/>
          <w:sz w:val="18"/>
          <w:szCs w:val="18"/>
          <w:color w:val="auto"/>
        </w:rPr>
        <w:t>Colorado Limited Partnership</w:t>
      </w: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860"/>
        <w:spacing w:after="0" w:line="237" w:lineRule="auto"/>
        <w:rPr>
          <w:sz w:val="20"/>
          <w:szCs w:val="20"/>
          <w:color w:val="auto"/>
        </w:rPr>
      </w:pPr>
      <w:r>
        <w:rPr>
          <w:rFonts w:ascii="Courier New" w:cs="Courier New" w:eastAsia="Courier New" w:hAnsi="Courier New"/>
          <w:sz w:val="18"/>
          <w:szCs w:val="18"/>
          <w:color w:val="auto"/>
        </w:rPr>
        <w:t>Common</w:t>
      </w: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860"/>
        <w:spacing w:after="0" w:line="237" w:lineRule="auto"/>
        <w:rPr>
          <w:sz w:val="20"/>
          <w:szCs w:val="20"/>
          <w:color w:val="auto"/>
        </w:rPr>
      </w:pPr>
      <w:r>
        <w:rPr>
          <w:rFonts w:ascii="Courier New" w:cs="Courier New" w:eastAsia="Courier New" w:hAnsi="Courier New"/>
          <w:sz w:val="18"/>
          <w:szCs w:val="18"/>
          <w:color w:val="auto"/>
        </w:rPr>
        <w:t>20030N200</w:t>
      </w:r>
    </w:p>
    <w:p>
      <w:pPr>
        <w:spacing w:after="0"/>
        <w:tabs>
          <w:tab w:leader="none" w:pos="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FIELD PURSUANT TO RULE 13d-1(b)</w:t>
      </w:r>
    </w:p>
    <w:p>
      <w:pPr>
        <w:spacing w:after="0" w:line="200" w:lineRule="exact"/>
        <w:rPr>
          <w:sz w:val="24"/>
          <w:szCs w:val="24"/>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w:t>
      </w:r>
    </w:p>
    <w:p>
      <w:pPr>
        <w:spacing w:after="0" w:line="4" w:lineRule="exact"/>
        <w:rPr>
          <w:rFonts w:ascii="Courier New" w:cs="Courier New" w:eastAsia="Courier New" w:hAnsi="Courier New"/>
          <w:sz w:val="18"/>
          <w:szCs w:val="18"/>
          <w:color w:val="auto"/>
        </w:rPr>
      </w:pPr>
    </w:p>
    <w:p>
      <w:pPr>
        <w:ind w:right="7159" w:firstLine="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Advisers Act of 1940 Item 4 OWNERSHIP</w:t>
      </w:r>
    </w:p>
    <w:p>
      <w:pPr>
        <w:spacing w:after="0" w:line="1" w:lineRule="exact"/>
        <w:rPr>
          <w:rFonts w:ascii="Courier New" w:cs="Courier New" w:eastAsia="Courier New" w:hAnsi="Courier New"/>
          <w:sz w:val="18"/>
          <w:szCs w:val="18"/>
          <w:color w:val="auto"/>
        </w:rPr>
      </w:pP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61,491,654 shares</w:t>
      </w:r>
    </w:p>
    <w:p>
      <w:pPr>
        <w:spacing w:after="0" w:line="202" w:lineRule="exact"/>
        <w:rPr>
          <w:sz w:val="24"/>
          <w:szCs w:val="24"/>
          <w:color w:val="auto"/>
        </w:rPr>
      </w:pP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(b) Percent of class:</w:t>
      </w:r>
      <w:r>
        <w:rPr>
          <w:sz w:val="20"/>
          <w:szCs w:val="20"/>
          <w:color w:val="auto"/>
        </w:rPr>
        <w:tab/>
      </w:r>
      <w:r>
        <w:rPr>
          <w:rFonts w:ascii="Courier New" w:cs="Courier New" w:eastAsia="Courier New" w:hAnsi="Courier New"/>
          <w:sz w:val="16"/>
          <w:szCs w:val="16"/>
          <w:color w:val="auto"/>
        </w:rPr>
        <w:t>8.74%</w:t>
      </w:r>
    </w:p>
    <w:p>
      <w:pPr>
        <w:ind w:left="1480" w:hanging="629"/>
        <w:spacing w:after="0" w:line="238"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7" w:lineRule="exact"/>
        <w:rPr>
          <w:sz w:val="24"/>
          <w:szCs w:val="24"/>
          <w:color w:val="auto"/>
        </w:rPr>
      </w:pPr>
    </w:p>
    <w:p>
      <w:pPr>
        <w:ind w:left="2540" w:right="4619" w:hanging="1689"/>
        <w:spacing w:after="0" w:line="235" w:lineRule="auto"/>
        <w:tabs>
          <w:tab w:leader="none" w:pos="14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to direct the vote N/A</w:t>
      </w:r>
    </w:p>
    <w:p>
      <w:pPr>
        <w:spacing w:after="0" w:line="5" w:lineRule="exact"/>
        <w:rPr>
          <w:rFonts w:ascii="Courier New" w:cs="Courier New" w:eastAsia="Courier New" w:hAnsi="Courier New"/>
          <w:sz w:val="18"/>
          <w:szCs w:val="18"/>
          <w:color w:val="auto"/>
        </w:rPr>
      </w:pPr>
    </w:p>
    <w:p>
      <w:pPr>
        <w:ind w:left="1700" w:right="3039" w:hanging="849"/>
        <w:spacing w:after="0" w:line="235" w:lineRule="auto"/>
        <w:tabs>
          <w:tab w:leader="none" w:pos="148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Davis Selected Advisers, L.P. 61,491,654 shares</w:t>
      </w:r>
    </w:p>
    <w:p>
      <w:pPr>
        <w:spacing w:after="0" w:line="1" w:lineRule="exact"/>
        <w:rPr>
          <w:rFonts w:ascii="Courier New" w:cs="Courier New" w:eastAsia="Courier New" w:hAnsi="Courier New"/>
          <w:sz w:val="18"/>
          <w:szCs w:val="18"/>
          <w:color w:val="auto"/>
        </w:rPr>
      </w:pPr>
    </w:p>
    <w:p>
      <w:pPr>
        <w:ind w:left="1480" w:hanging="629"/>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54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Not applicable</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 applicable</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or such securities and were not acquired in connection with or as a participant in any transaction having such purposes or effect.</w:t>
      </w:r>
    </w:p>
    <w:p>
      <w:pPr>
        <w:spacing w:after="0" w:line="186"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1440"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Anthony Frazia</w:t>
      </w:r>
    </w:p>
    <w:p>
      <w:pPr>
        <w:spacing w:after="0" w:line="200" w:lineRule="exact"/>
        <w:rPr>
          <w:sz w:val="20"/>
          <w:szCs w:val="20"/>
          <w:color w:val="auto"/>
        </w:rPr>
      </w:pPr>
    </w:p>
    <w:p>
      <w:pPr>
        <w:sectPr>
          <w:pgSz w:w="11900" w:h="16838" w:orient="portrait"/>
          <w:cols w:equalWidth="0" w:num="2">
            <w:col w:w="1820" w:space="720"/>
            <w:col w:w="7679"/>
          </w:cols>
          <w:pgMar w:left="240" w:top="339" w:right="1440" w:bottom="1440" w:gutter="0" w:footer="0" w:header="0"/>
          <w:type w:val="continuous"/>
        </w:sectPr>
      </w:pPr>
    </w:p>
    <w:p>
      <w:pPr>
        <w:spacing w:after="0" w:line="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PRINT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939"/>
        <w:spacing w:after="0"/>
        <w:rPr>
          <w:sz w:val="20"/>
          <w:szCs w:val="20"/>
          <w:color w:val="auto"/>
        </w:rPr>
      </w:pPr>
      <w:r>
        <w:rPr>
          <w:rFonts w:ascii="Courier New" w:cs="Courier New" w:eastAsia="Courier New" w:hAnsi="Courier New"/>
          <w:sz w:val="18"/>
          <w:szCs w:val="18"/>
          <w:color w:val="auto"/>
        </w:rPr>
        <w:t>Anthony Frazia,JD, CRCP Co-Chief Compliance Officer/Director of Institutional Operations, Compliance and Risk Management</w:t>
      </w:r>
    </w:p>
    <w:p>
      <w:pPr>
        <w:spacing w:after="0" w:line="200" w:lineRule="exact"/>
        <w:rPr>
          <w:sz w:val="20"/>
          <w:szCs w:val="20"/>
          <w:color w:val="auto"/>
        </w:rPr>
      </w:pPr>
    </w:p>
    <w:p>
      <w:pPr>
        <w:sectPr>
          <w:pgSz w:w="11900" w:h="16838" w:orient="portrait"/>
          <w:cols w:equalWidth="0" w:num="2">
            <w:col w:w="1820" w:space="720"/>
            <w:col w:w="7679"/>
          </w:cols>
          <w:pgMar w:left="240" w:top="339" w:right="1440" w:bottom="1440" w:gutter="0" w:footer="0" w:header="0"/>
          <w:type w:val="continuous"/>
        </w:sectPr>
      </w:pP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2006</w:t>
      </w:r>
    </w:p>
    <w:sectPr>
      <w:pgSz w:w="11900" w:h="16838" w:orient="portrait"/>
      <w:cols w:equalWidth="0" w:num="2">
        <w:col w:w="1820" w:space="720"/>
        <w:col w:w="767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2019-12-15T06:54:16Z</dcterms:created>
  <dcterms:modified xsi:type="dcterms:W3CDTF">2019-12-15T06:54:16Z</dcterms:modified>
</cp:coreProperties>
</file>