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13D</w:t>
      </w:r>
    </w:p>
    <w:p>
      <w:pPr>
        <w:spacing w:after="0" w:line="5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(Rule 13d-101)</w:t>
      </w:r>
    </w:p>
    <w:p>
      <w:pPr>
        <w:spacing w:after="0" w:line="205"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TO § 240.13d-1(a) AND AMENDMENTS THERETO FILED PURSUANT TO</w:t>
      </w:r>
    </w:p>
    <w:p>
      <w:pPr>
        <w:spacing w:after="0" w:line="9" w:lineRule="exact"/>
        <w:rPr>
          <w:sz w:val="24"/>
          <w:szCs w:val="24"/>
          <w:color w:val="auto"/>
        </w:rPr>
      </w:pPr>
    </w:p>
    <w:p>
      <w:pPr>
        <w:ind w:left="4920" w:right="4720" w:firstLine="249"/>
        <w:spacing w:after="0" w:line="676" w:lineRule="auto"/>
        <w:tabs>
          <w:tab w:leader="none" w:pos="5312"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240.13d-1(a) (Amendment No. 1)*</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CLEARWIRE CORPORATION</w:t>
      </w:r>
    </w:p>
    <w:p>
      <w:pPr>
        <w:spacing w:after="0" w:line="64"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(Name of Issuer)</w:t>
      </w:r>
    </w:p>
    <w:p>
      <w:pPr>
        <w:spacing w:after="0" w:line="138"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Class A Common Stock</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(Title of Class of Securities)</w:t>
      </w:r>
    </w:p>
    <w:p>
      <w:pPr>
        <w:spacing w:after="0" w:line="1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18538Q105</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(CUSIP Number)</w:t>
      </w:r>
    </w:p>
    <w:p>
      <w:pPr>
        <w:spacing w:after="0" w:line="1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Arthur R. Block, Esq.</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(215) 286-1700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Authorized to Receive Notices and Communications)</w:t>
      </w:r>
    </w:p>
    <w:p>
      <w:pPr>
        <w:spacing w:after="0" w:line="1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David L. Caplan, Esq.</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William J. Chudd, Esq.</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Davis Polk &amp; Wardwell</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 701 5800</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17, 2012</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18" w:lineRule="exact"/>
        <w:rPr>
          <w:sz w:val="24"/>
          <w:szCs w:val="24"/>
          <w:color w:val="auto"/>
        </w:rPr>
      </w:pPr>
    </w:p>
    <w:p>
      <w:pPr>
        <w:ind w:right="40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166" w:lineRule="exact"/>
        <w:rPr>
          <w:sz w:val="24"/>
          <w:szCs w:val="24"/>
          <w:color w:val="auto"/>
        </w:rPr>
      </w:pPr>
    </w:p>
    <w:p>
      <w:pPr>
        <w:ind w:left="340" w:right="80" w:hanging="24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(the “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639" w:right="419" w:bottom="1440" w:gutter="0" w:footer="0" w:header="0"/>
        </w:sectPr>
      </w:pPr>
    </w:p>
    <w:bookmarkStart w:id="1" w:name="page2"/>
    <w:bookmarkEnd w:id="1"/>
    <w:p>
      <w:pPr>
        <w:spacing w:after="0"/>
        <w:tabs>
          <w:tab w:leader="none" w:pos="5100" w:val="left"/>
          <w:tab w:leader="none" w:pos="10580" w:val="left"/>
        </w:tabs>
        <w:rPr>
          <w:sz w:val="20"/>
          <w:szCs w:val="20"/>
          <w:color w:val="auto"/>
        </w:rPr>
      </w:pPr>
      <w:r>
        <w:rPr>
          <w:rFonts w:ascii="Arial" w:cs="Arial" w:eastAsia="Arial" w:hAnsi="Arial"/>
          <w:sz w:val="18"/>
          <w:szCs w:val="18"/>
          <w:color w:val="auto"/>
        </w:rPr>
        <w:t>CUSIP No. 18538Q105</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59320" cy="6170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6170295"/>
                    </a:xfrm>
                    <a:prstGeom prst="rect">
                      <a:avLst/>
                    </a:prstGeom>
                    <a:noFill/>
                  </pic:spPr>
                </pic:pic>
              </a:graphicData>
            </a:graphic>
          </wp:anchor>
        </w:drawing>
      </w:r>
    </w:p>
    <w:p>
      <w:pPr>
        <w:spacing w:after="0" w:line="290" w:lineRule="exact"/>
        <w:rPr>
          <w:sz w:val="20"/>
          <w:szCs w:val="20"/>
          <w:color w:val="auto"/>
        </w:rPr>
      </w:pPr>
    </w:p>
    <w:p>
      <w:pPr>
        <w:ind w:left="1360" w:right="8140" w:hanging="1163"/>
        <w:spacing w:after="0" w:line="440" w:lineRule="auto"/>
        <w:tabs>
          <w:tab w:leader="none" w:pos="1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reporting person: Comcast Corporation</w:t>
      </w:r>
    </w:p>
    <w:p>
      <w:pPr>
        <w:ind w:left="1360" w:hanging="1163"/>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660" w:hanging="293"/>
        <w:spacing w:after="0"/>
        <w:tabs>
          <w:tab w:leader="none" w:pos="1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1660" w:hanging="293"/>
        <w:spacing w:after="0"/>
        <w:tabs>
          <w:tab w:leader="none" w:pos="1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00" w:type="dxa"/>
            <w:vAlign w:val="bottom"/>
          </w:tcPr>
          <w:p>
            <w:pPr>
              <w:ind w:left="20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0"/>
                <w:szCs w:val="20"/>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SEC use only</w:t>
            </w:r>
          </w:p>
        </w:tc>
        <w:tc>
          <w:tcPr>
            <w:tcW w:w="8660" w:type="dxa"/>
            <w:vAlign w:val="bottom"/>
          </w:tcPr>
          <w:p>
            <w:pPr>
              <w:spacing w:after="0"/>
              <w:rPr>
                <w:sz w:val="20"/>
                <w:szCs w:val="20"/>
                <w:color w:val="auto"/>
              </w:rPr>
            </w:pPr>
          </w:p>
        </w:tc>
      </w:tr>
      <w:tr>
        <w:trPr>
          <w:trHeight w:val="223"/>
        </w:trPr>
        <w:tc>
          <w:tcPr>
            <w:tcW w:w="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spacing w:after="0"/>
              <w:rPr>
                <w:sz w:val="19"/>
                <w:szCs w:val="19"/>
                <w:color w:val="auto"/>
              </w:rPr>
            </w:pPr>
          </w:p>
        </w:tc>
        <w:tc>
          <w:tcPr>
            <w:tcW w:w="8660" w:type="dxa"/>
            <w:vAlign w:val="bottom"/>
            <w:tcBorders>
              <w:bottom w:val="single" w:sz="8" w:color="auto"/>
            </w:tcBorders>
          </w:tcPr>
          <w:p>
            <w:pPr>
              <w:spacing w:after="0"/>
              <w:rPr>
                <w:sz w:val="19"/>
                <w:szCs w:val="19"/>
                <w:color w:val="auto"/>
              </w:rPr>
            </w:pPr>
          </w:p>
        </w:tc>
      </w:tr>
      <w:tr>
        <w:trPr>
          <w:trHeight w:val="230"/>
        </w:trPr>
        <w:tc>
          <w:tcPr>
            <w:tcW w:w="600" w:type="dxa"/>
            <w:vAlign w:val="bottom"/>
          </w:tcPr>
          <w:p>
            <w:pPr>
              <w:ind w:left="20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20"/>
                <w:szCs w:val="20"/>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Source of funds:</w:t>
            </w:r>
          </w:p>
        </w:tc>
        <w:tc>
          <w:tcPr>
            <w:tcW w:w="8660" w:type="dxa"/>
            <w:vAlign w:val="bottom"/>
          </w:tcPr>
          <w:p>
            <w:pPr>
              <w:spacing w:after="0"/>
              <w:rPr>
                <w:sz w:val="20"/>
                <w:szCs w:val="20"/>
                <w:color w:val="auto"/>
              </w:rPr>
            </w:pPr>
          </w:p>
        </w:tc>
      </w:tr>
      <w:tr>
        <w:trPr>
          <w:trHeight w:val="425"/>
        </w:trPr>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WC</w:t>
            </w:r>
          </w:p>
        </w:tc>
        <w:tc>
          <w:tcPr>
            <w:tcW w:w="7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r>
        <w:trPr>
          <w:trHeight w:val="230"/>
        </w:trPr>
        <w:tc>
          <w:tcPr>
            <w:tcW w:w="600" w:type="dxa"/>
            <w:vAlign w:val="bottom"/>
          </w:tcPr>
          <w:p>
            <w:pPr>
              <w:ind w:left="20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20"/>
                <w:szCs w:val="20"/>
                <w:color w:val="auto"/>
              </w:rPr>
            </w:pP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r>
      <w:tr>
        <w:trPr>
          <w:trHeight w:val="425"/>
        </w:trPr>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w:t>
            </w:r>
          </w:p>
        </w:tc>
        <w:tc>
          <w:tcPr>
            <w:tcW w:w="7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r>
        <w:trPr>
          <w:trHeight w:val="230"/>
        </w:trPr>
        <w:tc>
          <w:tcPr>
            <w:tcW w:w="600" w:type="dxa"/>
            <w:vAlign w:val="bottom"/>
          </w:tcPr>
          <w:p>
            <w:pPr>
              <w:ind w:left="200"/>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20"/>
                <w:szCs w:val="20"/>
                <w:color w:val="auto"/>
              </w:rPr>
            </w:pP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Citizenship or place of organization:a</w:t>
            </w:r>
          </w:p>
        </w:tc>
      </w:tr>
      <w:tr>
        <w:trPr>
          <w:trHeight w:val="425"/>
        </w:trPr>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Pennsylvania</w:t>
            </w:r>
          </w:p>
        </w:tc>
        <w:tc>
          <w:tcPr>
            <w:tcW w:w="8660" w:type="dxa"/>
            <w:vAlign w:val="bottom"/>
            <w:tcBorders>
              <w:bottom w:val="single" w:sz="8" w:color="auto"/>
            </w:tcBorders>
          </w:tcPr>
          <w:p>
            <w:pPr>
              <w:spacing w:after="0"/>
              <w:rPr>
                <w:sz w:val="24"/>
                <w:szCs w:val="24"/>
                <w:color w:val="auto"/>
              </w:rPr>
            </w:pPr>
          </w:p>
        </w:tc>
      </w:tr>
      <w:tr>
        <w:trPr>
          <w:trHeight w:val="202"/>
        </w:trPr>
        <w:tc>
          <w:tcPr>
            <w:tcW w:w="168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89"/>
              </w:rPr>
              <w:t>Number of shares</w:t>
            </w:r>
          </w:p>
        </w:tc>
        <w:tc>
          <w:tcPr>
            <w:tcW w:w="300" w:type="dxa"/>
            <w:vAlign w:val="bottom"/>
          </w:tcPr>
          <w:p>
            <w:pPr>
              <w:spacing w:after="0"/>
              <w:rPr>
                <w:sz w:val="17"/>
                <w:szCs w:val="17"/>
                <w:color w:val="auto"/>
              </w:rPr>
            </w:pPr>
          </w:p>
        </w:tc>
        <w:tc>
          <w:tcPr>
            <w:tcW w:w="780" w:type="dxa"/>
            <w:vAlign w:val="bottom"/>
            <w:tcBorders>
              <w:right w:val="single" w:sz="8" w:color="auto"/>
            </w:tcBorders>
          </w:tcPr>
          <w:p>
            <w:pPr>
              <w:jc w:val="center"/>
              <w:ind w:right="250"/>
              <w:spacing w:after="0" w:line="201" w:lineRule="exact"/>
              <w:rPr>
                <w:sz w:val="20"/>
                <w:szCs w:val="20"/>
                <w:color w:val="auto"/>
              </w:rPr>
            </w:pPr>
            <w:r>
              <w:rPr>
                <w:rFonts w:ascii="Arial" w:cs="Arial" w:eastAsia="Arial" w:hAnsi="Arial"/>
                <w:sz w:val="18"/>
                <w:szCs w:val="18"/>
                <w:color w:val="auto"/>
                <w:w w:val="90"/>
              </w:rPr>
              <w:t>(7)</w:t>
            </w:r>
          </w:p>
        </w:tc>
        <w:tc>
          <w:tcPr>
            <w:tcW w:w="8660" w:type="dxa"/>
            <w:vAlign w:val="bottom"/>
          </w:tcPr>
          <w:p>
            <w:pPr>
              <w:ind w:left="140"/>
              <w:spacing w:after="0" w:line="201" w:lineRule="exact"/>
              <w:rPr>
                <w:sz w:val="20"/>
                <w:szCs w:val="20"/>
                <w:color w:val="auto"/>
              </w:rPr>
            </w:pPr>
            <w:r>
              <w:rPr>
                <w:rFonts w:ascii="Arial" w:cs="Arial" w:eastAsia="Arial" w:hAnsi="Arial"/>
                <w:sz w:val="18"/>
                <w:szCs w:val="18"/>
                <w:color w:val="auto"/>
              </w:rPr>
              <w:t>Sole Voting Power:</w:t>
            </w:r>
          </w:p>
        </w:tc>
      </w:tr>
      <w:tr>
        <w:trPr>
          <w:trHeight w:val="216"/>
        </w:trPr>
        <w:tc>
          <w:tcPr>
            <w:tcW w:w="16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beneficially owned by</w:t>
            </w: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660" w:type="dxa"/>
            <w:vAlign w:val="bottom"/>
          </w:tcPr>
          <w:p>
            <w:pPr>
              <w:spacing w:after="0"/>
              <w:rPr>
                <w:sz w:val="18"/>
                <w:szCs w:val="18"/>
                <w:color w:val="auto"/>
              </w:rPr>
            </w:pPr>
          </w:p>
        </w:tc>
      </w:tr>
      <w:tr>
        <w:trPr>
          <w:trHeight w:val="216"/>
        </w:trPr>
        <w:tc>
          <w:tcPr>
            <w:tcW w:w="16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each reporting person</w:t>
            </w: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8"/>
                <w:szCs w:val="18"/>
                <w:color w:val="auto"/>
              </w:rPr>
              <w:t>0</w:t>
            </w:r>
          </w:p>
        </w:tc>
      </w:tr>
      <w:tr>
        <w:trPr>
          <w:trHeight w:val="237"/>
        </w:trPr>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9"/>
              </w:rPr>
              <w:t>with</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660" w:type="dxa"/>
            <w:vAlign w:val="bottom"/>
            <w:tcBorders>
              <w:bottom w:val="single" w:sz="8" w:color="auto"/>
            </w:tcBorders>
          </w:tcPr>
          <w:p>
            <w:pPr>
              <w:spacing w:after="0"/>
              <w:rPr>
                <w:sz w:val="20"/>
                <w:szCs w:val="20"/>
                <w:color w:val="auto"/>
              </w:rPr>
            </w:pPr>
          </w:p>
        </w:tc>
      </w:tr>
      <w:tr>
        <w:trPr>
          <w:trHeight w:val="230"/>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0"/>
              </w:rPr>
              <w:t>(8)</w:t>
            </w:r>
          </w:p>
        </w:tc>
        <w:tc>
          <w:tcPr>
            <w:tcW w:w="8660" w:type="dxa"/>
            <w:vAlign w:val="bottom"/>
          </w:tcPr>
          <w:p>
            <w:pPr>
              <w:ind w:left="140"/>
              <w:spacing w:after="0"/>
              <w:rPr>
                <w:sz w:val="20"/>
                <w:szCs w:val="20"/>
                <w:color w:val="auto"/>
              </w:rPr>
            </w:pPr>
            <w:r>
              <w:rPr>
                <w:rFonts w:ascii="Arial" w:cs="Arial" w:eastAsia="Arial" w:hAnsi="Arial"/>
                <w:sz w:val="18"/>
                <w:szCs w:val="18"/>
                <w:color w:val="auto"/>
              </w:rPr>
              <w:t>Shared Voting Power:</w:t>
            </w:r>
          </w:p>
        </w:tc>
      </w:tr>
      <w:tr>
        <w:trPr>
          <w:trHeight w:val="425"/>
        </w:trPr>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88,504,132*</w:t>
            </w:r>
          </w:p>
        </w:tc>
      </w:tr>
      <w:tr>
        <w:trPr>
          <w:trHeight w:val="230"/>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0"/>
              </w:rPr>
              <w:t>(9)</w:t>
            </w:r>
          </w:p>
        </w:tc>
        <w:tc>
          <w:tcPr>
            <w:tcW w:w="8660" w:type="dxa"/>
            <w:vAlign w:val="bottom"/>
          </w:tcPr>
          <w:p>
            <w:pPr>
              <w:ind w:left="140"/>
              <w:spacing w:after="0"/>
              <w:rPr>
                <w:sz w:val="20"/>
                <w:szCs w:val="20"/>
                <w:color w:val="auto"/>
              </w:rPr>
            </w:pPr>
            <w:r>
              <w:rPr>
                <w:rFonts w:ascii="Arial" w:cs="Arial" w:eastAsia="Arial" w:hAnsi="Arial"/>
                <w:sz w:val="18"/>
                <w:szCs w:val="18"/>
                <w:color w:val="auto"/>
              </w:rPr>
              <w:t>Sole dispositive power:</w:t>
            </w:r>
          </w:p>
        </w:tc>
      </w:tr>
      <w:tr>
        <w:trPr>
          <w:trHeight w:val="425"/>
        </w:trPr>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r>
      <w:tr>
        <w:trPr>
          <w:trHeight w:val="230"/>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3"/>
              </w:rPr>
              <w:t>(10)</w:t>
            </w:r>
          </w:p>
        </w:tc>
        <w:tc>
          <w:tcPr>
            <w:tcW w:w="866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r>
      <w:tr>
        <w:trPr>
          <w:trHeight w:val="425"/>
        </w:trPr>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88,504,132*</w:t>
            </w:r>
          </w:p>
        </w:tc>
      </w:tr>
      <w:tr>
        <w:trPr>
          <w:trHeight w:val="230"/>
        </w:trPr>
        <w:tc>
          <w:tcPr>
            <w:tcW w:w="6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(11)</w:t>
            </w:r>
          </w:p>
        </w:tc>
        <w:tc>
          <w:tcPr>
            <w:tcW w:w="620" w:type="dxa"/>
            <w:vAlign w:val="bottom"/>
            <w:tcBorders>
              <w:right w:val="single" w:sz="8" w:color="auto"/>
            </w:tcBorders>
          </w:tcPr>
          <w:p>
            <w:pPr>
              <w:spacing w:after="0"/>
              <w:rPr>
                <w:sz w:val="20"/>
                <w:szCs w:val="20"/>
                <w:color w:val="auto"/>
              </w:rPr>
            </w:pP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25"/>
        </w:trPr>
        <w:tc>
          <w:tcPr>
            <w:tcW w:w="60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88,504,132*</w:t>
            </w:r>
          </w:p>
        </w:tc>
        <w:tc>
          <w:tcPr>
            <w:tcW w:w="8660" w:type="dxa"/>
            <w:vAlign w:val="bottom"/>
            <w:tcBorders>
              <w:bottom w:val="single" w:sz="8" w:color="auto"/>
            </w:tcBorders>
          </w:tcPr>
          <w:p>
            <w:pPr>
              <w:spacing w:after="0"/>
              <w:rPr>
                <w:sz w:val="24"/>
                <w:szCs w:val="24"/>
                <w:color w:val="auto"/>
              </w:rPr>
            </w:pPr>
          </w:p>
        </w:tc>
      </w:tr>
      <w:tr>
        <w:trPr>
          <w:trHeight w:val="230"/>
        </w:trPr>
        <w:tc>
          <w:tcPr>
            <w:tcW w:w="6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(12)</w:t>
            </w:r>
          </w:p>
        </w:tc>
        <w:tc>
          <w:tcPr>
            <w:tcW w:w="620" w:type="dxa"/>
            <w:vAlign w:val="bottom"/>
            <w:tcBorders>
              <w:right w:val="single" w:sz="8" w:color="auto"/>
            </w:tcBorders>
          </w:tcPr>
          <w:p>
            <w:pPr>
              <w:spacing w:after="0"/>
              <w:rPr>
                <w:sz w:val="20"/>
                <w:szCs w:val="20"/>
                <w:color w:val="auto"/>
              </w:rPr>
            </w:pP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r>
      <w:tr>
        <w:trPr>
          <w:trHeight w:val="425"/>
        </w:trPr>
        <w:tc>
          <w:tcPr>
            <w:tcW w:w="60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x **</w:t>
            </w:r>
          </w:p>
        </w:tc>
        <w:tc>
          <w:tcPr>
            <w:tcW w:w="7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r>
        <w:trPr>
          <w:trHeight w:val="230"/>
        </w:trPr>
        <w:tc>
          <w:tcPr>
            <w:tcW w:w="6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(13)</w:t>
            </w:r>
          </w:p>
        </w:tc>
        <w:tc>
          <w:tcPr>
            <w:tcW w:w="620" w:type="dxa"/>
            <w:vAlign w:val="bottom"/>
            <w:tcBorders>
              <w:right w:val="single" w:sz="8" w:color="auto"/>
            </w:tcBorders>
          </w:tcPr>
          <w:p>
            <w:pPr>
              <w:spacing w:after="0"/>
              <w:rPr>
                <w:sz w:val="20"/>
                <w:szCs w:val="20"/>
                <w:color w:val="auto"/>
              </w:rPr>
            </w:pP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Percent of class represented by amount in Row (11):</w:t>
            </w:r>
          </w:p>
        </w:tc>
      </w:tr>
      <w:tr>
        <w:trPr>
          <w:trHeight w:val="425"/>
        </w:trPr>
        <w:tc>
          <w:tcPr>
            <w:tcW w:w="60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12.8%*</w:t>
            </w:r>
          </w:p>
        </w:tc>
        <w:tc>
          <w:tcPr>
            <w:tcW w:w="7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r>
        <w:trPr>
          <w:trHeight w:val="230"/>
        </w:trPr>
        <w:tc>
          <w:tcPr>
            <w:tcW w:w="6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(14)</w:t>
            </w:r>
          </w:p>
        </w:tc>
        <w:tc>
          <w:tcPr>
            <w:tcW w:w="620" w:type="dxa"/>
            <w:vAlign w:val="bottom"/>
            <w:tcBorders>
              <w:right w:val="single" w:sz="8" w:color="auto"/>
            </w:tcBorders>
          </w:tcPr>
          <w:p>
            <w:pPr>
              <w:spacing w:after="0"/>
              <w:rPr>
                <w:sz w:val="20"/>
                <w:szCs w:val="20"/>
                <w:color w:val="auto"/>
              </w:rPr>
            </w:pP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Type of reporting person:</w:t>
            </w:r>
          </w:p>
        </w:tc>
      </w:tr>
      <w:tr>
        <w:trPr>
          <w:trHeight w:val="425"/>
        </w:trPr>
        <w:tc>
          <w:tcPr>
            <w:tcW w:w="60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CO</w:t>
            </w:r>
          </w:p>
        </w:tc>
        <w:tc>
          <w:tcPr>
            <w:tcW w:w="7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ind w:left="580" w:right="20" w:hanging="572"/>
        <w:spacing w:after="0" w:line="286"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See discussion in Items 4 through 6 of this Schedule 13D. As more fully described in the responses to Items 4 through 6 of this Schedule 13D, the Reporting Persons and certain other beneficial owners of Class A Common Stock named herein may be deemed to be members of a “group” under Section 13(d) of the Act by virtue of the Equityholders’ Agreement described in this Schedule 13D. Neither the filing of this Schedule 13D nor any of its contents shall be deemed to constitute an admission by any Reporting Person that, except as expressly set forth herein, it has or shares beneficial</w:t>
      </w:r>
    </w:p>
    <w:p>
      <w:pPr>
        <w:spacing w:after="0" w:line="2" w:lineRule="exact"/>
        <w:rPr>
          <w:sz w:val="20"/>
          <w:szCs w:val="20"/>
          <w:color w:val="auto"/>
        </w:rPr>
      </w:pPr>
    </w:p>
    <w:p>
      <w:pPr>
        <w:ind w:left="580" w:right="200"/>
        <w:spacing w:after="0" w:line="250" w:lineRule="auto"/>
        <w:rPr>
          <w:sz w:val="20"/>
          <w:szCs w:val="20"/>
          <w:color w:val="auto"/>
        </w:rPr>
      </w:pPr>
      <w:r>
        <w:rPr>
          <w:rFonts w:ascii="Arial" w:cs="Arial" w:eastAsia="Arial" w:hAnsi="Arial"/>
          <w:sz w:val="18"/>
          <w:szCs w:val="18"/>
          <w:color w:val="auto"/>
        </w:rPr>
        <w:t>ownership of any shares of Class A Common Stock held by any other person for purposes of Section 13(d) of the Act, or for any other purpose, and such beneficial ownership thereof is expressly disclaimed.</w:t>
      </w:r>
    </w:p>
    <w:p>
      <w:pPr>
        <w:spacing w:after="0" w:line="1"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Item 5(a)-(b) of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 w:name="page3"/>
    <w:bookmarkEnd w:id="2"/>
    <w:p>
      <w:pPr>
        <w:spacing w:after="0"/>
        <w:tabs>
          <w:tab w:leader="none" w:pos="5100" w:val="left"/>
          <w:tab w:leader="none" w:pos="10580" w:val="left"/>
        </w:tabs>
        <w:rPr>
          <w:sz w:val="20"/>
          <w:szCs w:val="20"/>
          <w:color w:val="auto"/>
        </w:rPr>
      </w:pPr>
      <w:r>
        <w:rPr>
          <w:rFonts w:ascii="Arial" w:cs="Arial" w:eastAsia="Arial" w:hAnsi="Arial"/>
          <w:sz w:val="18"/>
          <w:szCs w:val="18"/>
          <w:color w:val="auto"/>
        </w:rPr>
        <w:t>CUSIP No. 18538Q105</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59320" cy="6170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6170295"/>
                    </a:xfrm>
                    <a:prstGeom prst="rect">
                      <a:avLst/>
                    </a:prstGeom>
                    <a:noFill/>
                  </pic:spPr>
                </pic:pic>
              </a:graphicData>
            </a:graphic>
          </wp:anchor>
        </w:drawing>
      </w:r>
    </w:p>
    <w:p>
      <w:pPr>
        <w:spacing w:after="0" w:line="290" w:lineRule="exact"/>
        <w:rPr>
          <w:sz w:val="20"/>
          <w:szCs w:val="20"/>
          <w:color w:val="auto"/>
        </w:rPr>
      </w:pPr>
    </w:p>
    <w:p>
      <w:pPr>
        <w:ind w:left="1360" w:right="7480" w:hanging="1163"/>
        <w:spacing w:after="0" w:line="440" w:lineRule="auto"/>
        <w:tabs>
          <w:tab w:leader="none" w:pos="1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reporting person: Comcast Wireless Investment, LLC</w:t>
      </w:r>
    </w:p>
    <w:p>
      <w:pPr>
        <w:ind w:left="1360" w:hanging="1163"/>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660" w:hanging="293"/>
        <w:spacing w:after="0"/>
        <w:tabs>
          <w:tab w:leader="none" w:pos="1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1660" w:hanging="293"/>
        <w:spacing w:after="0"/>
        <w:tabs>
          <w:tab w:leader="none" w:pos="1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x</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00" w:type="dxa"/>
            <w:vAlign w:val="bottom"/>
          </w:tcPr>
          <w:p>
            <w:pPr>
              <w:ind w:left="20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0"/>
                <w:szCs w:val="20"/>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SEC use only</w:t>
            </w:r>
          </w:p>
        </w:tc>
        <w:tc>
          <w:tcPr>
            <w:tcW w:w="8660" w:type="dxa"/>
            <w:vAlign w:val="bottom"/>
          </w:tcPr>
          <w:p>
            <w:pPr>
              <w:spacing w:after="0"/>
              <w:rPr>
                <w:sz w:val="20"/>
                <w:szCs w:val="20"/>
                <w:color w:val="auto"/>
              </w:rPr>
            </w:pPr>
          </w:p>
        </w:tc>
      </w:tr>
      <w:tr>
        <w:trPr>
          <w:trHeight w:val="223"/>
        </w:trPr>
        <w:tc>
          <w:tcPr>
            <w:tcW w:w="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spacing w:after="0"/>
              <w:rPr>
                <w:sz w:val="19"/>
                <w:szCs w:val="19"/>
                <w:color w:val="auto"/>
              </w:rPr>
            </w:pPr>
          </w:p>
        </w:tc>
        <w:tc>
          <w:tcPr>
            <w:tcW w:w="8660" w:type="dxa"/>
            <w:vAlign w:val="bottom"/>
            <w:tcBorders>
              <w:bottom w:val="single" w:sz="8" w:color="auto"/>
            </w:tcBorders>
          </w:tcPr>
          <w:p>
            <w:pPr>
              <w:spacing w:after="0"/>
              <w:rPr>
                <w:sz w:val="19"/>
                <w:szCs w:val="19"/>
                <w:color w:val="auto"/>
              </w:rPr>
            </w:pPr>
          </w:p>
        </w:tc>
      </w:tr>
      <w:tr>
        <w:trPr>
          <w:trHeight w:val="230"/>
        </w:trPr>
        <w:tc>
          <w:tcPr>
            <w:tcW w:w="600" w:type="dxa"/>
            <w:vAlign w:val="bottom"/>
          </w:tcPr>
          <w:p>
            <w:pPr>
              <w:ind w:left="20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20"/>
                <w:szCs w:val="20"/>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Source of funds:</w:t>
            </w:r>
          </w:p>
        </w:tc>
        <w:tc>
          <w:tcPr>
            <w:tcW w:w="8660" w:type="dxa"/>
            <w:vAlign w:val="bottom"/>
          </w:tcPr>
          <w:p>
            <w:pPr>
              <w:spacing w:after="0"/>
              <w:rPr>
                <w:sz w:val="20"/>
                <w:szCs w:val="20"/>
                <w:color w:val="auto"/>
              </w:rPr>
            </w:pPr>
          </w:p>
        </w:tc>
      </w:tr>
      <w:tr>
        <w:trPr>
          <w:trHeight w:val="425"/>
        </w:trPr>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AF</w:t>
            </w:r>
          </w:p>
        </w:tc>
        <w:tc>
          <w:tcPr>
            <w:tcW w:w="7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r>
        <w:trPr>
          <w:trHeight w:val="230"/>
        </w:trPr>
        <w:tc>
          <w:tcPr>
            <w:tcW w:w="600" w:type="dxa"/>
            <w:vAlign w:val="bottom"/>
          </w:tcPr>
          <w:p>
            <w:pPr>
              <w:ind w:left="20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20"/>
                <w:szCs w:val="20"/>
                <w:color w:val="auto"/>
              </w:rPr>
            </w:pP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r>
      <w:tr>
        <w:trPr>
          <w:trHeight w:val="425"/>
        </w:trPr>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w:t>
            </w:r>
          </w:p>
        </w:tc>
        <w:tc>
          <w:tcPr>
            <w:tcW w:w="7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r>
        <w:trPr>
          <w:trHeight w:val="230"/>
        </w:trPr>
        <w:tc>
          <w:tcPr>
            <w:tcW w:w="600" w:type="dxa"/>
            <w:vAlign w:val="bottom"/>
          </w:tcPr>
          <w:p>
            <w:pPr>
              <w:ind w:left="200"/>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20"/>
                <w:szCs w:val="20"/>
                <w:color w:val="auto"/>
              </w:rPr>
            </w:pP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Citizenship or place of organization:</w:t>
            </w:r>
          </w:p>
        </w:tc>
      </w:tr>
      <w:tr>
        <w:trPr>
          <w:trHeight w:val="425"/>
        </w:trPr>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Delaware</w:t>
            </w:r>
          </w:p>
        </w:tc>
        <w:tc>
          <w:tcPr>
            <w:tcW w:w="8660" w:type="dxa"/>
            <w:vAlign w:val="bottom"/>
            <w:tcBorders>
              <w:bottom w:val="single" w:sz="8" w:color="auto"/>
            </w:tcBorders>
          </w:tcPr>
          <w:p>
            <w:pPr>
              <w:spacing w:after="0"/>
              <w:rPr>
                <w:sz w:val="24"/>
                <w:szCs w:val="24"/>
                <w:color w:val="auto"/>
              </w:rPr>
            </w:pPr>
          </w:p>
        </w:tc>
      </w:tr>
      <w:tr>
        <w:trPr>
          <w:trHeight w:val="202"/>
        </w:trPr>
        <w:tc>
          <w:tcPr>
            <w:tcW w:w="168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89"/>
              </w:rPr>
              <w:t>Number of shares</w:t>
            </w:r>
          </w:p>
        </w:tc>
        <w:tc>
          <w:tcPr>
            <w:tcW w:w="300" w:type="dxa"/>
            <w:vAlign w:val="bottom"/>
          </w:tcPr>
          <w:p>
            <w:pPr>
              <w:spacing w:after="0"/>
              <w:rPr>
                <w:sz w:val="17"/>
                <w:szCs w:val="17"/>
                <w:color w:val="auto"/>
              </w:rPr>
            </w:pPr>
          </w:p>
        </w:tc>
        <w:tc>
          <w:tcPr>
            <w:tcW w:w="780" w:type="dxa"/>
            <w:vAlign w:val="bottom"/>
            <w:tcBorders>
              <w:right w:val="single" w:sz="8" w:color="auto"/>
            </w:tcBorders>
          </w:tcPr>
          <w:p>
            <w:pPr>
              <w:jc w:val="center"/>
              <w:ind w:right="250"/>
              <w:spacing w:after="0" w:line="201" w:lineRule="exact"/>
              <w:rPr>
                <w:sz w:val="20"/>
                <w:szCs w:val="20"/>
                <w:color w:val="auto"/>
              </w:rPr>
            </w:pPr>
            <w:r>
              <w:rPr>
                <w:rFonts w:ascii="Arial" w:cs="Arial" w:eastAsia="Arial" w:hAnsi="Arial"/>
                <w:sz w:val="18"/>
                <w:szCs w:val="18"/>
                <w:color w:val="auto"/>
                <w:w w:val="90"/>
              </w:rPr>
              <w:t>(7)</w:t>
            </w:r>
          </w:p>
        </w:tc>
        <w:tc>
          <w:tcPr>
            <w:tcW w:w="8660" w:type="dxa"/>
            <w:vAlign w:val="bottom"/>
          </w:tcPr>
          <w:p>
            <w:pPr>
              <w:ind w:left="140"/>
              <w:spacing w:after="0" w:line="201" w:lineRule="exact"/>
              <w:rPr>
                <w:sz w:val="20"/>
                <w:szCs w:val="20"/>
                <w:color w:val="auto"/>
              </w:rPr>
            </w:pPr>
            <w:r>
              <w:rPr>
                <w:rFonts w:ascii="Arial" w:cs="Arial" w:eastAsia="Arial" w:hAnsi="Arial"/>
                <w:sz w:val="18"/>
                <w:szCs w:val="18"/>
                <w:color w:val="auto"/>
              </w:rPr>
              <w:t>Sole Voting Power:</w:t>
            </w:r>
          </w:p>
        </w:tc>
      </w:tr>
      <w:tr>
        <w:trPr>
          <w:trHeight w:val="216"/>
        </w:trPr>
        <w:tc>
          <w:tcPr>
            <w:tcW w:w="16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beneficially owned by</w:t>
            </w: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660" w:type="dxa"/>
            <w:vAlign w:val="bottom"/>
          </w:tcPr>
          <w:p>
            <w:pPr>
              <w:spacing w:after="0"/>
              <w:rPr>
                <w:sz w:val="18"/>
                <w:szCs w:val="18"/>
                <w:color w:val="auto"/>
              </w:rPr>
            </w:pPr>
          </w:p>
        </w:tc>
      </w:tr>
      <w:tr>
        <w:trPr>
          <w:trHeight w:val="216"/>
        </w:trPr>
        <w:tc>
          <w:tcPr>
            <w:tcW w:w="16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each reporting person</w:t>
            </w: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8"/>
                <w:szCs w:val="18"/>
                <w:color w:val="auto"/>
              </w:rPr>
              <w:t>0</w:t>
            </w:r>
          </w:p>
        </w:tc>
      </w:tr>
      <w:tr>
        <w:trPr>
          <w:trHeight w:val="237"/>
        </w:trPr>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9"/>
              </w:rPr>
              <w:t>with</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660" w:type="dxa"/>
            <w:vAlign w:val="bottom"/>
            <w:tcBorders>
              <w:bottom w:val="single" w:sz="8" w:color="auto"/>
            </w:tcBorders>
          </w:tcPr>
          <w:p>
            <w:pPr>
              <w:spacing w:after="0"/>
              <w:rPr>
                <w:sz w:val="20"/>
                <w:szCs w:val="20"/>
                <w:color w:val="auto"/>
              </w:rPr>
            </w:pPr>
          </w:p>
        </w:tc>
      </w:tr>
      <w:tr>
        <w:trPr>
          <w:trHeight w:val="230"/>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0"/>
              </w:rPr>
              <w:t>(8)</w:t>
            </w:r>
          </w:p>
        </w:tc>
        <w:tc>
          <w:tcPr>
            <w:tcW w:w="8660" w:type="dxa"/>
            <w:vAlign w:val="bottom"/>
          </w:tcPr>
          <w:p>
            <w:pPr>
              <w:ind w:left="140"/>
              <w:spacing w:after="0"/>
              <w:rPr>
                <w:sz w:val="20"/>
                <w:szCs w:val="20"/>
                <w:color w:val="auto"/>
              </w:rPr>
            </w:pPr>
            <w:r>
              <w:rPr>
                <w:rFonts w:ascii="Arial" w:cs="Arial" w:eastAsia="Arial" w:hAnsi="Arial"/>
                <w:sz w:val="18"/>
                <w:szCs w:val="18"/>
                <w:color w:val="auto"/>
              </w:rPr>
              <w:t>Shared Voting Power:</w:t>
            </w:r>
          </w:p>
        </w:tc>
      </w:tr>
      <w:tr>
        <w:trPr>
          <w:trHeight w:val="425"/>
        </w:trPr>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88,504,132*</w:t>
            </w:r>
          </w:p>
        </w:tc>
      </w:tr>
      <w:tr>
        <w:trPr>
          <w:trHeight w:val="230"/>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0"/>
              </w:rPr>
              <w:t>(9)</w:t>
            </w:r>
          </w:p>
        </w:tc>
        <w:tc>
          <w:tcPr>
            <w:tcW w:w="8660" w:type="dxa"/>
            <w:vAlign w:val="bottom"/>
          </w:tcPr>
          <w:p>
            <w:pPr>
              <w:ind w:left="140"/>
              <w:spacing w:after="0"/>
              <w:rPr>
                <w:sz w:val="20"/>
                <w:szCs w:val="20"/>
                <w:color w:val="auto"/>
              </w:rPr>
            </w:pPr>
            <w:r>
              <w:rPr>
                <w:rFonts w:ascii="Arial" w:cs="Arial" w:eastAsia="Arial" w:hAnsi="Arial"/>
                <w:sz w:val="18"/>
                <w:szCs w:val="18"/>
                <w:color w:val="auto"/>
              </w:rPr>
              <w:t>Sole dispositive power:</w:t>
            </w:r>
          </w:p>
        </w:tc>
      </w:tr>
      <w:tr>
        <w:trPr>
          <w:trHeight w:val="425"/>
        </w:trPr>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r>
      <w:tr>
        <w:trPr>
          <w:trHeight w:val="230"/>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3"/>
              </w:rPr>
              <w:t>(10)</w:t>
            </w:r>
          </w:p>
        </w:tc>
        <w:tc>
          <w:tcPr>
            <w:tcW w:w="866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r>
      <w:tr>
        <w:trPr>
          <w:trHeight w:val="425"/>
        </w:trPr>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88,504,132*</w:t>
            </w:r>
          </w:p>
        </w:tc>
      </w:tr>
      <w:tr>
        <w:trPr>
          <w:trHeight w:val="230"/>
        </w:trPr>
        <w:tc>
          <w:tcPr>
            <w:tcW w:w="6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(11)</w:t>
            </w:r>
          </w:p>
        </w:tc>
        <w:tc>
          <w:tcPr>
            <w:tcW w:w="620" w:type="dxa"/>
            <w:vAlign w:val="bottom"/>
            <w:tcBorders>
              <w:right w:val="single" w:sz="8" w:color="auto"/>
            </w:tcBorders>
          </w:tcPr>
          <w:p>
            <w:pPr>
              <w:spacing w:after="0"/>
              <w:rPr>
                <w:sz w:val="20"/>
                <w:szCs w:val="20"/>
                <w:color w:val="auto"/>
              </w:rPr>
            </w:pP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25"/>
        </w:trPr>
        <w:tc>
          <w:tcPr>
            <w:tcW w:w="60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88,504,132*</w:t>
            </w:r>
          </w:p>
        </w:tc>
        <w:tc>
          <w:tcPr>
            <w:tcW w:w="8660" w:type="dxa"/>
            <w:vAlign w:val="bottom"/>
            <w:tcBorders>
              <w:bottom w:val="single" w:sz="8" w:color="auto"/>
            </w:tcBorders>
          </w:tcPr>
          <w:p>
            <w:pPr>
              <w:spacing w:after="0"/>
              <w:rPr>
                <w:sz w:val="24"/>
                <w:szCs w:val="24"/>
                <w:color w:val="auto"/>
              </w:rPr>
            </w:pPr>
          </w:p>
        </w:tc>
      </w:tr>
      <w:tr>
        <w:trPr>
          <w:trHeight w:val="230"/>
        </w:trPr>
        <w:tc>
          <w:tcPr>
            <w:tcW w:w="6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(12)</w:t>
            </w:r>
          </w:p>
        </w:tc>
        <w:tc>
          <w:tcPr>
            <w:tcW w:w="620" w:type="dxa"/>
            <w:vAlign w:val="bottom"/>
            <w:tcBorders>
              <w:right w:val="single" w:sz="8" w:color="auto"/>
            </w:tcBorders>
          </w:tcPr>
          <w:p>
            <w:pPr>
              <w:spacing w:after="0"/>
              <w:rPr>
                <w:sz w:val="20"/>
                <w:szCs w:val="20"/>
                <w:color w:val="auto"/>
              </w:rPr>
            </w:pP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r>
      <w:tr>
        <w:trPr>
          <w:trHeight w:val="425"/>
        </w:trPr>
        <w:tc>
          <w:tcPr>
            <w:tcW w:w="60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x **</w:t>
            </w:r>
          </w:p>
        </w:tc>
        <w:tc>
          <w:tcPr>
            <w:tcW w:w="7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r>
        <w:trPr>
          <w:trHeight w:val="230"/>
        </w:trPr>
        <w:tc>
          <w:tcPr>
            <w:tcW w:w="6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(13)</w:t>
            </w:r>
          </w:p>
        </w:tc>
        <w:tc>
          <w:tcPr>
            <w:tcW w:w="620" w:type="dxa"/>
            <w:vAlign w:val="bottom"/>
            <w:tcBorders>
              <w:right w:val="single" w:sz="8" w:color="auto"/>
            </w:tcBorders>
          </w:tcPr>
          <w:p>
            <w:pPr>
              <w:spacing w:after="0"/>
              <w:rPr>
                <w:sz w:val="20"/>
                <w:szCs w:val="20"/>
                <w:color w:val="auto"/>
              </w:rPr>
            </w:pP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Percent of class represented by amount in Row (11):</w:t>
            </w:r>
          </w:p>
        </w:tc>
      </w:tr>
      <w:tr>
        <w:trPr>
          <w:trHeight w:val="425"/>
        </w:trPr>
        <w:tc>
          <w:tcPr>
            <w:tcW w:w="60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12.8%*</w:t>
            </w:r>
          </w:p>
        </w:tc>
        <w:tc>
          <w:tcPr>
            <w:tcW w:w="7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r>
        <w:trPr>
          <w:trHeight w:val="230"/>
        </w:trPr>
        <w:tc>
          <w:tcPr>
            <w:tcW w:w="6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(14)</w:t>
            </w:r>
          </w:p>
        </w:tc>
        <w:tc>
          <w:tcPr>
            <w:tcW w:w="620" w:type="dxa"/>
            <w:vAlign w:val="bottom"/>
            <w:tcBorders>
              <w:right w:val="single" w:sz="8" w:color="auto"/>
            </w:tcBorders>
          </w:tcPr>
          <w:p>
            <w:pPr>
              <w:spacing w:after="0"/>
              <w:rPr>
                <w:sz w:val="20"/>
                <w:szCs w:val="20"/>
                <w:color w:val="auto"/>
              </w:rPr>
            </w:pP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Type of reporting person:</w:t>
            </w:r>
          </w:p>
        </w:tc>
      </w:tr>
      <w:tr>
        <w:trPr>
          <w:trHeight w:val="425"/>
        </w:trPr>
        <w:tc>
          <w:tcPr>
            <w:tcW w:w="60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OO</w:t>
            </w:r>
          </w:p>
        </w:tc>
        <w:tc>
          <w:tcPr>
            <w:tcW w:w="7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p>
      <w:pPr>
        <w:ind w:left="580" w:right="20" w:hanging="572"/>
        <w:spacing w:after="0" w:line="285"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discussion in Items 4 through 6 of this Schedule 13D. As more fully described in the responses to Items 4 through 6 of this Schedule 13D, the Reporting Persons and certain other beneficial owners of Class A Common Stock named herein may be deemed to be members of a “group” under Section 13(d) of the Act by virtue of the Equityholders’ Agreement described in this Schedule 13D. Neither the filing of this Schedule 13D nor any of its contents shall be deemed to constitute an admission by any Reporting Person that, except as expressly set forth herein, it has or shares beneficial ownership of any shares of Class A Common Stock held by any other person for purposes of Section 13(d) of the Act, or for any other purpose, and</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such beneficial ownership thereof is expressly disclaimed.</w:t>
      </w:r>
    </w:p>
    <w:p>
      <w:pPr>
        <w:spacing w:after="0" w:line="9"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Item 5(a)-(b) of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3" w:name="page4"/>
    <w:bookmarkEnd w:id="3"/>
    <w:p>
      <w:pPr>
        <w:spacing w:after="0"/>
        <w:tabs>
          <w:tab w:leader="none" w:pos="5100" w:val="left"/>
          <w:tab w:leader="none" w:pos="10580" w:val="left"/>
        </w:tabs>
        <w:rPr>
          <w:sz w:val="20"/>
          <w:szCs w:val="20"/>
          <w:color w:val="auto"/>
        </w:rPr>
      </w:pPr>
      <w:r>
        <w:rPr>
          <w:rFonts w:ascii="Arial" w:cs="Arial" w:eastAsia="Arial" w:hAnsi="Arial"/>
          <w:sz w:val="18"/>
          <w:szCs w:val="18"/>
          <w:color w:val="auto"/>
        </w:rPr>
        <w:t>CUSIP No. 18538Q105</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3 of 8</w:t>
      </w:r>
    </w:p>
    <w:p>
      <w:pPr>
        <w:spacing w:after="0" w:line="200" w:lineRule="exact"/>
        <w:rPr>
          <w:sz w:val="20"/>
          <w:szCs w:val="20"/>
          <w:color w:val="auto"/>
        </w:rPr>
      </w:pPr>
    </w:p>
    <w:p>
      <w:pPr>
        <w:spacing w:after="0" w:line="34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b w:val="1"/>
          <w:bCs w:val="1"/>
          <w:color w:val="auto"/>
        </w:rPr>
        <w:t>Amendment</w:t>
      </w:r>
      <w:r>
        <w:rPr>
          <w:rFonts w:ascii="Arial" w:cs="Arial" w:eastAsia="Arial" w:hAnsi="Arial"/>
          <w:sz w:val="18"/>
          <w:szCs w:val="18"/>
          <w:color w:val="auto"/>
        </w:rPr>
        <w:t>”) amends and supplements the Statement on Schedule 13D filed on October 22, 2012 (the “</w:t>
      </w:r>
      <w:r>
        <w:rPr>
          <w:rFonts w:ascii="Arial" w:cs="Arial" w:eastAsia="Arial" w:hAnsi="Arial"/>
          <w:sz w:val="18"/>
          <w:szCs w:val="18"/>
          <w:b w:val="1"/>
          <w:bCs w:val="1"/>
          <w:color w:val="auto"/>
        </w:rPr>
        <w:t>Initial Schedule</w:t>
      </w:r>
      <w:r>
        <w:rPr>
          <w:rFonts w:ascii="Arial" w:cs="Arial" w:eastAsia="Arial" w:hAnsi="Arial"/>
          <w:sz w:val="18"/>
          <w:szCs w:val="18"/>
          <w:color w:val="auto"/>
        </w:rPr>
        <w:t xml:space="preserve"> </w:t>
      </w:r>
      <w:r>
        <w:rPr>
          <w:rFonts w:ascii="Arial" w:cs="Arial" w:eastAsia="Arial" w:hAnsi="Arial"/>
          <w:sz w:val="18"/>
          <w:szCs w:val="18"/>
          <w:b w:val="1"/>
          <w:bCs w:val="1"/>
          <w:color w:val="auto"/>
        </w:rPr>
        <w:t>13D</w:t>
      </w:r>
      <w:r>
        <w:rPr>
          <w:rFonts w:ascii="Arial" w:cs="Arial" w:eastAsia="Arial" w:hAnsi="Arial"/>
          <w:sz w:val="18"/>
          <w:szCs w:val="18"/>
          <w:color w:val="auto"/>
        </w:rPr>
        <w:t>” and, as amended by this Amendment, the “</w:t>
      </w:r>
      <w:r>
        <w:rPr>
          <w:rFonts w:ascii="Arial" w:cs="Arial" w:eastAsia="Arial" w:hAnsi="Arial"/>
          <w:sz w:val="18"/>
          <w:szCs w:val="18"/>
          <w:b w:val="1"/>
          <w:bCs w:val="1"/>
          <w:color w:val="auto"/>
        </w:rPr>
        <w:t>Schedule 13D</w:t>
      </w:r>
      <w:r>
        <w:rPr>
          <w:rFonts w:ascii="Arial" w:cs="Arial" w:eastAsia="Arial" w:hAnsi="Arial"/>
          <w:sz w:val="18"/>
          <w:szCs w:val="18"/>
          <w:color w:val="auto"/>
        </w:rPr>
        <w:t>”) by Comcast Corporation, a Pennsylvania corporation (“</w:t>
      </w:r>
      <w:r>
        <w:rPr>
          <w:rFonts w:ascii="Arial" w:cs="Arial" w:eastAsia="Arial" w:hAnsi="Arial"/>
          <w:sz w:val="18"/>
          <w:szCs w:val="18"/>
          <w:b w:val="1"/>
          <w:bCs w:val="1"/>
          <w:color w:val="auto"/>
        </w:rPr>
        <w:t>Comcast</w:t>
      </w:r>
      <w:r>
        <w:rPr>
          <w:rFonts w:ascii="Arial" w:cs="Arial" w:eastAsia="Arial" w:hAnsi="Arial"/>
          <w:sz w:val="18"/>
          <w:szCs w:val="18"/>
          <w:color w:val="auto"/>
        </w:rPr>
        <w:t>”), and Comcast Wireless</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LLC, a Delaware limited liability company (“</w:t>
      </w:r>
      <w:r>
        <w:rPr>
          <w:rFonts w:ascii="Arial" w:cs="Arial" w:eastAsia="Arial" w:hAnsi="Arial"/>
          <w:sz w:val="18"/>
          <w:szCs w:val="18"/>
          <w:b w:val="1"/>
          <w:bCs w:val="1"/>
          <w:color w:val="auto"/>
        </w:rPr>
        <w:t>Comcast LLC</w:t>
      </w:r>
      <w:r>
        <w:rPr>
          <w:rFonts w:ascii="Arial" w:cs="Arial" w:eastAsia="Arial" w:hAnsi="Arial"/>
          <w:sz w:val="18"/>
          <w:szCs w:val="18"/>
          <w:color w:val="auto"/>
        </w:rPr>
        <w:t>” and, collectively with Comcast, the “</w:t>
      </w:r>
      <w:r>
        <w:rPr>
          <w:rFonts w:ascii="Arial" w:cs="Arial" w:eastAsia="Arial" w:hAnsi="Arial"/>
          <w:sz w:val="18"/>
          <w:szCs w:val="18"/>
          <w:b w:val="1"/>
          <w:bCs w:val="1"/>
          <w:color w:val="auto"/>
        </w:rPr>
        <w:t>Comcast Entities</w:t>
      </w:r>
      <w:r>
        <w:rPr>
          <w:rFonts w:ascii="Arial" w:cs="Arial" w:eastAsia="Arial" w:hAnsi="Arial"/>
          <w:sz w:val="18"/>
          <w:szCs w:val="18"/>
          <w:color w:val="auto"/>
        </w:rPr>
        <w:t>” or the “</w:t>
      </w:r>
      <w:r>
        <w:rPr>
          <w:rFonts w:ascii="Arial" w:cs="Arial" w:eastAsia="Arial" w:hAnsi="Arial"/>
          <w:sz w:val="18"/>
          <w:szCs w:val="18"/>
          <w:b w:val="1"/>
          <w:bCs w:val="1"/>
          <w:color w:val="auto"/>
        </w:rPr>
        <w:t>Reporting</w:t>
      </w:r>
      <w:r>
        <w:rPr>
          <w:rFonts w:ascii="Arial" w:cs="Arial" w:eastAsia="Arial" w:hAnsi="Arial"/>
          <w:sz w:val="18"/>
          <w:szCs w:val="18"/>
          <w:color w:val="auto"/>
        </w:rPr>
        <w:t xml:space="preserve"> </w:t>
      </w:r>
      <w:r>
        <w:rPr>
          <w:rFonts w:ascii="Arial" w:cs="Arial" w:eastAsia="Arial" w:hAnsi="Arial"/>
          <w:sz w:val="18"/>
          <w:szCs w:val="18"/>
          <w:b w:val="1"/>
          <w:bCs w:val="1"/>
          <w:color w:val="auto"/>
        </w:rPr>
        <w:t>Persons</w:t>
      </w:r>
      <w:r>
        <w:rPr>
          <w:rFonts w:ascii="Arial" w:cs="Arial" w:eastAsia="Arial" w:hAnsi="Arial"/>
          <w:sz w:val="18"/>
          <w:szCs w:val="18"/>
          <w:color w:val="auto"/>
        </w:rPr>
        <w:t>”), with respect to the Class A common stock, par value $0.0001 per share (the “</w:t>
      </w:r>
      <w:r>
        <w:rPr>
          <w:rFonts w:ascii="Arial" w:cs="Arial" w:eastAsia="Arial" w:hAnsi="Arial"/>
          <w:sz w:val="18"/>
          <w:szCs w:val="18"/>
          <w:b w:val="1"/>
          <w:bCs w:val="1"/>
          <w:color w:val="auto"/>
        </w:rPr>
        <w:t>Class A Common Stock</w:t>
      </w:r>
      <w:r>
        <w:rPr>
          <w:rFonts w:ascii="Arial" w:cs="Arial" w:eastAsia="Arial" w:hAnsi="Arial"/>
          <w:sz w:val="18"/>
          <w:szCs w:val="18"/>
          <w:color w:val="auto"/>
        </w:rPr>
        <w:t>”), of Clearwire Corporation,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t>
      </w:r>
      <w:r>
        <w:rPr>
          <w:rFonts w:ascii="Arial" w:cs="Arial" w:eastAsia="Arial" w:hAnsi="Arial"/>
          <w:sz w:val="18"/>
          <w:szCs w:val="18"/>
          <w:b w:val="1"/>
          <w:bCs w:val="1"/>
          <w:color w:val="auto"/>
        </w:rPr>
        <w:t>Clearwire</w:t>
      </w:r>
      <w:r>
        <w:rPr>
          <w:rFonts w:ascii="Arial" w:cs="Arial" w:eastAsia="Arial" w:hAnsi="Arial"/>
          <w:sz w:val="18"/>
          <w:szCs w:val="18"/>
          <w:color w:val="auto"/>
        </w:rPr>
        <w:t>” or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 REGARDING PRIOR JOINT SCHEDULE 13D</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This Schedule 13D relates to the Statement on Schedule 13D filed on December 5, 2008 (the “</w:t>
      </w:r>
      <w:r>
        <w:rPr>
          <w:rFonts w:ascii="Arial" w:cs="Arial" w:eastAsia="Arial" w:hAnsi="Arial"/>
          <w:sz w:val="16"/>
          <w:szCs w:val="16"/>
          <w:b w:val="1"/>
          <w:bCs w:val="1"/>
          <w:color w:val="auto"/>
        </w:rPr>
        <w:t>Initial Joint 13D Filing</w:t>
      </w:r>
      <w:r>
        <w:rPr>
          <w:rFonts w:ascii="Arial" w:cs="Arial" w:eastAsia="Arial" w:hAnsi="Arial"/>
          <w:sz w:val="16"/>
          <w:szCs w:val="16"/>
          <w:color w:val="auto"/>
        </w:rPr>
        <w:t>”), as amended by Amendment No. 1</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thereto filed on February 27, 2009, Amendment No. 2 thereto filed on November 12, 2009, Amendment No. 3 thereto filed on December 22, 2009,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Amendment No. 4 thereto filed on December 7, 2010, Amendment No. 5 thereto filed on December 14, 2010, Amendment No. 6 thereto filed on May 13,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2011, Amendment No. 7 thereto filed on June 8, 2011, Amendment No. 8 thereto filed on December 16, 2011, Amendment No. 9 thereto filed on</w:t>
      </w:r>
    </w:p>
    <w:p>
      <w:pPr>
        <w:spacing w:after="0" w:line="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February 24, 2012, Amendment No. 10 thereto filed on March 14, 2012, Amendment No. 11 thereto filed on June 15, 2012, Amendment No. 12 thereto filed on September 14, 2012, and Amendment No. 13 thereto filed on October 3, 2012 (the Initial Joint 13D Filing, as so amended through Amendment No. 13, the “</w:t>
      </w:r>
      <w:r>
        <w:rPr>
          <w:rFonts w:ascii="Arial" w:cs="Arial" w:eastAsia="Arial" w:hAnsi="Arial"/>
          <w:sz w:val="18"/>
          <w:szCs w:val="18"/>
          <w:b w:val="1"/>
          <w:bCs w:val="1"/>
          <w:color w:val="auto"/>
        </w:rPr>
        <w:t>Prior Joint Schedule 13D</w:t>
      </w:r>
      <w:r>
        <w:rPr>
          <w:rFonts w:ascii="Arial" w:cs="Arial" w:eastAsia="Arial" w:hAnsi="Arial"/>
          <w:sz w:val="18"/>
          <w:szCs w:val="18"/>
          <w:color w:val="auto"/>
        </w:rPr>
        <w:t>”). The Prior Joint Schedule 13D was jointly filed on behalf of (i) the Reporting Persons, (ii) Sprint Nextel Corporation, a Kansas corporation (“</w:t>
      </w:r>
      <w:r>
        <w:rPr>
          <w:rFonts w:ascii="Arial" w:cs="Arial" w:eastAsia="Arial" w:hAnsi="Arial"/>
          <w:sz w:val="18"/>
          <w:szCs w:val="18"/>
          <w:b w:val="1"/>
          <w:bCs w:val="1"/>
          <w:color w:val="auto"/>
        </w:rPr>
        <w:t>Sprint</w:t>
      </w:r>
      <w:r>
        <w:rPr>
          <w:rFonts w:ascii="Arial" w:cs="Arial" w:eastAsia="Arial" w:hAnsi="Arial"/>
          <w:sz w:val="18"/>
          <w:szCs w:val="18"/>
          <w:color w:val="auto"/>
        </w:rPr>
        <w:t>”), Sprint HoldCo, LLC, a Delaware limited liability company (“</w:t>
      </w:r>
      <w:r>
        <w:rPr>
          <w:rFonts w:ascii="Arial" w:cs="Arial" w:eastAsia="Arial" w:hAnsi="Arial"/>
          <w:sz w:val="18"/>
          <w:szCs w:val="18"/>
          <w:b w:val="1"/>
          <w:bCs w:val="1"/>
          <w:color w:val="auto"/>
        </w:rPr>
        <w:t>Sprint HoldCo</w:t>
      </w:r>
      <w:r>
        <w:rPr>
          <w:rFonts w:ascii="Arial" w:cs="Arial" w:eastAsia="Arial" w:hAnsi="Arial"/>
          <w:sz w:val="18"/>
          <w:szCs w:val="18"/>
          <w:color w:val="auto"/>
        </w:rPr>
        <w:t>” and together with Sprint, the “</w:t>
      </w:r>
      <w:r>
        <w:rPr>
          <w:rFonts w:ascii="Arial" w:cs="Arial" w:eastAsia="Arial" w:hAnsi="Arial"/>
          <w:sz w:val="18"/>
          <w:szCs w:val="18"/>
          <w:b w:val="1"/>
          <w:bCs w:val="1"/>
          <w:color w:val="auto"/>
        </w:rPr>
        <w:t>Initial Sprint Entities</w:t>
      </w:r>
      <w:r>
        <w:rPr>
          <w:rFonts w:ascii="Arial" w:cs="Arial" w:eastAsia="Arial" w:hAnsi="Arial"/>
          <w:sz w:val="18"/>
          <w:szCs w:val="18"/>
          <w:color w:val="auto"/>
        </w:rPr>
        <w:t xml:space="preserve"> ”), (iii) Bright House Networks, LLC, a Delaware limited liability company (“</w:t>
      </w:r>
      <w:r>
        <w:rPr>
          <w:rFonts w:ascii="Arial" w:cs="Arial" w:eastAsia="Arial" w:hAnsi="Arial"/>
          <w:sz w:val="18"/>
          <w:szCs w:val="18"/>
          <w:b w:val="1"/>
          <w:bCs w:val="1"/>
          <w:color w:val="auto"/>
        </w:rPr>
        <w:t>BHN</w:t>
      </w:r>
      <w:r>
        <w:rPr>
          <w:rFonts w:ascii="Arial" w:cs="Arial" w:eastAsia="Arial" w:hAnsi="Arial"/>
          <w:sz w:val="18"/>
          <w:szCs w:val="18"/>
          <w:color w:val="auto"/>
        </w:rPr>
        <w:t>”), BHN Spectrum Investments, LLC, a Delaware limited liability company (“</w:t>
      </w:r>
      <w:r>
        <w:rPr>
          <w:rFonts w:ascii="Arial" w:cs="Arial" w:eastAsia="Arial" w:hAnsi="Arial"/>
          <w:sz w:val="18"/>
          <w:szCs w:val="18"/>
          <w:b w:val="1"/>
          <w:bCs w:val="1"/>
          <w:color w:val="auto"/>
        </w:rPr>
        <w:t>BHN Spectrum</w:t>
      </w:r>
      <w:r>
        <w:rPr>
          <w:rFonts w:ascii="Arial" w:cs="Arial" w:eastAsia="Arial" w:hAnsi="Arial"/>
          <w:sz w:val="18"/>
          <w:szCs w:val="18"/>
          <w:color w:val="auto"/>
        </w:rPr>
        <w:t>”), Newhouse Broadcasting Corporation, a New York corporation (“</w:t>
      </w:r>
      <w:r>
        <w:rPr>
          <w:rFonts w:ascii="Arial" w:cs="Arial" w:eastAsia="Arial" w:hAnsi="Arial"/>
          <w:sz w:val="18"/>
          <w:szCs w:val="18"/>
          <w:b w:val="1"/>
          <w:bCs w:val="1"/>
          <w:color w:val="auto"/>
        </w:rPr>
        <w:t>NBCo</w:t>
      </w:r>
      <w:r>
        <w:rPr>
          <w:rFonts w:ascii="Arial" w:cs="Arial" w:eastAsia="Arial" w:hAnsi="Arial"/>
          <w:sz w:val="18"/>
          <w:szCs w:val="18"/>
          <w:color w:val="auto"/>
        </w:rPr>
        <w:t>”, and collectively with BHN and BHN Spectrum, the “</w:t>
      </w:r>
      <w:r>
        <w:rPr>
          <w:rFonts w:ascii="Arial" w:cs="Arial" w:eastAsia="Arial" w:hAnsi="Arial"/>
          <w:sz w:val="18"/>
          <w:szCs w:val="18"/>
          <w:b w:val="1"/>
          <w:bCs w:val="1"/>
          <w:color w:val="auto"/>
        </w:rPr>
        <w:t>BHN Entities</w:t>
      </w:r>
      <w:r>
        <w:rPr>
          <w:rFonts w:ascii="Arial" w:cs="Arial" w:eastAsia="Arial" w:hAnsi="Arial"/>
          <w:sz w:val="18"/>
          <w:szCs w:val="18"/>
          <w:color w:val="auto"/>
        </w:rPr>
        <w:t>”), (iv) Eagle River Holdings, LLC, a Washington limited liability company (“</w:t>
      </w:r>
      <w:r>
        <w:rPr>
          <w:rFonts w:ascii="Arial" w:cs="Arial" w:eastAsia="Arial" w:hAnsi="Arial"/>
          <w:sz w:val="18"/>
          <w:szCs w:val="18"/>
          <w:b w:val="1"/>
          <w:bCs w:val="1"/>
          <w:color w:val="auto"/>
        </w:rPr>
        <w:t>ERH</w:t>
      </w:r>
      <w:r>
        <w:rPr>
          <w:rFonts w:ascii="Arial" w:cs="Arial" w:eastAsia="Arial" w:hAnsi="Arial"/>
          <w:sz w:val="18"/>
          <w:szCs w:val="18"/>
          <w:color w:val="auto"/>
        </w:rPr>
        <w:t>”) and Craig O. McCaw, an individual (“</w:t>
      </w:r>
      <w:r>
        <w:rPr>
          <w:rFonts w:ascii="Arial" w:cs="Arial" w:eastAsia="Arial" w:hAnsi="Arial"/>
          <w:sz w:val="18"/>
          <w:szCs w:val="18"/>
          <w:b w:val="1"/>
          <w:bCs w:val="1"/>
          <w:color w:val="auto"/>
        </w:rPr>
        <w:t>Mr. McCaw</w:t>
      </w:r>
      <w:r>
        <w:rPr>
          <w:rFonts w:ascii="Arial" w:cs="Arial" w:eastAsia="Arial" w:hAnsi="Arial"/>
          <w:sz w:val="18"/>
          <w:szCs w:val="18"/>
          <w:color w:val="auto"/>
        </w:rPr>
        <w:t>” and, together with ERH, the “</w:t>
      </w:r>
      <w:r>
        <w:rPr>
          <w:rFonts w:ascii="Arial" w:cs="Arial" w:eastAsia="Arial" w:hAnsi="Arial"/>
          <w:sz w:val="18"/>
          <w:szCs w:val="18"/>
          <w:b w:val="1"/>
          <w:bCs w:val="1"/>
          <w:color w:val="auto"/>
        </w:rPr>
        <w:t>ERH Entities</w:t>
      </w:r>
      <w:r>
        <w:rPr>
          <w:rFonts w:ascii="Arial" w:cs="Arial" w:eastAsia="Arial" w:hAnsi="Arial"/>
          <w:sz w:val="18"/>
          <w:szCs w:val="18"/>
          <w:color w:val="auto"/>
        </w:rPr>
        <w:t>”), and (v) certain other beneficial owners of Class A Common Stock that were previously party to the Equityholders’ Agreement described in this Schedule 13D.</w:t>
      </w:r>
    </w:p>
    <w:p>
      <w:pPr>
        <w:spacing w:after="0" w:line="25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October 17, 2012, the Reporting Persons elected to report their beneficial ownership of Class A Common Stock apart from the Initial Sprint Entities, the BHN Entities and the ERH Entities. Accordingly, this Schedule 13D is filed solely by the Reporting Persons. Nonetheless, this Schedule 13D is a continuation of the Reporting Persons’ beneficial ownership reporting of Class A Common Stock set forth in the Prior Joint Schedule 13D, and as such, information from the Prior Joint Schedule 13D has been incorporated herein by reference as if set forth in full herein. The Initial Joint 13D Filing and all amendments thereto through Amendment No. 13 are filed as Exhibits 99.1 through Exhibit 99.14 to the Schedule 13D, respectively, and incorporated herein by reference.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All capitalized terms used in the Schedule 13D and not defined herein have the meanings ascribed to such terms in the Prior Joint Schedule 13D.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Item 4 of the Initial Schedule 13D is amended and supplemented by adding the following information under the new headings “ERH Transaction” and “Merger”,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4" w:name="page5"/>
    <w:bookmarkEnd w:id="4"/>
    <w:p>
      <w:pPr>
        <w:spacing w:after="0"/>
        <w:tabs>
          <w:tab w:leader="none" w:pos="5100" w:val="left"/>
          <w:tab w:leader="none" w:pos="10580" w:val="left"/>
        </w:tabs>
        <w:rPr>
          <w:sz w:val="20"/>
          <w:szCs w:val="20"/>
          <w:color w:val="auto"/>
        </w:rPr>
      </w:pPr>
      <w:r>
        <w:rPr>
          <w:rFonts w:ascii="Arial" w:cs="Arial" w:eastAsia="Arial" w:hAnsi="Arial"/>
          <w:sz w:val="18"/>
          <w:szCs w:val="18"/>
          <w:color w:val="auto"/>
        </w:rPr>
        <w:t>CUSIP No. 18538Q105</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4 of 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ERH Transaction</w:t>
      </w:r>
    </w:p>
    <w:p>
      <w:pPr>
        <w:spacing w:after="0" w:line="275"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color w:val="auto"/>
        </w:rPr>
        <w:t>On December 11, 2012, ERH and the Sprint Entities (as defined below) consummated the transactions contemplated by the ERH ROFO Notice (the “</w:t>
      </w:r>
      <w:r>
        <w:rPr>
          <w:rFonts w:ascii="Arial" w:cs="Arial" w:eastAsia="Arial" w:hAnsi="Arial"/>
          <w:sz w:val="18"/>
          <w:szCs w:val="18"/>
          <w:b w:val="1"/>
          <w:bCs w:val="1"/>
          <w:color w:val="auto"/>
        </w:rPr>
        <w:t>ERH</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w:t>
      </w:r>
      <w:r>
        <w:rPr>
          <w:rFonts w:ascii="Arial" w:cs="Arial" w:eastAsia="Arial" w:hAnsi="Arial"/>
          <w:sz w:val="18"/>
          <w:szCs w:val="18"/>
          <w:color w:val="auto"/>
        </w:rPr>
        <w:t>”). The ERH Interests were purchased by SN UHC 1, Inc. (“</w:t>
      </w:r>
      <w:r>
        <w:rPr>
          <w:rFonts w:ascii="Arial" w:cs="Arial" w:eastAsia="Arial" w:hAnsi="Arial"/>
          <w:sz w:val="18"/>
          <w:szCs w:val="18"/>
          <w:b w:val="1"/>
          <w:bCs w:val="1"/>
          <w:color w:val="auto"/>
        </w:rPr>
        <w:t>SN UHC 1</w:t>
      </w:r>
      <w:r>
        <w:rPr>
          <w:rFonts w:ascii="Arial" w:cs="Arial" w:eastAsia="Arial" w:hAnsi="Arial"/>
          <w:sz w:val="18"/>
          <w:szCs w:val="18"/>
          <w:color w:val="auto"/>
        </w:rPr>
        <w:t>” and, together with the Initial Sprint Entities, the “</w:t>
      </w:r>
      <w:r>
        <w:rPr>
          <w:rFonts w:ascii="Arial" w:cs="Arial" w:eastAsia="Arial" w:hAnsi="Arial"/>
          <w:sz w:val="18"/>
          <w:szCs w:val="18"/>
          <w:b w:val="1"/>
          <w:bCs w:val="1"/>
          <w:color w:val="auto"/>
        </w:rPr>
        <w:t>Sprint Entities</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and an indirect wholly-owned subsidiary of Sprint. ERH continues to hold certain warrants, which, upon the exercise thereof, entitle the holder to receive 375,000 shares of Class A Common Stock.</w:t>
      </w:r>
    </w:p>
    <w:p>
      <w:pPr>
        <w:spacing w:after="0" w:line="238"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As a result of the Second Amendment described under “Amendments to Equityholders’ Agreement” below, ERH may no longer be deemed a member of the “group” under Section 13(d) of the Act with the Sprint Entities, the Comcast Entities, the BHN Entities and the Intel Entities.</w:t>
      </w:r>
    </w:p>
    <w:p>
      <w:pPr>
        <w:spacing w:after="0" w:line="2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more information regarding the ERH Transaction, please refer to Item 4 of the Statement on Schedule 13D filed on December 13, 2012 by the Sprint Entities (the “</w:t>
      </w:r>
      <w:r>
        <w:rPr>
          <w:rFonts w:ascii="Arial" w:cs="Arial" w:eastAsia="Arial" w:hAnsi="Arial"/>
          <w:sz w:val="18"/>
          <w:szCs w:val="18"/>
          <w:b w:val="1"/>
          <w:bCs w:val="1"/>
          <w:color w:val="auto"/>
        </w:rPr>
        <w:t>Sprint 13D Schedule</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Agreement</w:t>
      </w:r>
    </w:p>
    <w:p>
      <w:pPr>
        <w:spacing w:after="0" w:line="221"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color w:val="auto"/>
        </w:rPr>
        <w:t>On December 17, 2012, Sprint and Collie Acquisition Corp., a Delaware corporation and a wholly-owned subsidiary of Sprint (“</w:t>
      </w:r>
      <w:r>
        <w:rPr>
          <w:rFonts w:ascii="Arial" w:cs="Arial" w:eastAsia="Arial" w:hAnsi="Arial"/>
          <w:sz w:val="17"/>
          <w:szCs w:val="17"/>
          <w:b w:val="1"/>
          <w:bCs w:val="1"/>
          <w:color w:val="auto"/>
        </w:rPr>
        <w:t>Merger Sub</w:t>
      </w:r>
      <w:r>
        <w:rPr>
          <w:rFonts w:ascii="Arial" w:cs="Arial" w:eastAsia="Arial" w:hAnsi="Arial"/>
          <w:sz w:val="17"/>
          <w:szCs w:val="17"/>
          <w:color w:val="auto"/>
        </w:rPr>
        <w:t>”), entered into an Agreement and Plan of Merger (the “</w:t>
      </w:r>
      <w:r>
        <w:rPr>
          <w:rFonts w:ascii="Arial" w:cs="Arial" w:eastAsia="Arial" w:hAnsi="Arial"/>
          <w:sz w:val="17"/>
          <w:szCs w:val="17"/>
          <w:b w:val="1"/>
          <w:bCs w:val="1"/>
          <w:color w:val="auto"/>
        </w:rPr>
        <w:t>Merger Agreement</w:t>
      </w:r>
      <w:r>
        <w:rPr>
          <w:rFonts w:ascii="Arial" w:cs="Arial" w:eastAsia="Arial" w:hAnsi="Arial"/>
          <w:sz w:val="17"/>
          <w:szCs w:val="17"/>
          <w:color w:val="auto"/>
        </w:rPr>
        <w:t>”) with Clearwire, pursuant to which, at the effective time of the merger (the “</w:t>
      </w:r>
      <w:r>
        <w:rPr>
          <w:rFonts w:ascii="Arial" w:cs="Arial" w:eastAsia="Arial" w:hAnsi="Arial"/>
          <w:sz w:val="17"/>
          <w:szCs w:val="17"/>
          <w:b w:val="1"/>
          <w:bCs w:val="1"/>
          <w:color w:val="auto"/>
        </w:rPr>
        <w:t>Effective Time</w:t>
      </w:r>
      <w:r>
        <w:rPr>
          <w:rFonts w:ascii="Arial" w:cs="Arial" w:eastAsia="Arial" w:hAnsi="Arial"/>
          <w:sz w:val="17"/>
          <w:szCs w:val="17"/>
          <w:color w:val="auto"/>
        </w:rPr>
        <w:t>”), Merger Sub will merge with and into Clearwire, with Clearwire surviving the merger as a wholly-owned subsidiary of Sprint (the “</w:t>
      </w:r>
      <w:r>
        <w:rPr>
          <w:rFonts w:ascii="Arial" w:cs="Arial" w:eastAsia="Arial" w:hAnsi="Arial"/>
          <w:sz w:val="17"/>
          <w:szCs w:val="17"/>
          <w:b w:val="1"/>
          <w:bCs w:val="1"/>
          <w:color w:val="auto"/>
        </w:rPr>
        <w:t>Merger</w:t>
      </w:r>
      <w:r>
        <w:rPr>
          <w:rFonts w:ascii="Arial" w:cs="Arial" w:eastAsia="Arial" w:hAnsi="Arial"/>
          <w:sz w:val="17"/>
          <w:szCs w:val="17"/>
          <w:color w:val="auto"/>
        </w:rPr>
        <w:t>”).</w:t>
      </w:r>
    </w:p>
    <w:p>
      <w:pPr>
        <w:spacing w:after="0" w:line="2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Merger Agreement, at the Effective Time, each issued and outstanding share of Class A Common Stock (other than any shares owned by Sprint, SoftBank Corp. or any of their respective subsidiaries) will be cancelled and will be converted automatically into the right to receive $2.97 per share in cash, without interest. In addition, Intel A, the only holder of Class B Common Stock (together with the corresponding Clearwire Communications Class B Common Interests, the “</w:t>
      </w:r>
      <w:r>
        <w:rPr>
          <w:rFonts w:ascii="Arial" w:cs="Arial" w:eastAsia="Arial" w:hAnsi="Arial"/>
          <w:sz w:val="16"/>
          <w:szCs w:val="16"/>
          <w:b w:val="1"/>
          <w:bCs w:val="1"/>
          <w:color w:val="auto"/>
        </w:rPr>
        <w:t>Class B Interests</w:t>
      </w:r>
      <w:r>
        <w:rPr>
          <w:rFonts w:ascii="Arial" w:cs="Arial" w:eastAsia="Arial" w:hAnsi="Arial"/>
          <w:sz w:val="16"/>
          <w:szCs w:val="16"/>
          <w:color w:val="auto"/>
        </w:rPr>
        <w:t>”) other than Clearwire, Sprint and Sprint’s affiliates, has elected to irrevocably convert, immediately prior to the Effective Time, all of its Class B Interests into shares of Class A Common Stock (the “</w:t>
      </w:r>
      <w:r>
        <w:rPr>
          <w:rFonts w:ascii="Arial" w:cs="Arial" w:eastAsia="Arial" w:hAnsi="Arial"/>
          <w:sz w:val="16"/>
          <w:szCs w:val="16"/>
          <w:b w:val="1"/>
          <w:bCs w:val="1"/>
          <w:color w:val="auto"/>
        </w:rPr>
        <w:t>Irrevocable Exchange Agreement</w:t>
      </w:r>
      <w:r>
        <w:rPr>
          <w:rFonts w:ascii="Arial" w:cs="Arial" w:eastAsia="Arial" w:hAnsi="Arial"/>
          <w:sz w:val="16"/>
          <w:szCs w:val="16"/>
          <w:color w:val="auto"/>
        </w:rPr>
        <w:t>”), which will then be cancelled and converted automatically into the right to receive the merger consideration under the Merger Agreement at the Effective Time pursuant to the Merger.</w:t>
      </w:r>
    </w:p>
    <w:p>
      <w:pPr>
        <w:spacing w:after="0" w:line="21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more information regarding the Merger, the Merger Agreement and the Irrevocable Exchange Agreement, please refer to Item 4 of Amendment No. 1 to the Sprint 13D Schedule filed on December 19, 2012 (the “</w:t>
      </w:r>
      <w:r>
        <w:rPr>
          <w:rFonts w:ascii="Arial" w:cs="Arial" w:eastAsia="Arial" w:hAnsi="Arial"/>
          <w:sz w:val="18"/>
          <w:szCs w:val="18"/>
          <w:b w:val="1"/>
          <w:bCs w:val="1"/>
          <w:color w:val="auto"/>
        </w:rPr>
        <w:t>Sprint 13D Amendment</w:t>
      </w:r>
      <w:r>
        <w:rPr>
          <w:rFonts w:ascii="Arial" w:cs="Arial" w:eastAsia="Arial" w:hAnsi="Arial"/>
          <w:sz w:val="18"/>
          <w:szCs w:val="18"/>
          <w:color w:val="auto"/>
        </w:rPr>
        <w:t>”) by the Sprint Entities. The Merger Agreement and the Irrevocable Exchange Agreement are filed as Exhibit 99.46 and Exhibit 99.47 hereto,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and Support Agreement</w:t>
      </w:r>
    </w:p>
    <w:p>
      <w:pPr>
        <w:spacing w:after="0" w:line="2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connection with the Merger Agreement, each of the Intel Entities, Comcast LLC and BHN Spectrum (collectively, the “</w:t>
      </w:r>
      <w:r>
        <w:rPr>
          <w:rFonts w:ascii="Arial" w:cs="Arial" w:eastAsia="Arial" w:hAnsi="Arial"/>
          <w:sz w:val="17"/>
          <w:szCs w:val="17"/>
          <w:b w:val="1"/>
          <w:bCs w:val="1"/>
          <w:color w:val="auto"/>
        </w:rPr>
        <w:t>Voting Agreement Stockholders</w:t>
      </w:r>
      <w:r>
        <w:rPr>
          <w:rFonts w:ascii="Arial" w:cs="Arial" w:eastAsia="Arial" w:hAnsi="Arial"/>
          <w:sz w:val="17"/>
          <w:szCs w:val="17"/>
          <w:color w:val="auto"/>
        </w:rPr>
        <w:t>”) have entered into a voting and support agreement with Clearwire (the “</w:t>
      </w:r>
      <w:r>
        <w:rPr>
          <w:rFonts w:ascii="Arial" w:cs="Arial" w:eastAsia="Arial" w:hAnsi="Arial"/>
          <w:sz w:val="17"/>
          <w:szCs w:val="17"/>
          <w:b w:val="1"/>
          <w:bCs w:val="1"/>
          <w:color w:val="auto"/>
        </w:rPr>
        <w:t>Voting Agreement</w:t>
      </w:r>
      <w:r>
        <w:rPr>
          <w:rFonts w:ascii="Arial" w:cs="Arial" w:eastAsia="Arial" w:hAnsi="Arial"/>
          <w:sz w:val="17"/>
          <w:szCs w:val="17"/>
          <w:color w:val="auto"/>
        </w:rPr>
        <w:t>”) under which the Voting Agreement Stockholders have each agreed to vote their shares of Common Stock, among other things, in favor of approving and adopting the Merger Agreement, in favor of the matters to be voted upon by Clearwire’s stockholders pursuant to the Note Purchase Agreement (as defined below), in favor of any proposal to adjourn or postpone the stockholders’ meeting held to approve and adopt the Merger Agreement, and against other acquisition proposals. In addition, the Voting Agreement Stockholders have agreed not to transfer shares of Common Stock owned by them prior to Clearwire obtaining the requisite approval of the stockholders of Clearwire to adopt the Merger Agreement (the “</w:t>
      </w:r>
      <w:r>
        <w:rPr>
          <w:rFonts w:ascii="Arial" w:cs="Arial" w:eastAsia="Arial" w:hAnsi="Arial"/>
          <w:sz w:val="17"/>
          <w:szCs w:val="17"/>
          <w:b w:val="1"/>
          <w:bCs w:val="1"/>
          <w:color w:val="auto"/>
        </w:rPr>
        <w:t>Clearwire Stockholder Approval</w:t>
      </w:r>
      <w:r>
        <w:rPr>
          <w:rFonts w:ascii="Arial" w:cs="Arial" w:eastAsia="Arial" w:hAnsi="Arial"/>
          <w:sz w:val="17"/>
          <w:szCs w:val="17"/>
          <w:color w:val="auto"/>
        </w:rPr>
        <w:t>”), subject to certain exceptions. The Voting Agreement also contains certain consents and waivers by the Voting Agreement Stockholders pursuant to the Equityholders’ Agreement and the Operating Agreement with respect to the Merger and the related transactions, including the issuance of the Interim Notes (as defined below). Sprint is an express third party beneficiary of the Voting Agreement.</w:t>
      </w:r>
    </w:p>
    <w:p>
      <w:pPr>
        <w:spacing w:after="0" w:line="23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Voting Agreement will terminate upon the earliest to occur of (x) the Effective Time, (y) the termination of the Merger Agreement in accordance with its terms, or (z) the written agreement of all the Voting Agreement Stockholders, Clearwire and Sprint. In addition, each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p>
      <w:pPr>
        <w:spacing w:after="0"/>
        <w:tabs>
          <w:tab w:leader="none" w:pos="5100" w:val="left"/>
          <w:tab w:leader="none" w:pos="10580" w:val="left"/>
        </w:tabs>
        <w:rPr>
          <w:sz w:val="20"/>
          <w:szCs w:val="20"/>
          <w:color w:val="auto"/>
        </w:rPr>
      </w:pPr>
      <w:r>
        <w:rPr>
          <w:rFonts w:ascii="Arial" w:cs="Arial" w:eastAsia="Arial" w:hAnsi="Arial"/>
          <w:sz w:val="18"/>
          <w:szCs w:val="18"/>
          <w:color w:val="auto"/>
        </w:rPr>
        <w:t>CUSIP No. 18538Q105</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5 of 8</w:t>
      </w:r>
    </w:p>
    <w:p>
      <w:pPr>
        <w:spacing w:after="0" w:line="200" w:lineRule="exact"/>
        <w:rPr>
          <w:sz w:val="20"/>
          <w:szCs w:val="20"/>
          <w:color w:val="auto"/>
        </w:rPr>
      </w:pPr>
    </w:p>
    <w:p>
      <w:pPr>
        <w:spacing w:after="0" w:line="29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Stockholder will have the right to terminate the Voting Agreement as to itself upon certain amendments to the Merger Agreement, the Note Purchase Agreement (as defined below) or certain related agreements, the failure to obtain the Clearwire Stockholder Approval at the Clearwire stockholders meeting, or upon Sprint terminating its pending merger with Softbank Corp. and certain of its affiliates (the “</w:t>
      </w:r>
      <w:r>
        <w:rPr>
          <w:rFonts w:ascii="Arial" w:cs="Arial" w:eastAsia="Arial" w:hAnsi="Arial"/>
          <w:sz w:val="16"/>
          <w:szCs w:val="16"/>
          <w:b w:val="1"/>
          <w:bCs w:val="1"/>
          <w:color w:val="auto"/>
        </w:rPr>
        <w:t>Softbank Transaction</w:t>
      </w:r>
      <w:r>
        <w:rPr>
          <w:rFonts w:ascii="Arial" w:cs="Arial" w:eastAsia="Arial" w:hAnsi="Arial"/>
          <w:sz w:val="16"/>
          <w:szCs w:val="16"/>
          <w:color w:val="auto"/>
        </w:rPr>
        <w:t>”) in order to enter into an alternative transaction. The Voting Agreement Stockholders own in the aggregate 191,055,450 shares (or approximately 13%) of the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Regarding Right of First Offer</w:t>
      </w:r>
    </w:p>
    <w:p>
      <w:pPr>
        <w:spacing w:after="0" w:line="2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Sprint and Sprint HoldCo have also entered into an agreement (the “</w:t>
      </w:r>
      <w:r>
        <w:rPr>
          <w:rFonts w:ascii="Arial" w:cs="Arial" w:eastAsia="Arial" w:hAnsi="Arial"/>
          <w:sz w:val="17"/>
          <w:szCs w:val="17"/>
          <w:b w:val="1"/>
          <w:bCs w:val="1"/>
          <w:color w:val="auto"/>
        </w:rPr>
        <w:t>ROFO Agreement</w:t>
      </w:r>
      <w:r>
        <w:rPr>
          <w:rFonts w:ascii="Arial" w:cs="Arial" w:eastAsia="Arial" w:hAnsi="Arial"/>
          <w:sz w:val="17"/>
          <w:szCs w:val="17"/>
          <w:color w:val="auto"/>
        </w:rPr>
        <w:t>”) with the Voting Agreement Stockholders under which (i) if the Merger Agreement is terminated due to the failure of the Clearwire stockholders to approve the Merger and (ii) either (a) the SoftBank Transaction has been consummated or (b) the SoftBank Transaction shall have been terminated by Sprint in order for Sprint to enter into an alternative transaction and such alternative transaction shall have been consummated, then each such Voting Agreement Stockholder will, upon the later to occur of the events described in (i) or (ii), deliver a right of first offer notice to the other equityholders of Clearwire pursuant to the terms of the Equityholders’ Agreement, to offer to sell all of the equity securities of Clearwire and Clearwire Communications such entity owns at a price per share equal to the merger consideration under the Merger Agreement. Sprint will then be obligated to elect to purchase any such equity securities in any such notice. The Voting Agreement Stockholders have agreed not to exercise their respective purchase rights with respect to any such notice it receives from the other Voting Agreement Stockholders. The ROFO Agreement will terminate upon the occurrence of certain events, including at the election of each Voting Agreement Stockholder if the SoftBank Transaction shall have been terminated by Sprint in order for Sprint to enter into an alternative transaction.</w:t>
      </w:r>
    </w:p>
    <w:p>
      <w:pPr>
        <w:spacing w:after="0" w:line="23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foregoing descriptions of the Voting Agreement and the ROFO Agreement are only summaries, do not purport to be complete and are qualified in their entirety by reference to the full text of the Voting Agreement and the ROFO Agreement, which are filed as Exhibit 99.49 and Exhibit 99.50 hereto, respectively, and are incorporated herein by reference.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Purchase Agreement, Interim Notes Registration Rights Agreement, Indenture and Stock Delivery Agreement</w:t>
      </w:r>
    </w:p>
    <w:p>
      <w:pPr>
        <w:spacing w:after="0" w:line="275"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In connection with the Merger Agreement, on December 17, 2012, Sprint entered into a Note Purchase Agreement (the “</w:t>
      </w:r>
      <w:r>
        <w:rPr>
          <w:rFonts w:ascii="Arial" w:cs="Arial" w:eastAsia="Arial" w:hAnsi="Arial"/>
          <w:sz w:val="16"/>
          <w:szCs w:val="16"/>
          <w:b w:val="1"/>
          <w:bCs w:val="1"/>
          <w:color w:val="auto"/>
        </w:rPr>
        <w:t>Note Purchase Agreement</w:t>
      </w:r>
      <w:r>
        <w:rPr>
          <w:rFonts w:ascii="Arial" w:cs="Arial" w:eastAsia="Arial" w:hAnsi="Arial"/>
          <w:sz w:val="16"/>
          <w:szCs w:val="16"/>
          <w:color w:val="auto"/>
        </w:rPr>
        <w:t>”) with Clearwire, Clearwire Communications and Clearwire Finance, Inc. (together with Clearwire Communications, the “</w:t>
      </w:r>
      <w:r>
        <w:rPr>
          <w:rFonts w:ascii="Arial" w:cs="Arial" w:eastAsia="Arial" w:hAnsi="Arial"/>
          <w:sz w:val="16"/>
          <w:szCs w:val="16"/>
          <w:b w:val="1"/>
          <w:bCs w:val="1"/>
          <w:color w:val="auto"/>
        </w:rPr>
        <w:t>Clearwire Issuers</w:t>
      </w:r>
      <w:r>
        <w:rPr>
          <w:rFonts w:ascii="Arial" w:cs="Arial" w:eastAsia="Arial" w:hAnsi="Arial"/>
          <w:sz w:val="16"/>
          <w:szCs w:val="16"/>
          <w:color w:val="auto"/>
        </w:rPr>
        <w:t>”) pursuant to which Sprint has agreed to purchase from the Clearwire Issuers up to an aggregate principal amount of $800 million of 1.00% Exchangeable Notes due 2018 (the “</w:t>
      </w:r>
      <w:r>
        <w:rPr>
          <w:rFonts w:ascii="Arial" w:cs="Arial" w:eastAsia="Arial" w:hAnsi="Arial"/>
          <w:sz w:val="16"/>
          <w:szCs w:val="16"/>
          <w:b w:val="1"/>
          <w:bCs w:val="1"/>
          <w:color w:val="auto"/>
        </w:rPr>
        <w:t>Interim Notes</w:t>
      </w:r>
      <w:r>
        <w:rPr>
          <w:rFonts w:ascii="Arial" w:cs="Arial" w:eastAsia="Arial" w:hAnsi="Arial"/>
          <w:sz w:val="16"/>
          <w:szCs w:val="16"/>
          <w:color w:val="auto"/>
        </w:rPr>
        <w:t>”), upon the request of Clearwire, in monthly $80 million installments on the first business day of each month beginning January 2013. In connection with the Note Purchase Agreement, Sprint agreed to a form of registration rights agreement (the “</w:t>
      </w:r>
      <w:r>
        <w:rPr>
          <w:rFonts w:ascii="Arial" w:cs="Arial" w:eastAsia="Arial" w:hAnsi="Arial"/>
          <w:sz w:val="16"/>
          <w:szCs w:val="16"/>
          <w:b w:val="1"/>
          <w:bCs w:val="1"/>
          <w:color w:val="auto"/>
        </w:rPr>
        <w:t>Interim Notes Registration Rights</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a form of indenture (the “</w:t>
      </w:r>
      <w:r>
        <w:rPr>
          <w:rFonts w:ascii="Arial" w:cs="Arial" w:eastAsia="Arial" w:hAnsi="Arial"/>
          <w:sz w:val="16"/>
          <w:szCs w:val="16"/>
          <w:b w:val="1"/>
          <w:bCs w:val="1"/>
          <w:color w:val="auto"/>
        </w:rPr>
        <w:t>Indenture</w:t>
      </w:r>
      <w:r>
        <w:rPr>
          <w:rFonts w:ascii="Arial" w:cs="Arial" w:eastAsia="Arial" w:hAnsi="Arial"/>
          <w:sz w:val="16"/>
          <w:szCs w:val="16"/>
          <w:color w:val="auto"/>
        </w:rPr>
        <w:t>”) and a form of stock delivery agreement (the “</w:t>
      </w:r>
      <w:r>
        <w:rPr>
          <w:rFonts w:ascii="Arial" w:cs="Arial" w:eastAsia="Arial" w:hAnsi="Arial"/>
          <w:sz w:val="16"/>
          <w:szCs w:val="16"/>
          <w:b w:val="1"/>
          <w:bCs w:val="1"/>
          <w:color w:val="auto"/>
        </w:rPr>
        <w:t>Stock Delivery Agreement</w:t>
      </w:r>
      <w:r>
        <w:rPr>
          <w:rFonts w:ascii="Arial" w:cs="Arial" w:eastAsia="Arial" w:hAnsi="Arial"/>
          <w:sz w:val="16"/>
          <w:szCs w:val="16"/>
          <w:color w:val="auto"/>
        </w:rPr>
        <w:t>”) with Clearwire, the</w:t>
      </w:r>
      <w:r>
        <w:rPr>
          <w:rFonts w:ascii="Arial" w:cs="Arial" w:eastAsia="Arial" w:hAnsi="Arial"/>
          <w:sz w:val="16"/>
          <w:szCs w:val="16"/>
          <w:b w:val="1"/>
          <w:bCs w:val="1"/>
          <w:color w:val="auto"/>
        </w:rPr>
        <w:t xml:space="preserve"> </w:t>
      </w:r>
      <w:r>
        <w:rPr>
          <w:rFonts w:ascii="Arial" w:cs="Arial" w:eastAsia="Arial" w:hAnsi="Arial"/>
          <w:sz w:val="16"/>
          <w:szCs w:val="16"/>
          <w:color w:val="auto"/>
        </w:rPr>
        <w:t>Clearwire Issuers and the guarantors of the Interim Notes, each to be entered into upon the first issuance of the Interim Notes.</w:t>
      </w:r>
    </w:p>
    <w:p>
      <w:pPr>
        <w:spacing w:after="0" w:line="220"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For more information regarding the Note Purchase Agreement, the Interim Notes Registration Rights Agreement, the Indenture and the Stock Delivery Agreement, please refer to Item 4 of the Sprint 13D Amendment. The Note Purchase Agreement, the Interim Notes Registration Rights Agreement, the Indenture and the Stock Delivery Agreement are filed as Exhibits 99.51 through 99.54 hereto,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Equityholders’ Agreement</w:t>
      </w:r>
    </w:p>
    <w:p>
      <w:pPr>
        <w:spacing w:after="0" w:line="2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Merger Agreement, on December 17, 2012, Sprint HoldCo, SN UHC 1, ERH, the Intel Entities, Middlefield Ventures, Inc. and Comcast, as strategic investor representative, entered into a Second Amendment to the Equityholders’ Agreement (the “</w:t>
      </w:r>
      <w:r>
        <w:rPr>
          <w:rFonts w:ascii="Arial" w:cs="Arial" w:eastAsia="Arial" w:hAnsi="Arial"/>
          <w:sz w:val="18"/>
          <w:szCs w:val="18"/>
          <w:b w:val="1"/>
          <w:bCs w:val="1"/>
          <w:color w:val="auto"/>
        </w:rPr>
        <w:t>Second Amendment</w:t>
      </w:r>
      <w:r>
        <w:rPr>
          <w:rFonts w:ascii="Arial" w:cs="Arial" w:eastAsia="Arial" w:hAnsi="Arial"/>
          <w:sz w:val="18"/>
          <w:szCs w:val="18"/>
          <w:color w:val="auto"/>
        </w:rPr>
        <w:t>”), pursuant to which the Equityholders’ Agreement was terminated with respect to ERH, except with respect to certain provisions that survive the Second Amendment. Consequently, as a result of the execution and delivery of the Second Amendment, ERH is no longer deemed an “Equityholder” under the Equityholders’ Agreement. Subsequently, on December 17, 2012, Sprint HoldCo, SN UHC 1, the Intel Entities, Middlefield Ventures, Inc. and Comcast, as strategic investor representative, entered into a Third Amendment to the Equityholders’ Agreement (the “</w:t>
      </w:r>
      <w:r>
        <w:rPr>
          <w:rFonts w:ascii="Arial" w:cs="Arial" w:eastAsia="Arial" w:hAnsi="Arial"/>
          <w:sz w:val="18"/>
          <w:szCs w:val="18"/>
          <w:b w:val="1"/>
          <w:bCs w:val="1"/>
          <w:color w:val="auto"/>
        </w:rPr>
        <w:t>Third Amendment</w:t>
      </w:r>
      <w:r>
        <w:rPr>
          <w:rFonts w:ascii="Arial" w:cs="Arial" w:eastAsia="Arial" w:hAnsi="Arial"/>
          <w:sz w:val="18"/>
          <w:szCs w:val="18"/>
          <w:color w:val="auto"/>
        </w:rPr>
        <w:t>”), pursuant to which such parties agreed, among other things, to amend the definition of “Percentage Interest” in the Equityholders’ Agreement, and make other conforming changes, so that any Class A Common Stock or Class B Interest issued by Clearwire to Sprint or any of its affiliates in connection with the Note Purchase Agreement will not be taken into account with respect to calculations determining board representation, preemptive, tag-along and other rights of the Equityholders under the Equityholders’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593725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6" w:name="page7"/>
    <w:bookmarkEnd w:id="6"/>
    <w:p>
      <w:pPr>
        <w:spacing w:after="0"/>
        <w:tabs>
          <w:tab w:leader="none" w:pos="5100" w:val="left"/>
          <w:tab w:leader="none" w:pos="10580" w:val="left"/>
        </w:tabs>
        <w:rPr>
          <w:sz w:val="20"/>
          <w:szCs w:val="20"/>
          <w:color w:val="auto"/>
        </w:rPr>
      </w:pPr>
      <w:r>
        <w:rPr>
          <w:rFonts w:ascii="Arial" w:cs="Arial" w:eastAsia="Arial" w:hAnsi="Arial"/>
          <w:sz w:val="18"/>
          <w:szCs w:val="18"/>
          <w:color w:val="auto"/>
        </w:rPr>
        <w:t>CUSIP No. 18538Q105</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6 of 8</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descriptions of the Second Amendment and Third Amendment are only summaries, do not purport to be complete and are qualified in their entirety by reference to the full text of the Second Amendment and Third Amendment, which are filed as Exhibit 99.55 and Exhibit 99.56 hereto, respectively, and are incorporated herein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(a)-(b) As of December 17, 2012, each Reporting Person may be deemed to have beneficial ownership (within the meaning of Rule 13d-3 under the Act) and shared power to vote or direct the vote of up to the amounts listed in the table below and may be deemed to constitute a “group” under Section 13(d) of the Act.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7"/>
              </w:rPr>
              <w:t>Class A</w:t>
            </w: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Class B</w:t>
            </w: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Arial" w:cs="Arial" w:eastAsia="Arial" w:hAnsi="Arial"/>
                <w:sz w:val="18"/>
                <w:szCs w:val="18"/>
                <w:b w:val="1"/>
                <w:bCs w:val="1"/>
                <w:color w:val="auto"/>
              </w:rPr>
              <w:t>Reporting Person</w:t>
            </w:r>
          </w:p>
        </w:tc>
        <w:tc>
          <w:tcPr>
            <w:tcW w:w="2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Common</w:t>
            </w:r>
          </w:p>
        </w:tc>
        <w:tc>
          <w:tcPr>
            <w:tcW w:w="46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 of</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c>
          <w:tcPr>
            <w:tcW w:w="460" w:type="dxa"/>
            <w:vAlign w:val="bottom"/>
          </w:tcPr>
          <w:p>
            <w:pPr>
              <w:spacing w:after="0"/>
              <w:rPr>
                <w:sz w:val="18"/>
                <w:szCs w:val="18"/>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 of</w:t>
            </w: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46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 A (1)</w:t>
            </w:r>
          </w:p>
        </w:tc>
        <w:tc>
          <w:tcPr>
            <w:tcW w:w="34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46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 B (1)</w:t>
            </w:r>
          </w:p>
        </w:tc>
        <w:tc>
          <w:tcPr>
            <w:tcW w:w="460" w:type="dxa"/>
            <w:vAlign w:val="bottom"/>
          </w:tcPr>
          <w:p>
            <w:pPr>
              <w:spacing w:after="0"/>
              <w:rPr>
                <w:sz w:val="20"/>
                <w:szCs w:val="20"/>
                <w:color w:val="auto"/>
              </w:rPr>
            </w:pP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 Voting</w:t>
            </w:r>
          </w:p>
        </w:tc>
        <w:tc>
          <w:tcPr>
            <w:tcW w:w="3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Comcast (2)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88,504,132</w:t>
            </w:r>
          </w:p>
        </w:tc>
        <w:tc>
          <w:tcPr>
            <w:tcW w:w="2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Comcast LLC (3)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88,504,132</w:t>
            </w:r>
          </w:p>
        </w:tc>
        <w:tc>
          <w:tcPr>
            <w:tcW w:w="2240" w:type="dxa"/>
            <w:vAlign w:val="bottom"/>
            <w:gridSpan w:val="3"/>
          </w:tcPr>
          <w:p>
            <w:pPr>
              <w:jc w:val="right"/>
              <w:ind w:right="200"/>
              <w:spacing w:after="0"/>
              <w:rPr>
                <w:sz w:val="20"/>
                <w:szCs w:val="20"/>
                <w:color w:val="auto"/>
              </w:rPr>
            </w:pPr>
            <w:r>
              <w:rPr>
                <w:rFonts w:ascii="Arial" w:cs="Arial" w:eastAsia="Arial" w:hAnsi="Arial"/>
                <w:sz w:val="18"/>
                <w:szCs w:val="18"/>
                <w:color w:val="auto"/>
              </w:rPr>
              <w:t>12.8%</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224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r>
    </w:tbl>
    <w:p>
      <w:pPr>
        <w:spacing w:after="0" w:line="241" w:lineRule="exact"/>
        <w:rPr>
          <w:sz w:val="20"/>
          <w:szCs w:val="20"/>
          <w:color w:val="auto"/>
        </w:rPr>
      </w:pPr>
    </w:p>
    <w:p>
      <w:pPr>
        <w:ind w:left="580" w:right="20" w:hanging="572"/>
        <w:spacing w:after="0" w:line="289"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Shares of Class A Common Stock beneficially owned and the respective percentages of beneficial ownership of Class A Common Stock assumes the conversion of all shares of Class B Common Stock beneficially owned by such person or entity into Class A Common Stock, and the exercise of all options, warrants and other securities convertible into common stock beneficially owned by such person or entity currently exercisable or exercisable within 60 days of December 13, 2012. Shares issuable pursuant to the conversion of Class B Common Stock or the exercise of stock options and warrants exercisable within 60 days are deemed outstanding and held by the holder of such shares of Class B Common Stock, options or warrants for computing the percentage of outstanding common stock beneficially owned by such person, but are not deemed outstanding for computing the percentage of outstanding common stock beneficially owned by any other person. The respective percentages of beneficial ownership of Class A Common Stock and Class B Common Stock are based on 691,233,800 shares of Class A Common Stock and 773,732,672 shares of Class B Common Stock outstanding as of October 23, 2012, as reported in the Issuer’s Quarterly Report on Form 10-Q filed with the SEC on October 26, 2012.</w:t>
      </w:r>
    </w:p>
    <w:p>
      <w:pPr>
        <w:spacing w:after="0" w:line="166" w:lineRule="exact"/>
        <w:rPr>
          <w:rFonts w:ascii="Arial" w:cs="Arial" w:eastAsia="Arial" w:hAnsi="Arial"/>
          <w:sz w:val="16"/>
          <w:szCs w:val="16"/>
          <w:color w:val="auto"/>
        </w:rPr>
      </w:pPr>
    </w:p>
    <w:p>
      <w:pPr>
        <w:jc w:val="both"/>
        <w:ind w:left="580" w:right="140" w:hanging="572"/>
        <w:spacing w:after="0" w:line="264"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88,504,132 shares of Class A Common Stock beneficially owned by Comcast LLC. By virtue of the fact that Comcast LLC is a wholly-owned subsidiary of Comcast, Comcast may be deemed to have shared voting and dispositive power with respect to the shares of Class A Common Stock owned by Comcast LLC.</w:t>
      </w:r>
    </w:p>
    <w:p>
      <w:pPr>
        <w:spacing w:after="0" w:line="181" w:lineRule="exact"/>
        <w:rPr>
          <w:rFonts w:ascii="Arial" w:cs="Arial" w:eastAsia="Arial" w:hAnsi="Arial"/>
          <w:sz w:val="18"/>
          <w:szCs w:val="18"/>
          <w:color w:val="auto"/>
        </w:rPr>
      </w:pPr>
    </w:p>
    <w:p>
      <w:pPr>
        <w:ind w:left="580" w:hanging="527"/>
        <w:spacing w:after="0"/>
        <w:tabs>
          <w:tab w:leader="none" w:pos="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Consists of 88,504,132 shares of Class A Common Stock beneficially owned by Comcast LLC.</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Except as set forth or incorporated herein or in the Appendices to the Schedule 13D, none of (i) the Reporting Persons and (ii) to the Reporting Persons’ knowledge, the persons set forth on Appendix A-1 and A-2 of the Schedule 13D, beneficially owns any shares of Class A Common Stock as of December 17, 2012.</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beneficial ownership of the Reporting Persons described herein, by virtue of the Equityholders’ Agreement and Voting Agreement, each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Reporting Persons, together with the Sprint Entities, the BHN Entities, Intel Capital Wireless Investment Corporation 2008A, a Delaware corporation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 A</w:t>
      </w:r>
      <w:r>
        <w:rPr>
          <w:rFonts w:ascii="Arial" w:cs="Arial" w:eastAsia="Arial" w:hAnsi="Arial"/>
          <w:sz w:val="17"/>
          <w:szCs w:val="17"/>
          <w:color w:val="auto"/>
        </w:rPr>
        <w:t>”), Intel Capital Corporation, a Delaware corporation (“</w:t>
      </w:r>
      <w:r>
        <w:rPr>
          <w:rFonts w:ascii="Arial" w:cs="Arial" w:eastAsia="Arial" w:hAnsi="Arial"/>
          <w:sz w:val="17"/>
          <w:szCs w:val="17"/>
          <w:b w:val="1"/>
          <w:bCs w:val="1"/>
          <w:color w:val="auto"/>
        </w:rPr>
        <w:t>Intel Capital</w:t>
      </w:r>
      <w:r>
        <w:rPr>
          <w:rFonts w:ascii="Arial" w:cs="Arial" w:eastAsia="Arial" w:hAnsi="Arial"/>
          <w:sz w:val="17"/>
          <w:szCs w:val="17"/>
          <w:color w:val="auto"/>
        </w:rPr>
        <w:t>”), and Intel Capital (Cayman) Corporation, a Cayman Islands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 Cayman</w:t>
      </w:r>
      <w:r>
        <w:rPr>
          <w:rFonts w:ascii="Arial" w:cs="Arial" w:eastAsia="Arial" w:hAnsi="Arial"/>
          <w:sz w:val="16"/>
          <w:szCs w:val="16"/>
          <w:color w:val="auto"/>
        </w:rPr>
        <w:t>” and, together with Intel A and Intel Capital, the “</w:t>
      </w:r>
      <w:r>
        <w:rPr>
          <w:rFonts w:ascii="Arial" w:cs="Arial" w:eastAsia="Arial" w:hAnsi="Arial"/>
          <w:sz w:val="16"/>
          <w:szCs w:val="16"/>
          <w:b w:val="1"/>
          <w:bCs w:val="1"/>
          <w:color w:val="auto"/>
        </w:rPr>
        <w:t>Intel Entities</w:t>
      </w:r>
      <w:r>
        <w:rPr>
          <w:rFonts w:ascii="Arial" w:cs="Arial" w:eastAsia="Arial" w:hAnsi="Arial"/>
          <w:sz w:val="16"/>
          <w:szCs w:val="16"/>
          <w:color w:val="auto"/>
        </w:rPr>
        <w:t>”), may be deemed to be a member of a “group” under Section 13(d)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which may be deemed to beneficially own, have shared power to vote or direct the vote over and have shared dispositive power over the following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Class A Common Stock beneficially owned by the Sprint Entities, the BHN Entities and the Intel Entities:</w:t>
      </w:r>
    </w:p>
    <w:p>
      <w:pPr>
        <w:spacing w:after="0" w:line="211" w:lineRule="exact"/>
        <w:rPr>
          <w:sz w:val="20"/>
          <w:szCs w:val="20"/>
          <w:color w:val="auto"/>
        </w:rPr>
      </w:pPr>
    </w:p>
    <w:p>
      <w:pPr>
        <w:ind w:left="720" w:right="220" w:hanging="361"/>
        <w:spacing w:after="0" w:line="259"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Amendment No. 16 to the Statement on Schedule 13D filed by Intel Corporation on October 19, 2012 reports beneficial ownership of 94,076,878 shares of Class A Common Stock (which consists of 25,098,733 shares of Class A Common Stock held by Intel Capital, 3,333,333 shares of Class A Common Stock held by Intel Cayman and 65,644,812 shares of Class B Common Stock held by the Intel A) representing 12.4% of the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26" w:right="239" w:bottom="1440" w:gutter="0" w:footer="0" w:header="0"/>
        </w:sectPr>
      </w:pPr>
    </w:p>
    <w:bookmarkStart w:id="7" w:name="page8"/>
    <w:bookmarkEnd w:id="7"/>
    <w:p>
      <w:pPr>
        <w:spacing w:after="0"/>
        <w:tabs>
          <w:tab w:leader="none" w:pos="5100" w:val="left"/>
          <w:tab w:leader="none" w:pos="10580" w:val="left"/>
        </w:tabs>
        <w:rPr>
          <w:sz w:val="20"/>
          <w:szCs w:val="20"/>
          <w:color w:val="auto"/>
        </w:rPr>
      </w:pPr>
      <w:r>
        <w:rPr>
          <w:rFonts w:ascii="Arial" w:cs="Arial" w:eastAsia="Arial" w:hAnsi="Arial"/>
          <w:sz w:val="18"/>
          <w:szCs w:val="18"/>
          <w:color w:val="auto"/>
        </w:rPr>
        <w:t>CUSIP No. 18538Q105</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7 of 8</w:t>
      </w:r>
    </w:p>
    <w:p>
      <w:pPr>
        <w:spacing w:after="0" w:line="229" w:lineRule="exact"/>
        <w:rPr>
          <w:sz w:val="20"/>
          <w:szCs w:val="20"/>
          <w:color w:val="auto"/>
        </w:rPr>
      </w:pPr>
    </w:p>
    <w:p>
      <w:pPr>
        <w:ind w:left="720" w:right="620" w:hanging="361"/>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Statement on Schedule 13D filed on October 26, 2012 by the BHN Entities reports beneficial ownership of 8,474,440 shares of Class A Common Stock representing 1.2% of the Class A Common Stock; and</w:t>
      </w:r>
    </w:p>
    <w:p>
      <w:pPr>
        <w:spacing w:after="0" w:line="224" w:lineRule="exact"/>
        <w:rPr>
          <w:rFonts w:ascii="Arial" w:cs="Arial" w:eastAsia="Arial" w:hAnsi="Arial"/>
          <w:sz w:val="18"/>
          <w:szCs w:val="18"/>
          <w:color w:val="auto"/>
        </w:rPr>
      </w:pPr>
    </w:p>
    <w:p>
      <w:pPr>
        <w:jc w:val="both"/>
        <w:ind w:left="720" w:right="160" w:hanging="361"/>
        <w:spacing w:after="0" w:line="26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Sprint 13D Amendment reports beneficial ownership of 739,010,818 shares of Class A Common Stock (which consists of 705,359,348 shares of Class B Common Stock held by Sprint HoldCo, 30,922,958 shares of Class A Common Stock and 2,728, 512 shares of Class B Common Stock held by SN UHC 1) representing 52.8% of the Class A Common Stock.</w:t>
      </w:r>
    </w:p>
    <w:p>
      <w:pPr>
        <w:spacing w:after="0" w:line="23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As described in Items 4 and 6 of this Schedule 13D, the Equityholders’ Agreement includes a voting agreement under which such Equityholders and their respective affiliates share the ability to elect a majority of the Issuer’s directors and the Voting Agreement includes a voting agreement under which the Equityholders and their respective affiliates agree to vote their shares of Common Stock to support the Merger. The Reporting Persons disclaim beneficial ownership of the shares of capital stock beneficially owned by such other Equityholders (other than the shares of capital stock beneficially owned by the Reporting Persons).</w:t>
      </w:r>
    </w:p>
    <w:p>
      <w:pPr>
        <w:spacing w:after="0" w:line="188" w:lineRule="exact"/>
        <w:rPr>
          <w:sz w:val="20"/>
          <w:szCs w:val="20"/>
          <w:color w:val="auto"/>
        </w:rPr>
      </w:pPr>
    </w:p>
    <w:p>
      <w:pPr>
        <w:jc w:val="both"/>
        <w:ind w:right="200" w:firstLine="8"/>
        <w:spacing w:after="0" w:line="264"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set forth or incorporated herein or in the Appendices to the Schedule 13D, none of (i) the Reporting Persons and (ii) to the Reporting Persons’ knowledge, the persons set forth on Appendix A-1 and A-2 of the Schedule 13D, has effected any transaction in Class A Common Stock during the 60 days prior to December 17, 2012.</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Item 6 of the Initial Schedule 13D is amended and supplemented with the information contained in Item 4 of this Amendment, which is hereby incorporated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7 of the Initial Schedule 13D is hereby amended and supplemented by adding the following at the end thereof:</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40" w:type="dxa"/>
            <w:vAlign w:val="bottom"/>
          </w:tcPr>
          <w:p>
            <w:pPr>
              <w:spacing w:after="0"/>
              <w:rPr>
                <w:sz w:val="20"/>
                <w:szCs w:val="20"/>
                <w:color w:val="auto"/>
              </w:rPr>
            </w:pPr>
          </w:p>
        </w:tc>
        <w:tc>
          <w:tcPr>
            <w:tcW w:w="10000" w:type="dxa"/>
            <w:vAlign w:val="bottom"/>
            <w:tcBorders>
              <w:bottom w:val="single" w:sz="8" w:color="auto"/>
            </w:tcBorders>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99.46</w:t>
            </w:r>
          </w:p>
        </w:tc>
        <w:tc>
          <w:tcPr>
            <w:tcW w:w="340" w:type="dxa"/>
            <w:vAlign w:val="bottom"/>
          </w:tcPr>
          <w:p>
            <w:pPr>
              <w:spacing w:after="0"/>
              <w:rPr>
                <w:sz w:val="17"/>
                <w:szCs w:val="17"/>
                <w:color w:val="auto"/>
              </w:rPr>
            </w:pPr>
          </w:p>
        </w:tc>
        <w:tc>
          <w:tcPr>
            <w:tcW w:w="10000" w:type="dxa"/>
            <w:vAlign w:val="bottom"/>
          </w:tcPr>
          <w:p>
            <w:pPr>
              <w:spacing w:after="0" w:line="201" w:lineRule="exact"/>
              <w:rPr>
                <w:sz w:val="20"/>
                <w:szCs w:val="20"/>
                <w:color w:val="auto"/>
              </w:rPr>
            </w:pPr>
            <w:r>
              <w:rPr>
                <w:rFonts w:ascii="Arial" w:cs="Arial" w:eastAsia="Arial" w:hAnsi="Arial"/>
                <w:sz w:val="18"/>
                <w:szCs w:val="18"/>
                <w:color w:val="auto"/>
                <w:w w:val="93"/>
              </w:rPr>
              <w:t>Agreement and Plan of Merger, dated as of December 17, 2012, by and among Sprint Nextel Corporation, Collie Acquisition Corp. and</w:t>
            </w:r>
          </w:p>
        </w:tc>
      </w:tr>
      <w:tr>
        <w:trPr>
          <w:trHeight w:val="216"/>
        </w:trPr>
        <w:tc>
          <w:tcPr>
            <w:tcW w:w="108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6"/>
              </w:rPr>
              <w:t>Clearwire Corporation (incorporated herein by reference to Exhibit 2.1 of Clearwire Corporation’s Current Report on Form 8-K filed</w:t>
            </w:r>
          </w:p>
        </w:tc>
      </w:tr>
      <w:tr>
        <w:trPr>
          <w:trHeight w:val="230"/>
        </w:trPr>
        <w:tc>
          <w:tcPr>
            <w:tcW w:w="108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December 18, 2012)</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99.47</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2"/>
              </w:rPr>
              <w:t>Irrevocable Exchange Agreement, dated as of December 17, 2012, by and among Clearwire Corporation, Sprint Nextel Corporation and</w:t>
            </w:r>
          </w:p>
        </w:tc>
      </w:tr>
      <w:tr>
        <w:trPr>
          <w:trHeight w:val="216"/>
        </w:trPr>
        <w:tc>
          <w:tcPr>
            <w:tcW w:w="108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7"/>
              </w:rPr>
              <w:t>Intel Capital Wireless Investment Corporation 2008A (incorporated herein by reference to Exhibit 10.6 of Clearwire Corporation’s</w:t>
            </w:r>
          </w:p>
        </w:tc>
      </w:tr>
      <w:tr>
        <w:trPr>
          <w:trHeight w:val="230"/>
        </w:trPr>
        <w:tc>
          <w:tcPr>
            <w:tcW w:w="108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Current Report on Form 8-K filed December 18, 2012)</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99.48</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1"/>
              </w:rPr>
              <w:t>Consent and Agreement, dated as of December 17, 2012, by and among Softbank Corp., Starburst II, Inc. and Sprint Nextel Corporation</w:t>
            </w:r>
          </w:p>
        </w:tc>
      </w:tr>
      <w:tr>
        <w:trPr>
          <w:trHeight w:val="230"/>
        </w:trPr>
        <w:tc>
          <w:tcPr>
            <w:tcW w:w="108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(incorporated herein by reference to Exhibit 99.53 of the Sprint 13D Amendment)</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99.49</w:t>
            </w:r>
          </w:p>
        </w:tc>
        <w:tc>
          <w:tcPr>
            <w:tcW w:w="340" w:type="dxa"/>
            <w:vAlign w:val="bottom"/>
          </w:tcPr>
          <w:p>
            <w:pPr>
              <w:spacing w:after="0"/>
              <w:rPr>
                <w:sz w:val="24"/>
                <w:szCs w:val="24"/>
                <w:color w:val="auto"/>
              </w:rPr>
            </w:pPr>
          </w:p>
        </w:tc>
        <w:tc>
          <w:tcPr>
            <w:tcW w:w="10000" w:type="dxa"/>
            <w:vAlign w:val="bottom"/>
          </w:tcPr>
          <w:p>
            <w:pPr>
              <w:ind w:left="40"/>
              <w:spacing w:after="0"/>
              <w:rPr>
                <w:sz w:val="20"/>
                <w:szCs w:val="20"/>
                <w:color w:val="auto"/>
              </w:rPr>
            </w:pPr>
            <w:r>
              <w:rPr>
                <w:rFonts w:ascii="Arial" w:cs="Arial" w:eastAsia="Arial" w:hAnsi="Arial"/>
                <w:sz w:val="18"/>
                <w:szCs w:val="18"/>
                <w:color w:val="auto"/>
                <w:w w:val="96"/>
              </w:rPr>
              <w:t>Voting and Support Agreement, dated as of December 17, 2012, among Clearwire Corporation and the persons named therein as</w:t>
            </w:r>
          </w:p>
        </w:tc>
      </w:tr>
      <w:tr>
        <w:trPr>
          <w:trHeight w:val="216"/>
        </w:trPr>
        <w:tc>
          <w:tcPr>
            <w:tcW w:w="108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6"/>
              </w:rPr>
              <w:t>stockholders of Clearwire Corporation and equityholders of Clearwire Communications LLC, as applicable (incorporated herein by</w:t>
            </w:r>
          </w:p>
        </w:tc>
      </w:tr>
      <w:tr>
        <w:trPr>
          <w:trHeight w:val="230"/>
        </w:trPr>
        <w:tc>
          <w:tcPr>
            <w:tcW w:w="108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reference to Exhibit 10.5 of Clearwire Corporation’s Current Report on Form 8-K filed December 18, 2012)</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99.50</w:t>
            </w:r>
          </w:p>
        </w:tc>
        <w:tc>
          <w:tcPr>
            <w:tcW w:w="340" w:type="dxa"/>
            <w:vAlign w:val="bottom"/>
          </w:tcPr>
          <w:p>
            <w:pPr>
              <w:spacing w:after="0"/>
              <w:rPr>
                <w:sz w:val="24"/>
                <w:szCs w:val="24"/>
                <w:color w:val="auto"/>
              </w:rPr>
            </w:pPr>
          </w:p>
        </w:tc>
        <w:tc>
          <w:tcPr>
            <w:tcW w:w="10000" w:type="dxa"/>
            <w:vAlign w:val="bottom"/>
          </w:tcPr>
          <w:p>
            <w:pPr>
              <w:ind w:left="40"/>
              <w:spacing w:after="0"/>
              <w:rPr>
                <w:sz w:val="20"/>
                <w:szCs w:val="20"/>
                <w:color w:val="auto"/>
              </w:rPr>
            </w:pPr>
            <w:r>
              <w:rPr>
                <w:rFonts w:ascii="Arial" w:cs="Arial" w:eastAsia="Arial" w:hAnsi="Arial"/>
                <w:sz w:val="18"/>
                <w:szCs w:val="18"/>
                <w:color w:val="auto"/>
                <w:w w:val="93"/>
              </w:rPr>
              <w:t>Agreement Regarding Right of First Offer, dated as of December 17, 2012, among Sprint HoldCo, LLC, Sprint Nextel Corporation, and</w:t>
            </w:r>
          </w:p>
        </w:tc>
      </w:tr>
      <w:tr>
        <w:trPr>
          <w:trHeight w:val="216"/>
        </w:trPr>
        <w:tc>
          <w:tcPr>
            <w:tcW w:w="1080" w:type="dxa"/>
            <w:vAlign w:val="bottom"/>
          </w:tcPr>
          <w:p>
            <w:pPr>
              <w:spacing w:after="0"/>
              <w:rPr>
                <w:sz w:val="18"/>
                <w:szCs w:val="18"/>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2"/>
              </w:rPr>
              <w:t>the persons named therein as stockholders of Clearwire Corporation and equityholders of Clearwire Communications LLC, as applicable</w:t>
            </w:r>
          </w:p>
        </w:tc>
      </w:tr>
      <w:tr>
        <w:trPr>
          <w:trHeight w:val="230"/>
        </w:trPr>
        <w:tc>
          <w:tcPr>
            <w:tcW w:w="108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(incorporated herein by reference to Exhibit 99.55 of the Sprint 13D Amendment)</w:t>
            </w:r>
          </w:p>
        </w:tc>
      </w:tr>
      <w:tr>
        <w:trPr>
          <w:trHeight w:val="848"/>
        </w:trPr>
        <w:tc>
          <w:tcPr>
            <w:tcW w:w="10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Arial" w:cs="Arial" w:eastAsia="Arial" w:hAnsi="Arial"/>
                <w:sz w:val="18"/>
                <w:szCs w:val="18"/>
                <w:color w:val="auto"/>
              </w:rPr>
              <w:t>CUSIP No. 18538Q105</w:t>
            </w:r>
          </w:p>
        </w:tc>
        <w:tc>
          <w:tcPr>
            <w:tcW w:w="5560" w:type="dxa"/>
            <w:vAlign w:val="bottom"/>
          </w:tcPr>
          <w:p>
            <w:pPr>
              <w:ind w:left="420"/>
              <w:spacing w:after="0"/>
              <w:rPr>
                <w:sz w:val="20"/>
                <w:szCs w:val="20"/>
                <w:color w:val="auto"/>
              </w:rPr>
            </w:pPr>
            <w:r>
              <w:rPr>
                <w:rFonts w:ascii="Arial" w:cs="Arial" w:eastAsia="Arial" w:hAnsi="Arial"/>
                <w:sz w:val="18"/>
                <w:szCs w:val="18"/>
                <w:b w:val="1"/>
                <w:bCs w:val="1"/>
                <w:color w:val="auto"/>
              </w:rPr>
              <w:t>13D</w:t>
            </w:r>
          </w:p>
        </w:tc>
        <w:tc>
          <w:tcPr>
            <w:tcW w:w="1160" w:type="dxa"/>
            <w:vAlign w:val="bottom"/>
          </w:tcPr>
          <w:p>
            <w:pPr>
              <w:ind w:left="340"/>
              <w:spacing w:after="0"/>
              <w:rPr>
                <w:sz w:val="20"/>
                <w:szCs w:val="20"/>
                <w:color w:val="auto"/>
              </w:rPr>
            </w:pPr>
            <w:r>
              <w:rPr>
                <w:rFonts w:ascii="Arial" w:cs="Arial" w:eastAsia="Arial" w:hAnsi="Arial"/>
                <w:sz w:val="18"/>
                <w:szCs w:val="18"/>
                <w:color w:val="auto"/>
                <w:w w:val="86"/>
              </w:rPr>
              <w:t>Page 8 of 8</w:t>
            </w:r>
          </w:p>
        </w:tc>
      </w:tr>
      <w:tr>
        <w:trPr>
          <w:trHeight w:val="642"/>
        </w:trPr>
        <w:tc>
          <w:tcPr>
            <w:tcW w:w="10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00" w:type="dxa"/>
            <w:vAlign w:val="bottom"/>
            <w:tcBorders>
              <w:bottom w:val="single" w:sz="8" w:color="auto"/>
            </w:tcBorders>
            <w:gridSpan w:val="3"/>
          </w:tcPr>
          <w:p>
            <w:pPr>
              <w:spacing w:after="0"/>
              <w:rPr>
                <w:sz w:val="24"/>
                <w:szCs w:val="24"/>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99.51</w:t>
            </w:r>
          </w:p>
        </w:tc>
        <w:tc>
          <w:tcPr>
            <w:tcW w:w="340" w:type="dxa"/>
            <w:vAlign w:val="bottom"/>
          </w:tcPr>
          <w:p>
            <w:pPr>
              <w:spacing w:after="0"/>
              <w:rPr>
                <w:sz w:val="17"/>
                <w:szCs w:val="17"/>
                <w:color w:val="auto"/>
              </w:rPr>
            </w:pPr>
          </w:p>
        </w:tc>
        <w:tc>
          <w:tcPr>
            <w:tcW w:w="10000" w:type="dxa"/>
            <w:vAlign w:val="bottom"/>
            <w:gridSpan w:val="3"/>
          </w:tcPr>
          <w:p>
            <w:pPr>
              <w:spacing w:after="0" w:line="201" w:lineRule="exact"/>
              <w:rPr>
                <w:sz w:val="20"/>
                <w:szCs w:val="20"/>
                <w:color w:val="auto"/>
              </w:rPr>
            </w:pPr>
            <w:r>
              <w:rPr>
                <w:rFonts w:ascii="Arial" w:cs="Arial" w:eastAsia="Arial" w:hAnsi="Arial"/>
                <w:sz w:val="18"/>
                <w:szCs w:val="18"/>
                <w:color w:val="auto"/>
                <w:w w:val="92"/>
              </w:rPr>
              <w:t>Note Purchase Agreement, dated as of December 17, 2012, by and among Clearwire Corporation, Clearwire Communications LLC and</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1"/>
              </w:rPr>
              <w:t>Collie Finance, Inc., as issuers, and Sprint Nextel Corporation, as purchaser (incorporated herein by reference to Exhibit 10.1 of Clearwire</w:t>
            </w:r>
          </w:p>
        </w:tc>
      </w:tr>
      <w:tr>
        <w:trPr>
          <w:trHeight w:val="230"/>
        </w:trPr>
        <w:tc>
          <w:tcPr>
            <w:tcW w:w="1080" w:type="dxa"/>
            <w:vAlign w:val="bottom"/>
          </w:tcPr>
          <w:p>
            <w:pPr>
              <w:spacing w:after="0"/>
              <w:rPr>
                <w:sz w:val="20"/>
                <w:szCs w:val="20"/>
                <w:color w:val="auto"/>
              </w:rPr>
            </w:pPr>
          </w:p>
        </w:tc>
        <w:tc>
          <w:tcPr>
            <w:tcW w:w="9180" w:type="dxa"/>
            <w:vAlign w:val="bottom"/>
            <w:gridSpan w:val="3"/>
          </w:tcPr>
          <w:p>
            <w:pPr>
              <w:ind w:left="340"/>
              <w:spacing w:after="0"/>
              <w:rPr>
                <w:sz w:val="20"/>
                <w:szCs w:val="20"/>
                <w:color w:val="auto"/>
              </w:rPr>
            </w:pPr>
            <w:r>
              <w:rPr>
                <w:rFonts w:ascii="Arial" w:cs="Arial" w:eastAsia="Arial" w:hAnsi="Arial"/>
                <w:sz w:val="18"/>
                <w:szCs w:val="18"/>
                <w:color w:val="auto"/>
              </w:rPr>
              <w:t>Corporation’s Current Report on Form 8-K filed December 18, 2012)</w:t>
            </w:r>
          </w:p>
        </w:tc>
        <w:tc>
          <w:tcPr>
            <w:tcW w:w="116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99.52</w:t>
            </w: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2"/>
              </w:rPr>
              <w:t>Form of Registration Rights Agreement by and among Clearwire Corporation, as parent, Clearwire Communications LLC and Clearwire</w:t>
            </w:r>
          </w:p>
        </w:tc>
      </w:tr>
      <w:tr>
        <w:trPr>
          <w:trHeight w:val="230"/>
        </w:trPr>
        <w:tc>
          <w:tcPr>
            <w:tcW w:w="1080" w:type="dxa"/>
            <w:vAlign w:val="bottom"/>
          </w:tcPr>
          <w:p>
            <w:pPr>
              <w:spacing w:after="0"/>
              <w:rPr>
                <w:sz w:val="20"/>
                <w:szCs w:val="20"/>
                <w:color w:val="auto"/>
              </w:rPr>
            </w:pPr>
          </w:p>
        </w:tc>
        <w:tc>
          <w:tcPr>
            <w:tcW w:w="9180" w:type="dxa"/>
            <w:vAlign w:val="bottom"/>
            <w:gridSpan w:val="3"/>
          </w:tcPr>
          <w:p>
            <w:pPr>
              <w:ind w:left="340"/>
              <w:spacing w:after="0"/>
              <w:rPr>
                <w:sz w:val="20"/>
                <w:szCs w:val="20"/>
                <w:color w:val="auto"/>
              </w:rPr>
            </w:pPr>
            <w:r>
              <w:rPr>
                <w:rFonts w:ascii="Arial" w:cs="Arial" w:eastAsia="Arial" w:hAnsi="Arial"/>
                <w:sz w:val="18"/>
                <w:szCs w:val="18"/>
                <w:color w:val="auto"/>
              </w:rPr>
              <w:t>Finance, Inc., as issuers, the guarantors party thereto and Sprint Nextel Corporation (included in Exhibit 99.51)</w:t>
            </w:r>
          </w:p>
        </w:tc>
        <w:tc>
          <w:tcPr>
            <w:tcW w:w="116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99.53</w:t>
            </w: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0"/>
              </w:rPr>
              <w:t>Form of Indenture by and among the Clearwire Communications LLC and Clearwire Finance, Inc., as issuers, the guarantors party thereto</w:t>
            </w:r>
          </w:p>
        </w:tc>
      </w:tr>
      <w:tr>
        <w:trPr>
          <w:trHeight w:val="230"/>
        </w:trPr>
        <w:tc>
          <w:tcPr>
            <w:tcW w:w="1080" w:type="dxa"/>
            <w:vAlign w:val="bottom"/>
          </w:tcPr>
          <w:p>
            <w:pPr>
              <w:spacing w:after="0"/>
              <w:rPr>
                <w:sz w:val="20"/>
                <w:szCs w:val="20"/>
                <w:color w:val="auto"/>
              </w:rPr>
            </w:pPr>
          </w:p>
        </w:tc>
        <w:tc>
          <w:tcPr>
            <w:tcW w:w="9180" w:type="dxa"/>
            <w:vAlign w:val="bottom"/>
            <w:gridSpan w:val="3"/>
          </w:tcPr>
          <w:p>
            <w:pPr>
              <w:ind w:left="340"/>
              <w:spacing w:after="0"/>
              <w:rPr>
                <w:sz w:val="20"/>
                <w:szCs w:val="20"/>
                <w:color w:val="auto"/>
              </w:rPr>
            </w:pPr>
            <w:r>
              <w:rPr>
                <w:rFonts w:ascii="Arial" w:cs="Arial" w:eastAsia="Arial" w:hAnsi="Arial"/>
                <w:sz w:val="18"/>
                <w:szCs w:val="18"/>
                <w:color w:val="auto"/>
              </w:rPr>
              <w:t>and [Wilmington Trust, National Association], as trustee (included in Exhibit 99.51)</w:t>
            </w:r>
          </w:p>
        </w:tc>
        <w:tc>
          <w:tcPr>
            <w:tcW w:w="116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99.54</w:t>
            </w: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1"/>
              </w:rPr>
              <w:t>Form of Stock Delivery Agreement by and among Clearwire Communications LLC and Clearwire Finance, Inc., as issuers, and Clearwire</w:t>
            </w:r>
          </w:p>
        </w:tc>
      </w:tr>
      <w:tr>
        <w:trPr>
          <w:trHeight w:val="230"/>
        </w:trPr>
        <w:tc>
          <w:tcPr>
            <w:tcW w:w="1080" w:type="dxa"/>
            <w:vAlign w:val="bottom"/>
          </w:tcPr>
          <w:p>
            <w:pPr>
              <w:spacing w:after="0"/>
              <w:rPr>
                <w:sz w:val="20"/>
                <w:szCs w:val="20"/>
                <w:color w:val="auto"/>
              </w:rPr>
            </w:pPr>
          </w:p>
        </w:tc>
        <w:tc>
          <w:tcPr>
            <w:tcW w:w="3620" w:type="dxa"/>
            <w:vAlign w:val="bottom"/>
            <w:gridSpan w:val="2"/>
          </w:tcPr>
          <w:p>
            <w:pPr>
              <w:ind w:left="340"/>
              <w:spacing w:after="0"/>
              <w:rPr>
                <w:sz w:val="20"/>
                <w:szCs w:val="20"/>
                <w:color w:val="auto"/>
              </w:rPr>
            </w:pPr>
            <w:r>
              <w:rPr>
                <w:rFonts w:ascii="Arial" w:cs="Arial" w:eastAsia="Arial" w:hAnsi="Arial"/>
                <w:sz w:val="18"/>
                <w:szCs w:val="18"/>
                <w:color w:val="auto"/>
              </w:rPr>
              <w:t>Corporation (included in Exhibit 99.51)</w:t>
            </w:r>
          </w:p>
        </w:tc>
        <w:tc>
          <w:tcPr>
            <w:tcW w:w="55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99.55</w:t>
            </w: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1"/>
              </w:rPr>
              <w:t>Second Amendment to Equityholders’ Agreement, dated as of December 17, 2012, by and among, Clearwire Corporation, Sprint HoldCo,</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3"/>
              </w:rPr>
              <w:t>LLC, SN UHC 1, Inc., Eagle River Holdings, LLC, Intel Capital Wireless Investment Corporation 2008A, Intel Capital Corporation, Intel</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3"/>
              </w:rPr>
              <w:t>Capital (Cayman) Corporation, Middlefield Ventures, Inc. and Comcast Corporation, as Strategic Investor Representative (incorporated</w:t>
            </w:r>
          </w:p>
        </w:tc>
      </w:tr>
      <w:tr>
        <w:trPr>
          <w:trHeight w:val="230"/>
        </w:trPr>
        <w:tc>
          <w:tcPr>
            <w:tcW w:w="1080" w:type="dxa"/>
            <w:vAlign w:val="bottom"/>
          </w:tcPr>
          <w:p>
            <w:pPr>
              <w:spacing w:after="0"/>
              <w:rPr>
                <w:sz w:val="20"/>
                <w:szCs w:val="20"/>
                <w:color w:val="auto"/>
              </w:rPr>
            </w:pPr>
          </w:p>
        </w:tc>
        <w:tc>
          <w:tcPr>
            <w:tcW w:w="9180" w:type="dxa"/>
            <w:vAlign w:val="bottom"/>
            <w:gridSpan w:val="3"/>
          </w:tcPr>
          <w:p>
            <w:pPr>
              <w:ind w:left="340"/>
              <w:spacing w:after="0"/>
              <w:rPr>
                <w:sz w:val="20"/>
                <w:szCs w:val="20"/>
                <w:color w:val="auto"/>
              </w:rPr>
            </w:pPr>
            <w:r>
              <w:rPr>
                <w:rFonts w:ascii="Arial" w:cs="Arial" w:eastAsia="Arial" w:hAnsi="Arial"/>
                <w:sz w:val="18"/>
                <w:szCs w:val="18"/>
                <w:color w:val="auto"/>
                <w:w w:val="95"/>
              </w:rPr>
              <w:t>herein by reference to Exhibit 10.7 of Clearwire Corporation’s Current Report on Form 8-K filed December 18, 2012)</w:t>
            </w:r>
          </w:p>
        </w:tc>
        <w:tc>
          <w:tcPr>
            <w:tcW w:w="116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99.56</w:t>
            </w: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3"/>
              </w:rPr>
              <w:t>Third Amendment to Equityholders’ Agreement, dated as of December 17, 2012, by and among, Clearwire Corporation, Sprint HoldCo,</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rPr>
              <w:t>LLC, SN UHC 1, Inc., Intel Capital Wireless Investment Corporation 2008A, Intel Capital Corporation, Intel Capital (Cayman)</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1"/>
              </w:rPr>
              <w:t>Corporation, Middlefield Ventures, Inc. and Comcast Corporation, as Strategic Investor Representative (incorporated herein by reference</w:t>
            </w:r>
          </w:p>
        </w:tc>
      </w:tr>
      <w:tr>
        <w:trPr>
          <w:trHeight w:val="230"/>
        </w:trPr>
        <w:tc>
          <w:tcPr>
            <w:tcW w:w="1080" w:type="dxa"/>
            <w:vAlign w:val="bottom"/>
          </w:tcPr>
          <w:p>
            <w:pPr>
              <w:spacing w:after="0"/>
              <w:rPr>
                <w:sz w:val="20"/>
                <w:szCs w:val="20"/>
                <w:color w:val="auto"/>
              </w:rPr>
            </w:pPr>
          </w:p>
        </w:tc>
        <w:tc>
          <w:tcPr>
            <w:tcW w:w="9180" w:type="dxa"/>
            <w:vAlign w:val="bottom"/>
            <w:gridSpan w:val="3"/>
          </w:tcPr>
          <w:p>
            <w:pPr>
              <w:ind w:left="340"/>
              <w:spacing w:after="0"/>
              <w:rPr>
                <w:sz w:val="20"/>
                <w:szCs w:val="20"/>
                <w:color w:val="auto"/>
              </w:rPr>
            </w:pPr>
            <w:r>
              <w:rPr>
                <w:rFonts w:ascii="Arial" w:cs="Arial" w:eastAsia="Arial" w:hAnsi="Arial"/>
                <w:sz w:val="18"/>
                <w:szCs w:val="18"/>
                <w:color w:val="auto"/>
              </w:rPr>
              <w:t>to Exhibit 10.8 of Clearwire Corporation’s Current Report on Form 8-K filed December 18, 2012)</w:t>
            </w:r>
          </w:p>
        </w:tc>
        <w:tc>
          <w:tcPr>
            <w:tcW w:w="1160" w:type="dxa"/>
            <w:vAlign w:val="bottom"/>
          </w:tcPr>
          <w:p>
            <w:pPr>
              <w:spacing w:after="0"/>
              <w:rPr>
                <w:sz w:val="20"/>
                <w:szCs w:val="20"/>
                <w:color w:val="auto"/>
              </w:rPr>
            </w:pPr>
          </w:p>
        </w:tc>
      </w:tr>
      <w:tr>
        <w:trPr>
          <w:trHeight w:val="1172"/>
        </w:trPr>
        <w:tc>
          <w:tcPr>
            <w:tcW w:w="10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55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9" w:name="page10"/>
    <w:bookmarkEnd w:id="9"/>
    <w:p>
      <w:pPr>
        <w:jc w:val="center"/>
        <w:ind w:right="-2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our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19,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24612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Wireless Investment, LLC</w:t>
      </w:r>
    </w:p>
    <w:p>
      <w:pPr>
        <w:spacing w:after="0" w:line="3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24612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96" w:right="3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EXHIBITS INDEX</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514"/>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4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2"/>
          </w:tcPr>
          <w:p>
            <w:pPr>
              <w:ind w:left="9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7"/>
                <w:szCs w:val="17"/>
                <w:color w:val="auto"/>
              </w:rPr>
            </w:pPr>
          </w:p>
        </w:tc>
        <w:tc>
          <w:tcPr>
            <w:tcW w:w="10000" w:type="dxa"/>
            <w:vAlign w:val="bottom"/>
            <w:gridSpan w:val="3"/>
          </w:tcPr>
          <w:p>
            <w:pPr>
              <w:spacing w:after="0" w:line="201" w:lineRule="exact"/>
              <w:rPr>
                <w:sz w:val="20"/>
                <w:szCs w:val="20"/>
                <w:color w:val="auto"/>
              </w:rPr>
            </w:pPr>
            <w:r>
              <w:rPr>
                <w:rFonts w:ascii="Arial" w:cs="Arial" w:eastAsia="Arial" w:hAnsi="Arial"/>
                <w:sz w:val="18"/>
                <w:szCs w:val="18"/>
                <w:color w:val="auto"/>
                <w:w w:val="95"/>
              </w:rPr>
              <w:t>Statement on Schedule 13D (the “</w:t>
            </w:r>
            <w:r>
              <w:rPr>
                <w:rFonts w:ascii="Arial" w:cs="Arial" w:eastAsia="Arial" w:hAnsi="Arial"/>
                <w:sz w:val="18"/>
                <w:szCs w:val="18"/>
                <w:b w:val="1"/>
                <w:bCs w:val="1"/>
                <w:color w:val="auto"/>
                <w:w w:val="95"/>
              </w:rPr>
              <w:t>Initial Joint 13D Filing</w:t>
            </w:r>
            <w:r>
              <w:rPr>
                <w:rFonts w:ascii="Arial" w:cs="Arial" w:eastAsia="Arial" w:hAnsi="Arial"/>
                <w:sz w:val="18"/>
                <w:szCs w:val="18"/>
                <w:color w:val="auto"/>
                <w:w w:val="95"/>
              </w:rPr>
              <w:t>”) filed on December 5, 2008 by Sprint Nextel Corporation, Sprint HoldCo,</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1"/>
              </w:rPr>
              <w:t>LLC, Comcast Corporation, Comcast Wireless Investment I, Inc., Comcast Wireless Investment II, Inc., Comcast Wireless Investment III,</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4"/>
              </w:rPr>
              <w:t>Inc., Comcast Wireless Investment IV, Inc., Comcast Wireless Investment V, Inc., Time Warner Cable Inc., Time Warner Cable LLC,</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6"/>
              </w:rPr>
              <w:t>TWC Wireless Holdings I LLC, TWC Wireless Holdings II LLC, TWC Wireless Holdings III LLC, Bright House Networks, LLC, BHN</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7"/>
              </w:rPr>
              <w:t>Spectrum Investments, LLC, Newhouse Broadcasting Corporation, Google Inc., Eagle River Holdings, LLC, Craig O. McCaw and</w:t>
            </w:r>
          </w:p>
        </w:tc>
      </w:tr>
      <w:tr>
        <w:trPr>
          <w:trHeight w:val="230"/>
        </w:trPr>
        <w:tc>
          <w:tcPr>
            <w:tcW w:w="1080" w:type="dxa"/>
            <w:vAlign w:val="bottom"/>
          </w:tcPr>
          <w:p>
            <w:pPr>
              <w:spacing w:after="0"/>
              <w:rPr>
                <w:sz w:val="20"/>
                <w:szCs w:val="20"/>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rPr>
              <w:t>CWCI, LLC</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99.2</w:t>
            </w: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5"/>
              </w:rPr>
              <w:t>Amendment No. 1 to the Statement on Schedule 13D filed on February 27, 2009 by Sprint Nextel Corporation, Sprint HoldCo, LLC,</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2"/>
              </w:rPr>
              <w:t>Comcast Corporation, Comcast Wireless Investment I, Inc., Comcast Wireless Investment II, Inc., Comcast Wireless Investment III, Inc.,</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4"/>
              </w:rPr>
              <w:t>Comcast Wireless Investment IV, Inc., Comcast Wireless Investment V, Inc., Time Warner Cable Inc., Time Warner Cable LLC, TWC</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rPr>
              <w:t>Wireless Holdings I LLC, TWC Wireless Holdings II LLC, TWC Wireless Holdings III LLC, Bright House Networks, LLC, BHN</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7"/>
              </w:rPr>
              <w:t>Spectrum Investments, LLC, Newhouse Broadcasting Corporation, Google Inc., Eagle River Holdings, LLC, Craig O. McCaw and</w:t>
            </w:r>
          </w:p>
        </w:tc>
      </w:tr>
      <w:tr>
        <w:trPr>
          <w:trHeight w:val="230"/>
        </w:trPr>
        <w:tc>
          <w:tcPr>
            <w:tcW w:w="1080" w:type="dxa"/>
            <w:vAlign w:val="bottom"/>
          </w:tcPr>
          <w:p>
            <w:pPr>
              <w:spacing w:after="0"/>
              <w:rPr>
                <w:sz w:val="20"/>
                <w:szCs w:val="20"/>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rPr>
              <w:t>CWCI, LLC</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99.3</w:t>
            </w: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3"/>
              </w:rPr>
              <w:t>Amendment No. 2 to the Statement on Schedule 13D (“</w:t>
            </w:r>
            <w:r>
              <w:rPr>
                <w:rFonts w:ascii="Arial" w:cs="Arial" w:eastAsia="Arial" w:hAnsi="Arial"/>
                <w:sz w:val="18"/>
                <w:szCs w:val="18"/>
                <w:b w:val="1"/>
                <w:bCs w:val="1"/>
                <w:color w:val="auto"/>
                <w:w w:val="93"/>
              </w:rPr>
              <w:t>Amendment No. 2</w:t>
            </w:r>
            <w:r>
              <w:rPr>
                <w:rFonts w:ascii="Arial" w:cs="Arial" w:eastAsia="Arial" w:hAnsi="Arial"/>
                <w:sz w:val="18"/>
                <w:szCs w:val="18"/>
                <w:color w:val="auto"/>
                <w:w w:val="93"/>
              </w:rPr>
              <w:t>”) filed on November 12, 2009 by Sprint Nextel Corporation,</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1"/>
              </w:rPr>
              <w:t>Sprint HoldCo, LLC, Comcast Corporation, Comcast Wireless Investment I, Inc., Comcast Wireless Investment II, Inc., Comcast Wireless</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2"/>
              </w:rPr>
              <w:t>Investment III, Inc., Comcast Wireless Investment IV, Inc., Comcast Wireless Investment V, Inc., Time Warner Cable Inc., Time Warner</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5"/>
              </w:rPr>
              <w:t>Cable LLC, TWC Wireless Holdings I LLC, TWC Wireless Holdings II LLC, TWC Wireless Holdings III LLC, Bright House Networks,</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8"/>
              </w:rPr>
              <w:t>LLC, BHN Spectrum Investments, LLC, Newhouse Broadcasting Corporation, Google Inc., Eagle River Holdings, LLC, Craig O.</w:t>
            </w:r>
          </w:p>
        </w:tc>
      </w:tr>
      <w:tr>
        <w:trPr>
          <w:trHeight w:val="230"/>
        </w:trPr>
        <w:tc>
          <w:tcPr>
            <w:tcW w:w="1080" w:type="dxa"/>
            <w:vAlign w:val="bottom"/>
          </w:tcPr>
          <w:p>
            <w:pPr>
              <w:spacing w:after="0"/>
              <w:rPr>
                <w:sz w:val="20"/>
                <w:szCs w:val="20"/>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rPr>
              <w:t>McCaw and CWCI, LLC</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99.4</w:t>
            </w: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4"/>
              </w:rPr>
              <w:t>Amendment No. 3 to the Statement on Schedule 13D filed on December 22, 2009 by Sprint Nextel Corporation, Sprint HoldCo, LLC,</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2"/>
              </w:rPr>
              <w:t>Comcast Corporation, Comcast Wireless Investment I, Inc., Comcast Wireless Investment II, Inc., Comcast Wireless Investment III, Inc.,</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2"/>
              </w:rPr>
              <w:t>Comcast Wireless Investment IV, Inc., Comcast Wireless Investment V, Inc., Comcast Wireless Investment VI, Inc., Time Warner Cable</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5"/>
              </w:rPr>
              <w:t>Inc., Time Warner Cable LLC, TWC Wireless Holdings I LLC, TWC Wireless Holdings II LLC, TWC Wireless Holdings III LLC, Bright</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6"/>
              </w:rPr>
              <w:t>House Networks, LLC, BHN Spectrum Investments, LLC, Newhouse Broadcasting Corporation, Google Inc., Eagle River Holdings,</w:t>
            </w:r>
          </w:p>
        </w:tc>
      </w:tr>
      <w:tr>
        <w:trPr>
          <w:trHeight w:val="230"/>
        </w:trPr>
        <w:tc>
          <w:tcPr>
            <w:tcW w:w="1080" w:type="dxa"/>
            <w:vAlign w:val="bottom"/>
          </w:tcPr>
          <w:p>
            <w:pPr>
              <w:spacing w:after="0"/>
              <w:rPr>
                <w:sz w:val="20"/>
                <w:szCs w:val="20"/>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rPr>
              <w:t>LLC, Craig O. McCaw and CWCI, LLC</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99.5</w:t>
            </w: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4"/>
              </w:rPr>
              <w:t>Amendment No. 4 to the Statement on Schedule 13D (“</w:t>
            </w:r>
            <w:r>
              <w:rPr>
                <w:rFonts w:ascii="Arial" w:cs="Arial" w:eastAsia="Arial" w:hAnsi="Arial"/>
                <w:sz w:val="18"/>
                <w:szCs w:val="18"/>
                <w:b w:val="1"/>
                <w:bCs w:val="1"/>
                <w:color w:val="auto"/>
                <w:w w:val="94"/>
              </w:rPr>
              <w:t>Amendment No. 4</w:t>
            </w:r>
            <w:r>
              <w:rPr>
                <w:rFonts w:ascii="Arial" w:cs="Arial" w:eastAsia="Arial" w:hAnsi="Arial"/>
                <w:sz w:val="18"/>
                <w:szCs w:val="18"/>
                <w:color w:val="auto"/>
                <w:w w:val="94"/>
              </w:rPr>
              <w:t>”) filed on December 7, 2010 by Sprint Nextel Corporation,</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1"/>
              </w:rPr>
              <w:t>Sprint HoldCo, LLC, Comcast Corporation, Comcast Wireless Investment I, Inc., Comcast Wireless Investment II, Inc., Comcast Wireless</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2"/>
              </w:rPr>
              <w:t>Investment III, Inc., Comcast Wireless Investment IV, Inc., Comcast Wireless Investment V, Inc., Comcast Wireless Investment VI, Inc.,</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7"/>
              </w:rPr>
              <w:t>Time Warner Cable Inc., Time Warner Cable LLC, TWC Wireless Holdings I LLC, TWC Wireless Holdings II LLC, TWC Wireless</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4"/>
              </w:rPr>
              <w:t>Holdings III LLC, Bright House Networks, LLC, BHN Spectrum Investments, LLC, Newhouse Broadcasting Corporation, Google Inc.,</w:t>
            </w:r>
          </w:p>
        </w:tc>
      </w:tr>
      <w:tr>
        <w:trPr>
          <w:trHeight w:val="230"/>
        </w:trPr>
        <w:tc>
          <w:tcPr>
            <w:tcW w:w="1080" w:type="dxa"/>
            <w:vAlign w:val="bottom"/>
          </w:tcPr>
          <w:p>
            <w:pPr>
              <w:spacing w:after="0"/>
              <w:rPr>
                <w:sz w:val="20"/>
                <w:szCs w:val="20"/>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rPr>
              <w:t>Eagle River Holdings, LLC and Craig O. McCaw</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99.6</w:t>
            </w: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4"/>
              </w:rPr>
              <w:t>Amendment No. 5 to the Statement on Schedule 13D filed on December 14, 2010 by Sprint Nextel Corporation, Sprint HoldCo, LLC,</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2"/>
              </w:rPr>
              <w:t>Comcast Corporation, Comcast Wireless Investment I, Inc., Comcast Wireless Investment II, Inc., Comcast Wireless Investment III, Inc.,</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2"/>
              </w:rPr>
              <w:t>Comcast Wireless Investment IV, Inc., Comcast Wireless Investment V, Inc., Comcast Wireless Investment VI, Inc., Time Warner Cable</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5"/>
              </w:rPr>
              <w:t>Inc., Time Warner Cable LLC, TWC Wireless Holdings I LLC, TWC Wireless Holdings II LLC, TWC Wireless Holdings III LLC, Bright</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2"/>
              </w:rPr>
              <w:t>House Networks, LLC, BHN Spectrum Investments, LLC, Newhouse Broadcasting Corporation, Google Inc., Eagle River Holdings, LLC</w:t>
            </w:r>
          </w:p>
        </w:tc>
      </w:tr>
      <w:tr>
        <w:trPr>
          <w:trHeight w:val="230"/>
        </w:trPr>
        <w:tc>
          <w:tcPr>
            <w:tcW w:w="1080" w:type="dxa"/>
            <w:vAlign w:val="bottom"/>
          </w:tcPr>
          <w:p>
            <w:pPr>
              <w:spacing w:after="0"/>
              <w:rPr>
                <w:sz w:val="20"/>
                <w:szCs w:val="20"/>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rPr>
              <w:t>and Craig O. McCaw</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99.7</w:t>
            </w: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2"/>
              </w:rPr>
              <w:t>Amendment No. 6 to the Statement on Schedule 13D filed on May 13, 2011 by Sprint Nextel Corporation, Sprint HoldCo, LLC, Comcast</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2"/>
              </w:rPr>
              <w:t>Corporation, Comcast Wireless Investment I, Inc., Comcast Wireless Investment II, Inc., Comcast Wireless Investment III, Inc., Comcast</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1"/>
              </w:rPr>
              <w:t>Wireless Investment IV, Inc., Comcast Wireless Investment V, Inc., Comcast Wireless Investment VI, Inc., Time Warner Cable Inc., Time</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7"/>
              </w:rPr>
              <w:t>Warner Cable LLC, TWC Wireless Holdings I LLC, TWC Wireless Holdings II LLC, TWC Wireless Holdings III LLC, Bright House</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4"/>
              </w:rPr>
              <w:t>Networks, LLC, BHN Spectrum Investments, LLC, Newhouse Broadcasting Corporation, Google Inc., Eagle River Holdings, LLC and</w:t>
            </w:r>
          </w:p>
        </w:tc>
      </w:tr>
      <w:tr>
        <w:trPr>
          <w:trHeight w:val="230"/>
        </w:trPr>
        <w:tc>
          <w:tcPr>
            <w:tcW w:w="1080" w:type="dxa"/>
            <w:vAlign w:val="bottom"/>
          </w:tcPr>
          <w:p>
            <w:pPr>
              <w:spacing w:after="0"/>
              <w:rPr>
                <w:sz w:val="20"/>
                <w:szCs w:val="20"/>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rPr>
              <w:t>Craig O. McCaw</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99.8</w:t>
            </w: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3"/>
              </w:rPr>
              <w:t>Amendment No. 7 to the Statement on Schedule 13D (“</w:t>
            </w:r>
            <w:r>
              <w:rPr>
                <w:rFonts w:ascii="Arial" w:cs="Arial" w:eastAsia="Arial" w:hAnsi="Arial"/>
                <w:sz w:val="18"/>
                <w:szCs w:val="18"/>
                <w:b w:val="1"/>
                <w:bCs w:val="1"/>
                <w:color w:val="auto"/>
                <w:w w:val="93"/>
              </w:rPr>
              <w:t>Amendment No. 7</w:t>
            </w:r>
            <w:r>
              <w:rPr>
                <w:rFonts w:ascii="Arial" w:cs="Arial" w:eastAsia="Arial" w:hAnsi="Arial"/>
                <w:sz w:val="18"/>
                <w:szCs w:val="18"/>
                <w:color w:val="auto"/>
                <w:w w:val="93"/>
              </w:rPr>
              <w:t>”) filed on June 8, 2011 by Sprint Nextel Corporation, Sprint</w:t>
            </w:r>
          </w:p>
        </w:tc>
      </w:tr>
      <w:tr>
        <w:trPr>
          <w:trHeight w:val="230"/>
        </w:trPr>
        <w:tc>
          <w:tcPr>
            <w:tcW w:w="1080" w:type="dxa"/>
            <w:vAlign w:val="bottom"/>
          </w:tcPr>
          <w:p>
            <w:pPr>
              <w:spacing w:after="0"/>
              <w:rPr>
                <w:sz w:val="20"/>
                <w:szCs w:val="20"/>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rPr>
              <w:t>HoldCo, LLC, Comcast Corporation, Comcast Wireless Investment I, Inc., Comcast Wireless Investment II, Inc., Comcast</w:t>
            </w:r>
          </w:p>
        </w:tc>
      </w:tr>
      <w:tr>
        <w:trPr>
          <w:trHeight w:val="686"/>
        </w:trPr>
        <w:tc>
          <w:tcPr>
            <w:tcW w:w="10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2"/>
              </w:rPr>
              <w:t>Wireless Investment III, Inc., Comcast Wireless Investment IV, Inc., Comcast Wireless Investment V, Inc., Comcast Wireless Investment</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8"/>
              </w:rPr>
              <w:t>VI, Inc., Time Warner Cable Inc., Time Warner Cable LLC, TWC Wireless Holdings I LLC, TWC Wireless Holdings II LLC, TWC</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7"/>
              </w:rPr>
              <w:t>Wireless Holdings III LLC, Bright House Networks, LLC, BHN Spectrum Investments, LLC, Newhouse Broadcasting Corporation,</w:t>
            </w:r>
          </w:p>
        </w:tc>
      </w:tr>
      <w:tr>
        <w:trPr>
          <w:trHeight w:val="230"/>
        </w:trPr>
        <w:tc>
          <w:tcPr>
            <w:tcW w:w="920" w:type="dxa"/>
            <w:vAlign w:val="bottom"/>
          </w:tcPr>
          <w:p>
            <w:pPr>
              <w:spacing w:after="0"/>
              <w:rPr>
                <w:sz w:val="20"/>
                <w:szCs w:val="20"/>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rPr>
              <w:t>Google Inc., Eagle River Holdings, LLC and Craig O. McCaw</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99.9</w:t>
            </w:r>
          </w:p>
        </w:tc>
        <w:tc>
          <w:tcPr>
            <w:tcW w:w="10500" w:type="dxa"/>
            <w:vAlign w:val="bottom"/>
          </w:tcPr>
          <w:p>
            <w:pPr>
              <w:ind w:left="500"/>
              <w:spacing w:after="0"/>
              <w:rPr>
                <w:sz w:val="20"/>
                <w:szCs w:val="20"/>
                <w:color w:val="auto"/>
              </w:rPr>
            </w:pPr>
            <w:r>
              <w:rPr>
                <w:rFonts w:ascii="Arial" w:cs="Arial" w:eastAsia="Arial" w:hAnsi="Arial"/>
                <w:sz w:val="18"/>
                <w:szCs w:val="18"/>
                <w:color w:val="auto"/>
                <w:w w:val="93"/>
              </w:rPr>
              <w:t>Amendment No. 8 to the Statement on Schedule 13D (“</w:t>
            </w:r>
            <w:r>
              <w:rPr>
                <w:rFonts w:ascii="Arial" w:cs="Arial" w:eastAsia="Arial" w:hAnsi="Arial"/>
                <w:sz w:val="18"/>
                <w:szCs w:val="18"/>
                <w:b w:val="1"/>
                <w:bCs w:val="1"/>
                <w:color w:val="auto"/>
                <w:w w:val="93"/>
              </w:rPr>
              <w:t>Amendment No. 8</w:t>
            </w:r>
            <w:r>
              <w:rPr>
                <w:rFonts w:ascii="Arial" w:cs="Arial" w:eastAsia="Arial" w:hAnsi="Arial"/>
                <w:sz w:val="18"/>
                <w:szCs w:val="18"/>
                <w:color w:val="auto"/>
                <w:w w:val="93"/>
              </w:rPr>
              <w:t>”) filed on December 16, 2011 by Sprint Nextel Corporation,</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1"/>
              </w:rPr>
              <w:t>Sprint HoldCo, LLC, Comcast Corporation, Comcast Wireless Investment I, Inc., Comcast Wireless Investment II, Inc., Comcast Wireless</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2"/>
              </w:rPr>
              <w:t>Investment III, Inc., Comcast Wireless Investment IV, Inc., Comcast Wireless Investment V, Inc., Comcast Wireless Investment VI, Inc.,</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7"/>
              </w:rPr>
              <w:t>Time Warner Cable Inc., Time Warner Cable LLC, TWC Wireless Holdings I LLC, TWC Wireless Holdings II LLC, TWC Wireless</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4"/>
              </w:rPr>
              <w:t>Holdings III LLC, Bright House Networks, LLC, BHN Spectrum Investments, LLC, Newhouse Broadcasting Corporation, Google Inc.,</w:t>
            </w:r>
          </w:p>
        </w:tc>
      </w:tr>
      <w:tr>
        <w:trPr>
          <w:trHeight w:val="230"/>
        </w:trPr>
        <w:tc>
          <w:tcPr>
            <w:tcW w:w="920" w:type="dxa"/>
            <w:vAlign w:val="bottom"/>
          </w:tcPr>
          <w:p>
            <w:pPr>
              <w:spacing w:after="0"/>
              <w:rPr>
                <w:sz w:val="20"/>
                <w:szCs w:val="20"/>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rPr>
              <w:t>Eagle River Holdings, LLC and Craig O. McCaw</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99.10</w:t>
            </w:r>
          </w:p>
        </w:tc>
        <w:tc>
          <w:tcPr>
            <w:tcW w:w="10500" w:type="dxa"/>
            <w:vAlign w:val="bottom"/>
          </w:tcPr>
          <w:p>
            <w:pPr>
              <w:ind w:left="500"/>
              <w:spacing w:after="0"/>
              <w:rPr>
                <w:sz w:val="20"/>
                <w:szCs w:val="20"/>
                <w:color w:val="auto"/>
              </w:rPr>
            </w:pPr>
            <w:r>
              <w:rPr>
                <w:rFonts w:ascii="Arial" w:cs="Arial" w:eastAsia="Arial" w:hAnsi="Arial"/>
                <w:sz w:val="18"/>
                <w:szCs w:val="18"/>
                <w:color w:val="auto"/>
                <w:w w:val="94"/>
              </w:rPr>
              <w:t>Amendment No. 9 to the Statement on Schedule 13D (“</w:t>
            </w:r>
            <w:r>
              <w:rPr>
                <w:rFonts w:ascii="Arial" w:cs="Arial" w:eastAsia="Arial" w:hAnsi="Arial"/>
                <w:sz w:val="18"/>
                <w:szCs w:val="18"/>
                <w:b w:val="1"/>
                <w:bCs w:val="1"/>
                <w:color w:val="auto"/>
                <w:w w:val="94"/>
              </w:rPr>
              <w:t>Amendment No. 9</w:t>
            </w:r>
            <w:r>
              <w:rPr>
                <w:rFonts w:ascii="Arial" w:cs="Arial" w:eastAsia="Arial" w:hAnsi="Arial"/>
                <w:sz w:val="18"/>
                <w:szCs w:val="18"/>
                <w:color w:val="auto"/>
                <w:w w:val="94"/>
              </w:rPr>
              <w:t>”)filed on February 24, 2012 by Sprint Nextel Corporation,</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1"/>
              </w:rPr>
              <w:t>Sprint HoldCo, LLC, Comcast Corporation, Comcast Wireless Investment I, Inc., Comcast Wireless Investment II, Inc., Comcast Wireless</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2"/>
              </w:rPr>
              <w:t>Investment III, Inc., Comcast Wireless Investment IV, Inc., Comcast Wireless Investment V, Inc., Comcast Wireless Investment VI, Inc.,</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7"/>
              </w:rPr>
              <w:t>Time Warner Cable Inc., Time Warner Cable LLC, TWC Wireless Holdings I LLC, TWC Wireless Holdings II LLC, TWC Wireless</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4"/>
              </w:rPr>
              <w:t>Holdings III LLC, Bright House Networks, LLC, BHN Spectrum Investments, LLC, Newhouse Broadcasting Corporation, Google Inc.,</w:t>
            </w:r>
          </w:p>
        </w:tc>
      </w:tr>
      <w:tr>
        <w:trPr>
          <w:trHeight w:val="230"/>
        </w:trPr>
        <w:tc>
          <w:tcPr>
            <w:tcW w:w="920" w:type="dxa"/>
            <w:vAlign w:val="bottom"/>
          </w:tcPr>
          <w:p>
            <w:pPr>
              <w:spacing w:after="0"/>
              <w:rPr>
                <w:sz w:val="20"/>
                <w:szCs w:val="20"/>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rPr>
              <w:t>Eagle River Holdings, LLC and Craig O. McCaw</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99.11</w:t>
            </w:r>
          </w:p>
        </w:tc>
        <w:tc>
          <w:tcPr>
            <w:tcW w:w="10500" w:type="dxa"/>
            <w:vAlign w:val="bottom"/>
          </w:tcPr>
          <w:p>
            <w:pPr>
              <w:ind w:left="500"/>
              <w:spacing w:after="0"/>
              <w:rPr>
                <w:sz w:val="20"/>
                <w:szCs w:val="20"/>
                <w:color w:val="auto"/>
              </w:rPr>
            </w:pPr>
            <w:r>
              <w:rPr>
                <w:rFonts w:ascii="Arial" w:cs="Arial" w:eastAsia="Arial" w:hAnsi="Arial"/>
                <w:sz w:val="18"/>
                <w:szCs w:val="18"/>
                <w:color w:val="auto"/>
                <w:w w:val="96"/>
              </w:rPr>
              <w:t>Amendment No. 10 to the Statement on Schedule 13D filed on March 14, 2012 by Sprint Nextel Corporation, Sprint HoldCo, LLC,</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2"/>
              </w:rPr>
              <w:t>Comcast Corporation, Comcast Wireless Investment I, Inc., Comcast Wireless Investment II, Inc., Comcast Wireless Investment III, Inc.,</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2"/>
              </w:rPr>
              <w:t>Comcast Wireless Investment IV, Inc., Comcast Wireless Investment V, Inc., Comcast Wireless Investment VI, Inc., Time Warner Cable</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5"/>
              </w:rPr>
              <w:t>Inc., Time Warner Cable LLC, TWC Wireless Holdings I LLC, TWC Wireless Holdings II LLC, TWC Wireless Holdings III LLC, Bright</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2"/>
              </w:rPr>
              <w:t>House Networks, LLC, BHN Spectrum Investments, LLC, Newhouse Broadcasting Corporation, Google Inc., Eagle River Holdings, LLC</w:t>
            </w:r>
          </w:p>
        </w:tc>
      </w:tr>
      <w:tr>
        <w:trPr>
          <w:trHeight w:val="230"/>
        </w:trPr>
        <w:tc>
          <w:tcPr>
            <w:tcW w:w="920" w:type="dxa"/>
            <w:vAlign w:val="bottom"/>
          </w:tcPr>
          <w:p>
            <w:pPr>
              <w:spacing w:after="0"/>
              <w:rPr>
                <w:sz w:val="20"/>
                <w:szCs w:val="20"/>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rPr>
              <w:t>and Craig O. McCaw</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99.12</w:t>
            </w:r>
          </w:p>
        </w:tc>
        <w:tc>
          <w:tcPr>
            <w:tcW w:w="10500" w:type="dxa"/>
            <w:vAlign w:val="bottom"/>
          </w:tcPr>
          <w:p>
            <w:pPr>
              <w:ind w:left="500"/>
              <w:spacing w:after="0"/>
              <w:rPr>
                <w:sz w:val="20"/>
                <w:szCs w:val="20"/>
                <w:color w:val="auto"/>
              </w:rPr>
            </w:pPr>
            <w:r>
              <w:rPr>
                <w:rFonts w:ascii="Arial" w:cs="Arial" w:eastAsia="Arial" w:hAnsi="Arial"/>
                <w:sz w:val="18"/>
                <w:szCs w:val="18"/>
                <w:color w:val="auto"/>
                <w:w w:val="95"/>
              </w:rPr>
              <w:t>Amendment No. 11 to the Statement on Schedule 13D (“</w:t>
            </w:r>
            <w:r>
              <w:rPr>
                <w:rFonts w:ascii="Arial" w:cs="Arial" w:eastAsia="Arial" w:hAnsi="Arial"/>
                <w:sz w:val="18"/>
                <w:szCs w:val="18"/>
                <w:b w:val="1"/>
                <w:bCs w:val="1"/>
                <w:color w:val="auto"/>
                <w:w w:val="95"/>
              </w:rPr>
              <w:t>Amendment No. 11</w:t>
            </w:r>
            <w:r>
              <w:rPr>
                <w:rFonts w:ascii="Arial" w:cs="Arial" w:eastAsia="Arial" w:hAnsi="Arial"/>
                <w:sz w:val="18"/>
                <w:szCs w:val="18"/>
                <w:color w:val="auto"/>
                <w:w w:val="95"/>
              </w:rPr>
              <w:t>”) filed on June 15, 2012 by Sprint Nextel Corporation,</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1"/>
              </w:rPr>
              <w:t>Sprint HoldCo, LLC, Comcast Corporation, Comcast Wireless Investment I, Inc., Comcast Wireless Investment II, Inc., Comcast Wireless</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2"/>
              </w:rPr>
              <w:t>Investment III, Inc., Comcast Wireless Investment IV, Inc., Comcast Wireless Investment V, Inc., Comcast Wireless Investment VI, Inc.,</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7"/>
              </w:rPr>
              <w:t>Time Warner Cable Inc., Time Warner Cable LLC, TWC Wireless Holdings I LLC, TWC Wireless Holdings II LLC, TWC Wireless</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5"/>
              </w:rPr>
              <w:t>Holdings III LLC, Bright House Networks, LLC, BHN Spectrum Investments, LLC, Newhouse Broadcasting Corporation, Eagle River</w:t>
            </w:r>
          </w:p>
        </w:tc>
      </w:tr>
      <w:tr>
        <w:trPr>
          <w:trHeight w:val="230"/>
        </w:trPr>
        <w:tc>
          <w:tcPr>
            <w:tcW w:w="920" w:type="dxa"/>
            <w:vAlign w:val="bottom"/>
          </w:tcPr>
          <w:p>
            <w:pPr>
              <w:spacing w:after="0"/>
              <w:rPr>
                <w:sz w:val="20"/>
                <w:szCs w:val="20"/>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rPr>
              <w:t>Holdings, LLC and Craig O. McCaw</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99.13</w:t>
            </w:r>
          </w:p>
        </w:tc>
        <w:tc>
          <w:tcPr>
            <w:tcW w:w="10500" w:type="dxa"/>
            <w:vAlign w:val="bottom"/>
          </w:tcPr>
          <w:p>
            <w:pPr>
              <w:ind w:left="500"/>
              <w:spacing w:after="0"/>
              <w:rPr>
                <w:sz w:val="20"/>
                <w:szCs w:val="20"/>
                <w:color w:val="auto"/>
              </w:rPr>
            </w:pPr>
            <w:r>
              <w:rPr>
                <w:rFonts w:ascii="Arial" w:cs="Arial" w:eastAsia="Arial" w:hAnsi="Arial"/>
                <w:sz w:val="18"/>
                <w:szCs w:val="18"/>
                <w:color w:val="auto"/>
              </w:rPr>
              <w:t>Amendment No. 12 to the Statement on Schedule 13D (“</w:t>
            </w:r>
            <w:r>
              <w:rPr>
                <w:rFonts w:ascii="Arial" w:cs="Arial" w:eastAsia="Arial" w:hAnsi="Arial"/>
                <w:sz w:val="18"/>
                <w:szCs w:val="18"/>
                <w:b w:val="1"/>
                <w:bCs w:val="1"/>
                <w:color w:val="auto"/>
              </w:rPr>
              <w:t>Amendment No. 12</w:t>
            </w:r>
            <w:r>
              <w:rPr>
                <w:rFonts w:ascii="Arial" w:cs="Arial" w:eastAsia="Arial" w:hAnsi="Arial"/>
                <w:sz w:val="18"/>
                <w:szCs w:val="18"/>
                <w:color w:val="auto"/>
              </w:rPr>
              <w:t>”) filed on September 14, 2012 by Sprint Nextel</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5"/>
              </w:rPr>
              <w:t>Corporation, Sprint HoldCo, LLC, Comcast Corporation, Comcast Wireless Investment, LLC, Time Warner Cable Inc., Time Warner</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5"/>
              </w:rPr>
              <w:t>Cable LLC, TWC Wireless Holdings I LLC, TWC Wireless Holdings II LLC, TWC Wireless Holdings III LLC, Bright House Networks,</w:t>
            </w:r>
          </w:p>
        </w:tc>
      </w:tr>
      <w:tr>
        <w:trPr>
          <w:trHeight w:val="230"/>
        </w:trPr>
        <w:tc>
          <w:tcPr>
            <w:tcW w:w="920" w:type="dxa"/>
            <w:vAlign w:val="bottom"/>
          </w:tcPr>
          <w:p>
            <w:pPr>
              <w:spacing w:after="0"/>
              <w:rPr>
                <w:sz w:val="20"/>
                <w:szCs w:val="20"/>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9"/>
              </w:rPr>
              <w:t>LLC, BHN Spectrum Investments, LLC, Newhouse Broadcasting Corporation, Eagle River Holdings, LLC and Craig O. McCaw</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99.14</w:t>
            </w:r>
          </w:p>
        </w:tc>
        <w:tc>
          <w:tcPr>
            <w:tcW w:w="10500" w:type="dxa"/>
            <w:vAlign w:val="bottom"/>
          </w:tcPr>
          <w:p>
            <w:pPr>
              <w:ind w:left="500"/>
              <w:spacing w:after="0"/>
              <w:rPr>
                <w:sz w:val="20"/>
                <w:szCs w:val="20"/>
                <w:color w:val="auto"/>
              </w:rPr>
            </w:pPr>
            <w:r>
              <w:rPr>
                <w:rFonts w:ascii="Arial" w:cs="Arial" w:eastAsia="Arial" w:hAnsi="Arial"/>
                <w:sz w:val="18"/>
                <w:szCs w:val="18"/>
                <w:color w:val="auto"/>
                <w:w w:val="94"/>
              </w:rPr>
              <w:t>Amendment No. 13 to the Statement on Schedule 13D (“</w:t>
            </w:r>
            <w:r>
              <w:rPr>
                <w:rFonts w:ascii="Arial" w:cs="Arial" w:eastAsia="Arial" w:hAnsi="Arial"/>
                <w:sz w:val="18"/>
                <w:szCs w:val="18"/>
                <w:b w:val="1"/>
                <w:bCs w:val="1"/>
                <w:color w:val="auto"/>
                <w:w w:val="94"/>
              </w:rPr>
              <w:t>Amendment No. 13</w:t>
            </w:r>
            <w:r>
              <w:rPr>
                <w:rFonts w:ascii="Arial" w:cs="Arial" w:eastAsia="Arial" w:hAnsi="Arial"/>
                <w:sz w:val="18"/>
                <w:szCs w:val="18"/>
                <w:color w:val="auto"/>
                <w:w w:val="94"/>
              </w:rPr>
              <w:t>”) filed on October 3, 2012 by Sprint Nextel Corporation,</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2"/>
              </w:rPr>
              <w:t>Sprint HoldCo, LLC, Comcast Corporation, Comcast Wireless Investment, LLC, Time Warner Cable Inc., Time Warner Cable LLC, TWC</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rPr>
              <w:t>Wireless Holdings I LLC, TWC Wireless Holdings II LLC, TWC Wireless Holdings III LLC, Bright House Networks, LLC, BHN</w:t>
            </w:r>
          </w:p>
        </w:tc>
      </w:tr>
      <w:tr>
        <w:trPr>
          <w:trHeight w:val="230"/>
        </w:trPr>
        <w:tc>
          <w:tcPr>
            <w:tcW w:w="920" w:type="dxa"/>
            <w:vAlign w:val="bottom"/>
          </w:tcPr>
          <w:p>
            <w:pPr>
              <w:spacing w:after="0"/>
              <w:rPr>
                <w:sz w:val="20"/>
                <w:szCs w:val="20"/>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rPr>
              <w:t>Spectrum Investments, LLC, Newhouse Broadcasting Corporation, Eagle River Holdings, LLC and Craig O. McCaw</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99.15</w:t>
            </w:r>
          </w:p>
        </w:tc>
        <w:tc>
          <w:tcPr>
            <w:tcW w:w="10500" w:type="dxa"/>
            <w:vAlign w:val="bottom"/>
          </w:tcPr>
          <w:p>
            <w:pPr>
              <w:ind w:left="500"/>
              <w:spacing w:after="0"/>
              <w:rPr>
                <w:sz w:val="20"/>
                <w:szCs w:val="20"/>
                <w:color w:val="auto"/>
              </w:rPr>
            </w:pPr>
            <w:r>
              <w:rPr>
                <w:rFonts w:ascii="Arial" w:cs="Arial" w:eastAsia="Arial" w:hAnsi="Arial"/>
                <w:sz w:val="18"/>
                <w:szCs w:val="18"/>
                <w:color w:val="auto"/>
                <w:w w:val="93"/>
              </w:rPr>
              <w:t>Transaction Agreement and Plan of Merger, dated as of May 7, 2008, by and among Sprint Nextel Corporation, Clearwire Corporation,</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2"/>
              </w:rPr>
              <w:t>Comcast Corporation, Time Warner Cable Inc., Bright House Networks, LLC, Google Inc., and Intel Corporation (incorporated herein by</w:t>
            </w:r>
          </w:p>
        </w:tc>
      </w:tr>
      <w:tr>
        <w:trPr>
          <w:trHeight w:val="230"/>
        </w:trPr>
        <w:tc>
          <w:tcPr>
            <w:tcW w:w="920" w:type="dxa"/>
            <w:vAlign w:val="bottom"/>
          </w:tcPr>
          <w:p>
            <w:pPr>
              <w:spacing w:after="0"/>
              <w:rPr>
                <w:sz w:val="20"/>
                <w:szCs w:val="20"/>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rPr>
              <w:t>reference to Exhibit 2.1 of Clearwire Corporation’s Current Report on Form 8−K filed May 7, 2008)</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99.16</w:t>
            </w:r>
          </w:p>
        </w:tc>
        <w:tc>
          <w:tcPr>
            <w:tcW w:w="10500" w:type="dxa"/>
            <w:vAlign w:val="bottom"/>
          </w:tcPr>
          <w:p>
            <w:pPr>
              <w:ind w:left="500"/>
              <w:spacing w:after="0"/>
              <w:rPr>
                <w:sz w:val="20"/>
                <w:szCs w:val="20"/>
                <w:color w:val="auto"/>
              </w:rPr>
            </w:pPr>
            <w:r>
              <w:rPr>
                <w:rFonts w:ascii="Arial" w:cs="Arial" w:eastAsia="Arial" w:hAnsi="Arial"/>
                <w:sz w:val="18"/>
                <w:szCs w:val="18"/>
                <w:color w:val="auto"/>
                <w:w w:val="96"/>
              </w:rPr>
              <w:t>Amendment No. 1 to the Transaction Agreement and Plan of Merger, dated as of November 21, 2008, by and among Sprint Nextel</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2"/>
              </w:rPr>
              <w:t>Corporation, Clearwire Corporation, Comcast Corporation, Time Warner Cable Inc., Bright House Networks, LLC, Google Inc., and Intel</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3"/>
              </w:rPr>
              <w:t>Corporation (incorporated herein by reference to Exhibit 2.1 of Clearwire Corporation’s Current Report on Form 8-K filed December 1,</w:t>
            </w:r>
          </w:p>
        </w:tc>
      </w:tr>
      <w:tr>
        <w:trPr>
          <w:trHeight w:val="230"/>
        </w:trPr>
        <w:tc>
          <w:tcPr>
            <w:tcW w:w="920" w:type="dxa"/>
            <w:vAlign w:val="bottom"/>
          </w:tcPr>
          <w:p>
            <w:pPr>
              <w:spacing w:after="0"/>
              <w:rPr>
                <w:sz w:val="20"/>
                <w:szCs w:val="20"/>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rPr>
              <w:t>2008)</w:t>
            </w:r>
          </w:p>
        </w:tc>
      </w:tr>
      <w:tr>
        <w:trPr>
          <w:trHeight w:val="686"/>
        </w:trPr>
        <w:tc>
          <w:tcPr>
            <w:tcW w:w="920" w:type="dxa"/>
            <w:vAlign w:val="bottom"/>
            <w:tcBorders>
              <w:bottom w:val="single" w:sz="8" w:color="808080"/>
            </w:tcBorders>
          </w:tcPr>
          <w:p>
            <w:pPr>
              <w:spacing w:after="0"/>
              <w:rPr>
                <w:sz w:val="24"/>
                <w:szCs w:val="24"/>
                <w:color w:val="auto"/>
              </w:rPr>
            </w:pPr>
          </w:p>
        </w:tc>
        <w:tc>
          <w:tcPr>
            <w:tcW w:w="10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99.17</w:t>
            </w:r>
          </w:p>
        </w:tc>
        <w:tc>
          <w:tcPr>
            <w:tcW w:w="10500" w:type="dxa"/>
            <w:vAlign w:val="bottom"/>
          </w:tcPr>
          <w:p>
            <w:pPr>
              <w:ind w:left="500"/>
              <w:spacing w:after="0"/>
              <w:rPr>
                <w:sz w:val="20"/>
                <w:szCs w:val="20"/>
                <w:color w:val="auto"/>
              </w:rPr>
            </w:pPr>
            <w:r>
              <w:rPr>
                <w:rFonts w:ascii="Arial" w:cs="Arial" w:eastAsia="Arial" w:hAnsi="Arial"/>
                <w:sz w:val="18"/>
                <w:szCs w:val="18"/>
                <w:color w:val="auto"/>
                <w:w w:val="95"/>
              </w:rPr>
              <w:t>Equityholders’ Agreement, dated as of November 28, 2008, by and among Clearwire Corporation, Sprint HoldCo, LLC, Eagle River</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2"/>
              </w:rPr>
              <w:t>Holdings, LLC, Intel Capital Wireless Investment Corporation 2008A, Intel Capital Wireless Investment Corporation 2008B, Intel Capital</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7"/>
              </w:rPr>
              <w:t>Wireless Investment Corporation 2008C, Intel Capital Corporation, Intel Capital (Cayman) Corporation, Middlefield Ventures, Inc.,</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4"/>
              </w:rPr>
              <w:t>Comcast Wireless Investment I, Inc., Comcast Wireless Investment II, Inc., Comcast Wireless Investment III, Inc., Comcast Wireless</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4"/>
              </w:rPr>
              <w:t>Investment IV, Inc., Comcast Wireless Investment V, Inc., Google Inc., TWC Wireless Holdings I LLC, TWC Wireless Holdings II LLC,</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9"/>
              </w:rPr>
              <w:t>TWC Wireless Holdings III LLC, BHN Spectrum Investments, LLC and, for the limited purpose of Sections 2.13, 2.14, 2.15 and</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7"/>
              </w:rPr>
              <w:t>Article 4, Sprint Nextel Corporation (incorporated herein by reference to Exhibit 4.1 of Clearwire Corporation’s Current Report on</w:t>
            </w:r>
          </w:p>
        </w:tc>
      </w:tr>
      <w:tr>
        <w:trPr>
          <w:trHeight w:val="230"/>
        </w:trPr>
        <w:tc>
          <w:tcPr>
            <w:tcW w:w="920" w:type="dxa"/>
            <w:vAlign w:val="bottom"/>
          </w:tcPr>
          <w:p>
            <w:pPr>
              <w:spacing w:after="0"/>
              <w:rPr>
                <w:sz w:val="20"/>
                <w:szCs w:val="20"/>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rPr>
              <w:t>Form 8-K filed December 1, 2008)</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99.18</w:t>
            </w:r>
          </w:p>
        </w:tc>
        <w:tc>
          <w:tcPr>
            <w:tcW w:w="10500" w:type="dxa"/>
            <w:vAlign w:val="bottom"/>
          </w:tcPr>
          <w:p>
            <w:pPr>
              <w:ind w:left="500"/>
              <w:spacing w:after="0"/>
              <w:rPr>
                <w:sz w:val="20"/>
                <w:szCs w:val="20"/>
                <w:color w:val="auto"/>
              </w:rPr>
            </w:pPr>
            <w:r>
              <w:rPr>
                <w:rFonts w:ascii="Arial" w:cs="Arial" w:eastAsia="Arial" w:hAnsi="Arial"/>
                <w:sz w:val="18"/>
                <w:szCs w:val="18"/>
                <w:color w:val="auto"/>
                <w:w w:val="93"/>
              </w:rPr>
              <w:t>Strategic Investor Agreement, dated as of November 28, 2008, by and among Comcast Wireless Investment I, Inc., Comcast Wireless</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3"/>
              </w:rPr>
              <w:t>Investment II, Inc., Comcast Wireless Investment III, Inc., Comcast Wireless Investment IV, Inc., Comcast Wireless Investment V, Inc.,</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6"/>
              </w:rPr>
              <w:t>TWC Wireless Holdings I LLC, TWC Wireless Holdings II LLC, TWC Wireless Holdings III LLC, BHN Spectrum Investments, LLC,</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6"/>
              </w:rPr>
              <w:t>Google Inc., Comcast Corporation, Time Warner Cable Inc. and Bright House Networks, LLC (incorporated herein by reference to</w:t>
            </w:r>
          </w:p>
        </w:tc>
      </w:tr>
      <w:tr>
        <w:trPr>
          <w:trHeight w:val="230"/>
        </w:trPr>
        <w:tc>
          <w:tcPr>
            <w:tcW w:w="920" w:type="dxa"/>
            <w:vAlign w:val="bottom"/>
          </w:tcPr>
          <w:p>
            <w:pPr>
              <w:spacing w:after="0"/>
              <w:rPr>
                <w:sz w:val="20"/>
                <w:szCs w:val="20"/>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rPr>
              <w:t>Exhibit 99.7 to the Initial Joint 13D Filing)</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99.19</w:t>
            </w:r>
          </w:p>
        </w:tc>
        <w:tc>
          <w:tcPr>
            <w:tcW w:w="10500" w:type="dxa"/>
            <w:vAlign w:val="bottom"/>
          </w:tcPr>
          <w:p>
            <w:pPr>
              <w:ind w:left="500"/>
              <w:spacing w:after="0"/>
              <w:rPr>
                <w:sz w:val="20"/>
                <w:szCs w:val="20"/>
                <w:color w:val="auto"/>
              </w:rPr>
            </w:pPr>
            <w:r>
              <w:rPr>
                <w:rFonts w:ascii="Arial" w:cs="Arial" w:eastAsia="Arial" w:hAnsi="Arial"/>
                <w:sz w:val="18"/>
                <w:szCs w:val="18"/>
                <w:color w:val="auto"/>
                <w:w w:val="93"/>
              </w:rPr>
              <w:t>Registration Rights Agreement, dated as of November 28, 2008, among Clearwire Corporation, Sprint Nextel Corporation, Eagle River</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6"/>
              </w:rPr>
              <w:t>Holdings, LLC, Intel Corporation, Comcast Corporation, Google Inc., Time Warner Cable Inc. and BHN Spectrum Investments LLC</w:t>
            </w:r>
          </w:p>
        </w:tc>
      </w:tr>
      <w:tr>
        <w:trPr>
          <w:trHeight w:val="230"/>
        </w:trPr>
        <w:tc>
          <w:tcPr>
            <w:tcW w:w="920" w:type="dxa"/>
            <w:vAlign w:val="bottom"/>
          </w:tcPr>
          <w:p>
            <w:pPr>
              <w:spacing w:after="0"/>
              <w:rPr>
                <w:sz w:val="20"/>
                <w:szCs w:val="20"/>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8"/>
              </w:rPr>
              <w:t>(incorporated herein by reference to Exhibit 4.2 of Clearwire Corporation’s Current Report on Form 8-K filed December 1, 2008)</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99.20</w:t>
            </w:r>
          </w:p>
        </w:tc>
        <w:tc>
          <w:tcPr>
            <w:tcW w:w="10500" w:type="dxa"/>
            <w:vAlign w:val="bottom"/>
          </w:tcPr>
          <w:p>
            <w:pPr>
              <w:ind w:left="500"/>
              <w:spacing w:after="0"/>
              <w:rPr>
                <w:sz w:val="20"/>
                <w:szCs w:val="20"/>
                <w:color w:val="auto"/>
              </w:rPr>
            </w:pPr>
            <w:r>
              <w:rPr>
                <w:rFonts w:ascii="Arial" w:cs="Arial" w:eastAsia="Arial" w:hAnsi="Arial"/>
                <w:sz w:val="18"/>
                <w:szCs w:val="18"/>
                <w:color w:val="auto"/>
                <w:w w:val="91"/>
              </w:rPr>
              <w:t>Amended and Restated Operating Agreement of Clearwire Communications LLC, dated as of November 28, 2008 (incorporated herein by</w:t>
            </w:r>
          </w:p>
        </w:tc>
      </w:tr>
      <w:tr>
        <w:trPr>
          <w:trHeight w:val="230"/>
        </w:trPr>
        <w:tc>
          <w:tcPr>
            <w:tcW w:w="920" w:type="dxa"/>
            <w:vAlign w:val="bottom"/>
          </w:tcPr>
          <w:p>
            <w:pPr>
              <w:spacing w:after="0"/>
              <w:rPr>
                <w:sz w:val="20"/>
                <w:szCs w:val="20"/>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rPr>
              <w:t>reference to Exhibit 10.1 of Clearwire Corporation’s Current Report on Form 8-K filed December 1, 2008)</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99.21</w:t>
            </w:r>
          </w:p>
        </w:tc>
        <w:tc>
          <w:tcPr>
            <w:tcW w:w="10500" w:type="dxa"/>
            <w:vAlign w:val="bottom"/>
          </w:tcPr>
          <w:p>
            <w:pPr>
              <w:ind w:left="500"/>
              <w:spacing w:after="0"/>
              <w:rPr>
                <w:sz w:val="20"/>
                <w:szCs w:val="20"/>
                <w:color w:val="auto"/>
              </w:rPr>
            </w:pPr>
            <w:r>
              <w:rPr>
                <w:rFonts w:ascii="Arial" w:cs="Arial" w:eastAsia="Arial" w:hAnsi="Arial"/>
                <w:sz w:val="18"/>
                <w:szCs w:val="18"/>
                <w:color w:val="auto"/>
                <w:w w:val="97"/>
              </w:rPr>
              <w:t>Joint Filing Agreement, dated as of November 28, 2008, among the reporting persons to the Initial Joint 13D Filing and, solely for</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2"/>
              </w:rPr>
              <w:t>purposes of Sections 7, 8, 9 and 10, the Intel Entities, Intel Capital, Intel Cayman and Middlefield Ventures, Inc. (incorporated herein by</w:t>
            </w:r>
          </w:p>
        </w:tc>
      </w:tr>
      <w:tr>
        <w:trPr>
          <w:trHeight w:val="230"/>
        </w:trPr>
        <w:tc>
          <w:tcPr>
            <w:tcW w:w="920" w:type="dxa"/>
            <w:vAlign w:val="bottom"/>
          </w:tcPr>
          <w:p>
            <w:pPr>
              <w:spacing w:after="0"/>
              <w:rPr>
                <w:sz w:val="20"/>
                <w:szCs w:val="20"/>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rPr>
              <w:t>reference to Exhibit 99.7 to the Initial Joint 13D Filing)</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99.22</w:t>
            </w:r>
          </w:p>
        </w:tc>
        <w:tc>
          <w:tcPr>
            <w:tcW w:w="10500" w:type="dxa"/>
            <w:vAlign w:val="bottom"/>
          </w:tcPr>
          <w:p>
            <w:pPr>
              <w:ind w:left="500"/>
              <w:spacing w:after="0"/>
              <w:rPr>
                <w:sz w:val="20"/>
                <w:szCs w:val="20"/>
                <w:color w:val="auto"/>
              </w:rPr>
            </w:pPr>
            <w:r>
              <w:rPr>
                <w:rFonts w:ascii="Arial" w:cs="Arial" w:eastAsia="Arial" w:hAnsi="Arial"/>
                <w:sz w:val="18"/>
                <w:szCs w:val="18"/>
                <w:color w:val="auto"/>
                <w:w w:val="96"/>
              </w:rPr>
              <w:t>Investment Agreement, dated as of November 9, 2009, by and among Sprint Nextel Corporation, Clearwire Corporation, Clearwire</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5"/>
              </w:rPr>
              <w:t>Communications LLC, Comcast Corporation, Time Warner Cable Inc., Bright House Networks, LLC, Eagle River Holdings, LLC and</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6"/>
              </w:rPr>
              <w:t>Intel Corporation (incorporated herein by reference to Exhibit 99.1 of Sprint Nextel Corporation’s Current Report on Form 8-K filed</w:t>
            </w:r>
          </w:p>
        </w:tc>
      </w:tr>
      <w:tr>
        <w:trPr>
          <w:trHeight w:val="230"/>
        </w:trPr>
        <w:tc>
          <w:tcPr>
            <w:tcW w:w="920" w:type="dxa"/>
            <w:vAlign w:val="bottom"/>
          </w:tcPr>
          <w:p>
            <w:pPr>
              <w:spacing w:after="0"/>
              <w:rPr>
                <w:sz w:val="20"/>
                <w:szCs w:val="20"/>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rPr>
              <w:t>November 10, 2009)</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99.23</w:t>
            </w:r>
          </w:p>
        </w:tc>
        <w:tc>
          <w:tcPr>
            <w:tcW w:w="10500" w:type="dxa"/>
            <w:vAlign w:val="bottom"/>
          </w:tcPr>
          <w:p>
            <w:pPr>
              <w:ind w:left="500"/>
              <w:spacing w:after="0"/>
              <w:rPr>
                <w:sz w:val="20"/>
                <w:szCs w:val="20"/>
                <w:color w:val="auto"/>
              </w:rPr>
            </w:pPr>
            <w:r>
              <w:rPr>
                <w:rFonts w:ascii="Arial" w:cs="Arial" w:eastAsia="Arial" w:hAnsi="Arial"/>
                <w:sz w:val="18"/>
                <w:szCs w:val="18"/>
                <w:color w:val="auto"/>
                <w:w w:val="98"/>
              </w:rPr>
              <w:t>Non-Unanimous Written Consent to Action in Lieu of Special Meeting of the Stockholders of Clearwire Corporation, dated as of</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3"/>
              </w:rPr>
              <w:t>November 9, 2009, executed by Sprint HoldCo, LLC, Eagle River Holdings, LLC, Intel Capital Wireless Investment Corporation 2008A,</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4"/>
              </w:rPr>
              <w:t>Intel Capital Wireless Investment Corporation 2008B, Intel Capital Wireless Investment Corporation 2008C, Intel Capital Corporation,</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4"/>
              </w:rPr>
              <w:t>Intel Capital (Cayman) Corporation, Middlefield Ventures, Inc., Comcast Wireless Investment I, Inc., Comcast Wireless Investment II,</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4"/>
              </w:rPr>
              <w:t>Inc., Comcast Wireless Investment III, Inc., Comcast Wireless Investment IV, Inc., Comcast Wireless Investment V, Inc., Google Inc.,</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4"/>
              </w:rPr>
              <w:t>TWC Wireless Holdings I LLC, TWC Wireless Holdings II LLC, TWC Wireless Holdings III LLC and BHN Spectrum Investments, LLC</w:t>
            </w:r>
          </w:p>
        </w:tc>
      </w:tr>
      <w:tr>
        <w:trPr>
          <w:trHeight w:val="230"/>
        </w:trPr>
        <w:tc>
          <w:tcPr>
            <w:tcW w:w="920" w:type="dxa"/>
            <w:vAlign w:val="bottom"/>
          </w:tcPr>
          <w:p>
            <w:pPr>
              <w:spacing w:after="0"/>
              <w:rPr>
                <w:sz w:val="20"/>
                <w:szCs w:val="20"/>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rPr>
              <w:t>(incorporated herein by reference to Exhibit 99.9 to Amendment No. 2)</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99.24</w:t>
            </w:r>
          </w:p>
        </w:tc>
        <w:tc>
          <w:tcPr>
            <w:tcW w:w="10500" w:type="dxa"/>
            <w:vAlign w:val="bottom"/>
          </w:tcPr>
          <w:p>
            <w:pPr>
              <w:ind w:left="500"/>
              <w:spacing w:after="0"/>
              <w:rPr>
                <w:sz w:val="20"/>
                <w:szCs w:val="20"/>
                <w:color w:val="auto"/>
              </w:rPr>
            </w:pPr>
            <w:r>
              <w:rPr>
                <w:rFonts w:ascii="Arial" w:cs="Arial" w:eastAsia="Arial" w:hAnsi="Arial"/>
                <w:sz w:val="18"/>
                <w:szCs w:val="18"/>
                <w:color w:val="auto"/>
                <w:w w:val="92"/>
              </w:rPr>
              <w:t>Unanimous Consent and Waiver, dated as of November 9, 2009, by and among Clearwire Corporation, Clearwire Communications LLC,</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rPr>
              <w:t>Sprint HoldCo, LLC, Eagle River Holdings, LLC, Intel Capital Wireless Investment Corporation 2008A, Intel Capital Wireless</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3"/>
              </w:rPr>
              <w:t>Investment Corporation 2008B, Intel Capital Wireless Investment Corporation 2008C, Intel Capital Corporation, Intel Capital (Cayman)</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4"/>
              </w:rPr>
              <w:t>Corporation, Middlefield Ventures, Inc., Comcast Wireless Investment I, Inc., Comcast Wireless Investment II, Inc., Comcast Wireless</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5"/>
              </w:rPr>
              <w:t>Investment III, Inc., Comcast Wireless Investment IV, Inc., Comcast Wireless Investment V, Inc., Comcast Corporation, Google Inc.,</w:t>
            </w:r>
          </w:p>
        </w:tc>
      </w:tr>
      <w:tr>
        <w:trPr>
          <w:trHeight w:val="216"/>
        </w:trPr>
        <w:tc>
          <w:tcPr>
            <w:tcW w:w="920" w:type="dxa"/>
            <w:vAlign w:val="bottom"/>
          </w:tcPr>
          <w:p>
            <w:pPr>
              <w:spacing w:after="0"/>
              <w:rPr>
                <w:sz w:val="18"/>
                <w:szCs w:val="18"/>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7"/>
              </w:rPr>
              <w:t>TWC Wireless Holdings I LLC, TWC Wireless Holdings II LLC, TWC Wireless Holdings III LLC, BHN Spectrum Investments, LLC</w:t>
            </w:r>
          </w:p>
        </w:tc>
      </w:tr>
      <w:tr>
        <w:trPr>
          <w:trHeight w:val="230"/>
        </w:trPr>
        <w:tc>
          <w:tcPr>
            <w:tcW w:w="920" w:type="dxa"/>
            <w:vAlign w:val="bottom"/>
          </w:tcPr>
          <w:p>
            <w:pPr>
              <w:spacing w:after="0"/>
              <w:rPr>
                <w:sz w:val="20"/>
                <w:szCs w:val="20"/>
                <w:color w:val="auto"/>
              </w:rPr>
            </w:pPr>
          </w:p>
        </w:tc>
        <w:tc>
          <w:tcPr>
            <w:tcW w:w="10500" w:type="dxa"/>
            <w:vAlign w:val="bottom"/>
          </w:tcPr>
          <w:p>
            <w:pPr>
              <w:ind w:left="500"/>
              <w:spacing w:after="0"/>
              <w:rPr>
                <w:sz w:val="20"/>
                <w:szCs w:val="20"/>
                <w:color w:val="auto"/>
              </w:rPr>
            </w:pPr>
            <w:r>
              <w:rPr>
                <w:rFonts w:ascii="Arial" w:cs="Arial" w:eastAsia="Arial" w:hAnsi="Arial"/>
                <w:sz w:val="18"/>
                <w:szCs w:val="18"/>
                <w:color w:val="auto"/>
                <w:w w:val="92"/>
              </w:rPr>
              <w:t>and Comcast Corporation, as Strategic Investor Representative (incorporated herein by reference to Exhibit 99.10 to Amendment No. 2)</w:t>
            </w:r>
          </w:p>
        </w:tc>
      </w:tr>
      <w:tr>
        <w:trPr>
          <w:trHeight w:val="432"/>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99.25</w:t>
            </w:r>
          </w:p>
        </w:tc>
        <w:tc>
          <w:tcPr>
            <w:tcW w:w="10500" w:type="dxa"/>
            <w:vAlign w:val="bottom"/>
          </w:tcPr>
          <w:p>
            <w:pPr>
              <w:ind w:left="500"/>
              <w:spacing w:after="0"/>
              <w:rPr>
                <w:sz w:val="20"/>
                <w:szCs w:val="20"/>
                <w:color w:val="auto"/>
              </w:rPr>
            </w:pPr>
            <w:r>
              <w:rPr>
                <w:rFonts w:ascii="Arial" w:cs="Arial" w:eastAsia="Arial" w:hAnsi="Arial"/>
                <w:sz w:val="18"/>
                <w:szCs w:val="18"/>
                <w:color w:val="auto"/>
              </w:rPr>
              <w:t>Form of Lock-up Agreement (incorporated herein by reference to Exhibit 99.11 to Amendment No. 4)</w:t>
            </w:r>
          </w:p>
        </w:tc>
      </w:tr>
      <w:tr>
        <w:trPr>
          <w:trHeight w:val="432"/>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99.26</w:t>
            </w:r>
          </w:p>
        </w:tc>
        <w:tc>
          <w:tcPr>
            <w:tcW w:w="10500" w:type="dxa"/>
            <w:vAlign w:val="bottom"/>
          </w:tcPr>
          <w:p>
            <w:pPr>
              <w:ind w:left="500"/>
              <w:spacing w:after="0"/>
              <w:rPr>
                <w:sz w:val="20"/>
                <w:szCs w:val="20"/>
                <w:color w:val="auto"/>
              </w:rPr>
            </w:pPr>
            <w:r>
              <w:rPr>
                <w:rFonts w:ascii="Arial" w:cs="Arial" w:eastAsia="Arial" w:hAnsi="Arial"/>
                <w:sz w:val="18"/>
                <w:szCs w:val="18"/>
                <w:color w:val="auto"/>
              </w:rPr>
              <w:t>Form of Preemptive Rights Waiver (incorporated herein by reference to Exhibit 99.12 to Amendment No. 4)</w:t>
            </w:r>
          </w:p>
        </w:tc>
      </w:tr>
      <w:tr>
        <w:trPr>
          <w:trHeight w:val="659"/>
        </w:trPr>
        <w:tc>
          <w:tcPr>
            <w:tcW w:w="920" w:type="dxa"/>
            <w:vAlign w:val="bottom"/>
            <w:tcBorders>
              <w:bottom w:val="single" w:sz="8" w:color="808080"/>
            </w:tcBorders>
          </w:tcPr>
          <w:p>
            <w:pPr>
              <w:spacing w:after="0"/>
              <w:rPr>
                <w:sz w:val="24"/>
                <w:szCs w:val="24"/>
                <w:color w:val="auto"/>
              </w:rPr>
            </w:pPr>
          </w:p>
        </w:tc>
        <w:tc>
          <w:tcPr>
            <w:tcW w:w="10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390"/>
              <w:spacing w:after="0"/>
              <w:rPr>
                <w:sz w:val="20"/>
                <w:szCs w:val="20"/>
                <w:color w:val="auto"/>
              </w:rPr>
            </w:pPr>
            <w:r>
              <w:rPr>
                <w:rFonts w:ascii="Arial" w:cs="Arial" w:eastAsia="Arial" w:hAnsi="Arial"/>
                <w:sz w:val="18"/>
                <w:szCs w:val="18"/>
                <w:color w:val="auto"/>
                <w:w w:val="97"/>
              </w:rPr>
              <w:t>99.27</w:t>
            </w:r>
          </w:p>
        </w:tc>
        <w:tc>
          <w:tcPr>
            <w:tcW w:w="10480" w:type="dxa"/>
            <w:vAlign w:val="bottom"/>
          </w:tcPr>
          <w:p>
            <w:pPr>
              <w:ind w:left="480"/>
              <w:spacing w:after="0"/>
              <w:rPr>
                <w:sz w:val="20"/>
                <w:szCs w:val="20"/>
                <w:color w:val="auto"/>
              </w:rPr>
            </w:pPr>
            <w:r>
              <w:rPr>
                <w:rFonts w:ascii="Arial" w:cs="Arial" w:eastAsia="Arial" w:hAnsi="Arial"/>
                <w:sz w:val="18"/>
                <w:szCs w:val="18"/>
                <w:color w:val="auto"/>
                <w:w w:val="94"/>
              </w:rPr>
              <w:t>Amendment to Equityholders’ Agreement, dated as of December 8, 2010, by and among Clearwire Corporation, Sprint HoldCo, LLC,</w:t>
            </w:r>
          </w:p>
        </w:tc>
      </w:tr>
      <w:tr>
        <w:trPr>
          <w:trHeight w:val="216"/>
        </w:trPr>
        <w:tc>
          <w:tcPr>
            <w:tcW w:w="94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3"/>
              </w:rPr>
              <w:t>Eagle River Holdings, LLC, Intel Capital Wireless Investment Corporation 2008A, Intel Capital Wireless Investment Corporation 2008B,</w:t>
            </w:r>
          </w:p>
        </w:tc>
      </w:tr>
      <w:tr>
        <w:trPr>
          <w:trHeight w:val="216"/>
        </w:trPr>
        <w:tc>
          <w:tcPr>
            <w:tcW w:w="94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9"/>
              </w:rPr>
              <w:t>Intel Capital Wireless Investment Corporation 2008C, Intel Capital Corporation, Intel Capital (Cayman) Corporation, Middlefield</w:t>
            </w:r>
          </w:p>
        </w:tc>
      </w:tr>
      <w:tr>
        <w:trPr>
          <w:trHeight w:val="216"/>
        </w:trPr>
        <w:tc>
          <w:tcPr>
            <w:tcW w:w="94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6"/>
              </w:rPr>
              <w:t>Ventures, Inc. and Comcast Corporation, as Strategic Investor Representative (incorporated herein by reference to Exhibit 4.11 of</w:t>
            </w:r>
          </w:p>
        </w:tc>
      </w:tr>
      <w:tr>
        <w:trPr>
          <w:trHeight w:val="230"/>
        </w:trPr>
        <w:tc>
          <w:tcPr>
            <w:tcW w:w="940" w:type="dxa"/>
            <w:vAlign w:val="bottom"/>
          </w:tcPr>
          <w:p>
            <w:pPr>
              <w:spacing w:after="0"/>
              <w:rPr>
                <w:sz w:val="20"/>
                <w:szCs w:val="20"/>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Clearwire Corporation’s Current Report on Form 8-K filed December 13, 2010)</w:t>
            </w:r>
          </w:p>
        </w:tc>
      </w:tr>
      <w:tr>
        <w:trPr>
          <w:trHeight w:val="418"/>
        </w:trPr>
        <w:tc>
          <w:tcPr>
            <w:tcW w:w="940" w:type="dxa"/>
            <w:vAlign w:val="bottom"/>
          </w:tcPr>
          <w:p>
            <w:pPr>
              <w:jc w:val="right"/>
              <w:ind w:right="430"/>
              <w:spacing w:after="0"/>
              <w:rPr>
                <w:sz w:val="20"/>
                <w:szCs w:val="20"/>
                <w:color w:val="auto"/>
              </w:rPr>
            </w:pPr>
            <w:r>
              <w:rPr>
                <w:rFonts w:ascii="Arial" w:cs="Arial" w:eastAsia="Arial" w:hAnsi="Arial"/>
                <w:sz w:val="18"/>
                <w:szCs w:val="18"/>
                <w:color w:val="auto"/>
                <w:w w:val="88"/>
              </w:rPr>
              <w:t>99.28</w:t>
            </w:r>
          </w:p>
        </w:tc>
        <w:tc>
          <w:tcPr>
            <w:tcW w:w="10480" w:type="dxa"/>
            <w:vAlign w:val="bottom"/>
          </w:tcPr>
          <w:p>
            <w:pPr>
              <w:ind w:left="480"/>
              <w:spacing w:after="0"/>
              <w:rPr>
                <w:sz w:val="20"/>
                <w:szCs w:val="20"/>
                <w:color w:val="auto"/>
              </w:rPr>
            </w:pPr>
            <w:r>
              <w:rPr>
                <w:rFonts w:ascii="Arial" w:cs="Arial" w:eastAsia="Arial" w:hAnsi="Arial"/>
                <w:sz w:val="18"/>
                <w:szCs w:val="18"/>
                <w:color w:val="auto"/>
              </w:rPr>
              <w:t>Letter to Clearwire Corporation from Sprint Nextel Corporation, dated as of June 1, 2011, pursuant to Section 2.13(j) of the</w:t>
            </w:r>
          </w:p>
        </w:tc>
      </w:tr>
      <w:tr>
        <w:trPr>
          <w:trHeight w:val="230"/>
        </w:trPr>
        <w:tc>
          <w:tcPr>
            <w:tcW w:w="940" w:type="dxa"/>
            <w:vAlign w:val="bottom"/>
          </w:tcPr>
          <w:p>
            <w:pPr>
              <w:spacing w:after="0"/>
              <w:rPr>
                <w:sz w:val="20"/>
                <w:szCs w:val="20"/>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Equityholders’ Agreement (incorporated herein by reference to Exhibit 99.14 to Amendment No. 7)</w:t>
            </w:r>
          </w:p>
        </w:tc>
      </w:tr>
      <w:tr>
        <w:trPr>
          <w:trHeight w:val="418"/>
        </w:trPr>
        <w:tc>
          <w:tcPr>
            <w:tcW w:w="940" w:type="dxa"/>
            <w:vAlign w:val="bottom"/>
          </w:tcPr>
          <w:p>
            <w:pPr>
              <w:jc w:val="right"/>
              <w:ind w:right="430"/>
              <w:spacing w:after="0"/>
              <w:rPr>
                <w:sz w:val="20"/>
                <w:szCs w:val="20"/>
                <w:color w:val="auto"/>
              </w:rPr>
            </w:pPr>
            <w:r>
              <w:rPr>
                <w:rFonts w:ascii="Arial" w:cs="Arial" w:eastAsia="Arial" w:hAnsi="Arial"/>
                <w:sz w:val="18"/>
                <w:szCs w:val="18"/>
                <w:color w:val="auto"/>
                <w:w w:val="88"/>
              </w:rPr>
              <w:t>99.29</w:t>
            </w:r>
          </w:p>
        </w:tc>
        <w:tc>
          <w:tcPr>
            <w:tcW w:w="10480" w:type="dxa"/>
            <w:vAlign w:val="bottom"/>
          </w:tcPr>
          <w:p>
            <w:pPr>
              <w:ind w:left="480"/>
              <w:spacing w:after="0"/>
              <w:rPr>
                <w:sz w:val="20"/>
                <w:szCs w:val="20"/>
                <w:color w:val="auto"/>
              </w:rPr>
            </w:pPr>
            <w:r>
              <w:rPr>
                <w:rFonts w:ascii="Arial" w:cs="Arial" w:eastAsia="Arial" w:hAnsi="Arial"/>
                <w:sz w:val="18"/>
                <w:szCs w:val="18"/>
                <w:color w:val="auto"/>
                <w:w w:val="92"/>
              </w:rPr>
              <w:t>Commitment Agreement, dated as of November 30, 2011, by and among Clearwire Corporation, Clearwire Communications LLC, Sprint</w:t>
            </w:r>
          </w:p>
        </w:tc>
      </w:tr>
      <w:tr>
        <w:trPr>
          <w:trHeight w:val="216"/>
        </w:trPr>
        <w:tc>
          <w:tcPr>
            <w:tcW w:w="94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2"/>
              </w:rPr>
              <w:t>HoldCo, LLC and Sprint Nextel Corporation (including the form of Note attached as Exhibit B thereto) (incorporated herein by reference</w:t>
            </w:r>
          </w:p>
        </w:tc>
      </w:tr>
      <w:tr>
        <w:trPr>
          <w:trHeight w:val="230"/>
        </w:trPr>
        <w:tc>
          <w:tcPr>
            <w:tcW w:w="940" w:type="dxa"/>
            <w:vAlign w:val="bottom"/>
          </w:tcPr>
          <w:p>
            <w:pPr>
              <w:spacing w:after="0"/>
              <w:rPr>
                <w:sz w:val="20"/>
                <w:szCs w:val="20"/>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to Exhibit 10.1 of Clearwire Corporation’s Current Report on Form 8-K filed December 5, 2011)</w:t>
            </w:r>
          </w:p>
        </w:tc>
      </w:tr>
      <w:tr>
        <w:trPr>
          <w:trHeight w:val="418"/>
        </w:trPr>
        <w:tc>
          <w:tcPr>
            <w:tcW w:w="940" w:type="dxa"/>
            <w:vAlign w:val="bottom"/>
          </w:tcPr>
          <w:p>
            <w:pPr>
              <w:jc w:val="right"/>
              <w:ind w:right="430"/>
              <w:spacing w:after="0"/>
              <w:rPr>
                <w:sz w:val="20"/>
                <w:szCs w:val="20"/>
                <w:color w:val="auto"/>
              </w:rPr>
            </w:pPr>
            <w:r>
              <w:rPr>
                <w:rFonts w:ascii="Arial" w:cs="Arial" w:eastAsia="Arial" w:hAnsi="Arial"/>
                <w:sz w:val="18"/>
                <w:szCs w:val="18"/>
                <w:color w:val="auto"/>
                <w:w w:val="88"/>
              </w:rPr>
              <w:t>99.30</w:t>
            </w:r>
          </w:p>
        </w:tc>
        <w:tc>
          <w:tcPr>
            <w:tcW w:w="10480" w:type="dxa"/>
            <w:vAlign w:val="bottom"/>
          </w:tcPr>
          <w:p>
            <w:pPr>
              <w:ind w:left="480"/>
              <w:spacing w:after="0"/>
              <w:rPr>
                <w:sz w:val="20"/>
                <w:szCs w:val="20"/>
                <w:color w:val="auto"/>
              </w:rPr>
            </w:pPr>
            <w:r>
              <w:rPr>
                <w:rFonts w:ascii="Arial" w:cs="Arial" w:eastAsia="Arial" w:hAnsi="Arial"/>
                <w:sz w:val="18"/>
                <w:szCs w:val="18"/>
                <w:color w:val="auto"/>
                <w:w w:val="97"/>
              </w:rPr>
              <w:t>Letter Agreement, dated as of November 30, 2011, by and among Clearwire Corporation, Clearwire Communications LLC, Sprint</w:t>
            </w:r>
          </w:p>
        </w:tc>
      </w:tr>
      <w:tr>
        <w:trPr>
          <w:trHeight w:val="216"/>
        </w:trPr>
        <w:tc>
          <w:tcPr>
            <w:tcW w:w="94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3"/>
              </w:rPr>
              <w:t>HoldCo, LLC and Sprint Nextel Corporation (incorporated herein by reference to Exhibit 10.2 of Clearwire Corporation’s Current Report</w:t>
            </w:r>
          </w:p>
        </w:tc>
      </w:tr>
      <w:tr>
        <w:trPr>
          <w:trHeight w:val="230"/>
        </w:trPr>
        <w:tc>
          <w:tcPr>
            <w:tcW w:w="940" w:type="dxa"/>
            <w:vAlign w:val="bottom"/>
          </w:tcPr>
          <w:p>
            <w:pPr>
              <w:spacing w:after="0"/>
              <w:rPr>
                <w:sz w:val="20"/>
                <w:szCs w:val="20"/>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on Form 8-K filed December 5, 2011)</w:t>
            </w:r>
          </w:p>
        </w:tc>
      </w:tr>
      <w:tr>
        <w:trPr>
          <w:trHeight w:val="418"/>
        </w:trPr>
        <w:tc>
          <w:tcPr>
            <w:tcW w:w="940" w:type="dxa"/>
            <w:vAlign w:val="bottom"/>
          </w:tcPr>
          <w:p>
            <w:pPr>
              <w:jc w:val="right"/>
              <w:ind w:right="430"/>
              <w:spacing w:after="0"/>
              <w:rPr>
                <w:sz w:val="20"/>
                <w:szCs w:val="20"/>
                <w:color w:val="auto"/>
              </w:rPr>
            </w:pPr>
            <w:r>
              <w:rPr>
                <w:rFonts w:ascii="Arial" w:cs="Arial" w:eastAsia="Arial" w:hAnsi="Arial"/>
                <w:sz w:val="18"/>
                <w:szCs w:val="18"/>
                <w:color w:val="auto"/>
                <w:w w:val="88"/>
              </w:rPr>
              <w:t>99.31</w:t>
            </w:r>
          </w:p>
        </w:tc>
        <w:tc>
          <w:tcPr>
            <w:tcW w:w="10480" w:type="dxa"/>
            <w:vAlign w:val="bottom"/>
          </w:tcPr>
          <w:p>
            <w:pPr>
              <w:ind w:left="480"/>
              <w:spacing w:after="0"/>
              <w:rPr>
                <w:sz w:val="20"/>
                <w:szCs w:val="20"/>
                <w:color w:val="auto"/>
              </w:rPr>
            </w:pPr>
            <w:r>
              <w:rPr>
                <w:rFonts w:ascii="Arial" w:cs="Arial" w:eastAsia="Arial" w:hAnsi="Arial"/>
                <w:sz w:val="18"/>
                <w:szCs w:val="18"/>
                <w:color w:val="auto"/>
                <w:w w:val="98"/>
              </w:rPr>
              <w:t>Letter to Clearwire Corporation from Sprint Nextel Corporation, dated as of December 12, 2011, regarding Notice of Exercise of</w:t>
            </w:r>
          </w:p>
        </w:tc>
      </w:tr>
      <w:tr>
        <w:trPr>
          <w:trHeight w:val="230"/>
        </w:trPr>
        <w:tc>
          <w:tcPr>
            <w:tcW w:w="940" w:type="dxa"/>
            <w:vAlign w:val="bottom"/>
          </w:tcPr>
          <w:p>
            <w:pPr>
              <w:spacing w:after="0"/>
              <w:rPr>
                <w:sz w:val="20"/>
                <w:szCs w:val="20"/>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Preemptive Rights (incorporated herein by reference to Exhibit 99.17 to Amendment No. 8)</w:t>
            </w:r>
          </w:p>
        </w:tc>
      </w:tr>
      <w:tr>
        <w:trPr>
          <w:trHeight w:val="418"/>
        </w:trPr>
        <w:tc>
          <w:tcPr>
            <w:tcW w:w="940" w:type="dxa"/>
            <w:vAlign w:val="bottom"/>
          </w:tcPr>
          <w:p>
            <w:pPr>
              <w:jc w:val="right"/>
              <w:ind w:right="430"/>
              <w:spacing w:after="0"/>
              <w:rPr>
                <w:sz w:val="20"/>
                <w:szCs w:val="20"/>
                <w:color w:val="auto"/>
              </w:rPr>
            </w:pPr>
            <w:r>
              <w:rPr>
                <w:rFonts w:ascii="Arial" w:cs="Arial" w:eastAsia="Arial" w:hAnsi="Arial"/>
                <w:sz w:val="18"/>
                <w:szCs w:val="18"/>
                <w:color w:val="auto"/>
                <w:w w:val="88"/>
              </w:rPr>
              <w:t>99.32</w:t>
            </w:r>
          </w:p>
        </w:tc>
        <w:tc>
          <w:tcPr>
            <w:tcW w:w="10480" w:type="dxa"/>
            <w:vAlign w:val="bottom"/>
          </w:tcPr>
          <w:p>
            <w:pPr>
              <w:ind w:left="480"/>
              <w:spacing w:after="0"/>
              <w:rPr>
                <w:sz w:val="20"/>
                <w:szCs w:val="20"/>
                <w:color w:val="auto"/>
              </w:rPr>
            </w:pPr>
            <w:r>
              <w:rPr>
                <w:rFonts w:ascii="Arial" w:cs="Arial" w:eastAsia="Arial" w:hAnsi="Arial"/>
                <w:sz w:val="18"/>
                <w:szCs w:val="18"/>
                <w:color w:val="auto"/>
                <w:w w:val="95"/>
              </w:rPr>
              <w:t>Investment Agreement, dated as of December 13, 2011, by and among Clearwire Corporation, Clearwire Communications LLC and</w:t>
            </w:r>
          </w:p>
        </w:tc>
      </w:tr>
      <w:tr>
        <w:trPr>
          <w:trHeight w:val="230"/>
        </w:trPr>
        <w:tc>
          <w:tcPr>
            <w:tcW w:w="940" w:type="dxa"/>
            <w:vAlign w:val="bottom"/>
          </w:tcPr>
          <w:p>
            <w:pPr>
              <w:spacing w:after="0"/>
              <w:rPr>
                <w:sz w:val="20"/>
                <w:szCs w:val="20"/>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Sprint HoldCo, LLC (incorporated herein by reference to Exhibit 99.18 to Amendment No. 8)</w:t>
            </w:r>
          </w:p>
        </w:tc>
      </w:tr>
      <w:tr>
        <w:trPr>
          <w:trHeight w:val="432"/>
        </w:trPr>
        <w:tc>
          <w:tcPr>
            <w:tcW w:w="940" w:type="dxa"/>
            <w:vAlign w:val="bottom"/>
          </w:tcPr>
          <w:p>
            <w:pPr>
              <w:jc w:val="right"/>
              <w:ind w:right="430"/>
              <w:spacing w:after="0"/>
              <w:rPr>
                <w:sz w:val="20"/>
                <w:szCs w:val="20"/>
                <w:color w:val="auto"/>
              </w:rPr>
            </w:pPr>
            <w:r>
              <w:rPr>
                <w:rFonts w:ascii="Arial" w:cs="Arial" w:eastAsia="Arial" w:hAnsi="Arial"/>
                <w:sz w:val="18"/>
                <w:szCs w:val="18"/>
                <w:color w:val="auto"/>
                <w:w w:val="88"/>
              </w:rPr>
              <w:t>99.33</w:t>
            </w:r>
          </w:p>
        </w:tc>
        <w:tc>
          <w:tcPr>
            <w:tcW w:w="10480" w:type="dxa"/>
            <w:vAlign w:val="bottom"/>
          </w:tcPr>
          <w:p>
            <w:pPr>
              <w:ind w:left="480"/>
              <w:spacing w:after="0"/>
              <w:rPr>
                <w:sz w:val="20"/>
                <w:szCs w:val="20"/>
                <w:color w:val="auto"/>
              </w:rPr>
            </w:pPr>
            <w:r>
              <w:rPr>
                <w:rFonts w:ascii="Arial" w:cs="Arial" w:eastAsia="Arial" w:hAnsi="Arial"/>
                <w:sz w:val="18"/>
                <w:szCs w:val="18"/>
                <w:color w:val="auto"/>
              </w:rPr>
              <w:t>Form of 2011 Lock-Up Agreement (incorporated herein by reference to Exhibit 99.19 to Amendment No. 8)</w:t>
            </w:r>
          </w:p>
        </w:tc>
      </w:tr>
      <w:tr>
        <w:trPr>
          <w:trHeight w:val="418"/>
        </w:trPr>
        <w:tc>
          <w:tcPr>
            <w:tcW w:w="940" w:type="dxa"/>
            <w:vAlign w:val="bottom"/>
          </w:tcPr>
          <w:p>
            <w:pPr>
              <w:jc w:val="right"/>
              <w:ind w:right="430"/>
              <w:spacing w:after="0"/>
              <w:rPr>
                <w:sz w:val="20"/>
                <w:szCs w:val="20"/>
                <w:color w:val="auto"/>
              </w:rPr>
            </w:pPr>
            <w:r>
              <w:rPr>
                <w:rFonts w:ascii="Arial" w:cs="Arial" w:eastAsia="Arial" w:hAnsi="Arial"/>
                <w:sz w:val="18"/>
                <w:szCs w:val="18"/>
                <w:color w:val="auto"/>
                <w:w w:val="88"/>
              </w:rPr>
              <w:t>99.34</w:t>
            </w:r>
          </w:p>
        </w:tc>
        <w:tc>
          <w:tcPr>
            <w:tcW w:w="10480" w:type="dxa"/>
            <w:vAlign w:val="bottom"/>
          </w:tcPr>
          <w:p>
            <w:pPr>
              <w:ind w:left="480"/>
              <w:spacing w:after="0"/>
              <w:rPr>
                <w:sz w:val="20"/>
                <w:szCs w:val="20"/>
                <w:color w:val="auto"/>
              </w:rPr>
            </w:pPr>
            <w:r>
              <w:rPr>
                <w:rFonts w:ascii="Arial" w:cs="Arial" w:eastAsia="Arial" w:hAnsi="Arial"/>
                <w:sz w:val="18"/>
                <w:szCs w:val="18"/>
                <w:color w:val="auto"/>
                <w:w w:val="98"/>
              </w:rPr>
              <w:t>Non-Unanimous Written Consent to Action in Lieu of Special Meeting of the Stockholders of Clearwire Corporation, dated as of</w:t>
            </w:r>
          </w:p>
        </w:tc>
      </w:tr>
      <w:tr>
        <w:trPr>
          <w:trHeight w:val="216"/>
        </w:trPr>
        <w:tc>
          <w:tcPr>
            <w:tcW w:w="94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2"/>
              </w:rPr>
              <w:t>December 7, 2011, executed by Sprint HoldCo, LLC, Comcast Corporation, as Strategic Investor Representative, Intel Capital Wireless</w:t>
            </w:r>
          </w:p>
        </w:tc>
      </w:tr>
      <w:tr>
        <w:trPr>
          <w:trHeight w:val="216"/>
        </w:trPr>
        <w:tc>
          <w:tcPr>
            <w:tcW w:w="94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5"/>
              </w:rPr>
              <w:t>Investment Corporation 2008A, Intel Capital Wireless Investment Corporation 2008B, Intel Capital Wireless Investment Corporation</w:t>
            </w:r>
          </w:p>
        </w:tc>
      </w:tr>
      <w:tr>
        <w:trPr>
          <w:trHeight w:val="216"/>
        </w:trPr>
        <w:tc>
          <w:tcPr>
            <w:tcW w:w="94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2"/>
              </w:rPr>
              <w:t>2008C, Intel Capital Corporation, Intel Capital (Cayman) Corporation and Middlefield Ventures, Inc. (incorporated herein by reference to</w:t>
            </w:r>
          </w:p>
        </w:tc>
      </w:tr>
      <w:tr>
        <w:trPr>
          <w:trHeight w:val="230"/>
        </w:trPr>
        <w:tc>
          <w:tcPr>
            <w:tcW w:w="940" w:type="dxa"/>
            <w:vAlign w:val="bottom"/>
          </w:tcPr>
          <w:p>
            <w:pPr>
              <w:spacing w:after="0"/>
              <w:rPr>
                <w:sz w:val="20"/>
                <w:szCs w:val="20"/>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Exhibit 99.20 to Amendment No. 8)</w:t>
            </w:r>
          </w:p>
        </w:tc>
      </w:tr>
      <w:tr>
        <w:trPr>
          <w:trHeight w:val="418"/>
        </w:trPr>
        <w:tc>
          <w:tcPr>
            <w:tcW w:w="940" w:type="dxa"/>
            <w:vAlign w:val="bottom"/>
          </w:tcPr>
          <w:p>
            <w:pPr>
              <w:jc w:val="right"/>
              <w:ind w:right="430"/>
              <w:spacing w:after="0"/>
              <w:rPr>
                <w:sz w:val="20"/>
                <w:szCs w:val="20"/>
                <w:color w:val="auto"/>
              </w:rPr>
            </w:pPr>
            <w:r>
              <w:rPr>
                <w:rFonts w:ascii="Arial" w:cs="Arial" w:eastAsia="Arial" w:hAnsi="Arial"/>
                <w:sz w:val="18"/>
                <w:szCs w:val="18"/>
                <w:color w:val="auto"/>
                <w:w w:val="88"/>
              </w:rPr>
              <w:t>99.35</w:t>
            </w:r>
          </w:p>
        </w:tc>
        <w:tc>
          <w:tcPr>
            <w:tcW w:w="10480" w:type="dxa"/>
            <w:vAlign w:val="bottom"/>
          </w:tcPr>
          <w:p>
            <w:pPr>
              <w:ind w:left="480"/>
              <w:spacing w:after="0"/>
              <w:rPr>
                <w:sz w:val="20"/>
                <w:szCs w:val="20"/>
                <w:color w:val="auto"/>
              </w:rPr>
            </w:pPr>
            <w:r>
              <w:rPr>
                <w:rFonts w:ascii="Arial" w:cs="Arial" w:eastAsia="Arial" w:hAnsi="Arial"/>
                <w:sz w:val="18"/>
                <w:szCs w:val="18"/>
                <w:color w:val="auto"/>
                <w:w w:val="95"/>
              </w:rPr>
              <w:t>Letter to the Comcast Corporation, Time Warner Cable Inc., Bright House Networks, LLC, Advance/Newhouse Partnership and Intel</w:t>
            </w:r>
          </w:p>
        </w:tc>
      </w:tr>
      <w:tr>
        <w:trPr>
          <w:trHeight w:val="216"/>
        </w:trPr>
        <w:tc>
          <w:tcPr>
            <w:tcW w:w="94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3"/>
              </w:rPr>
              <w:t>Corporation from Google Inc., dated as of February 7, 2012, pursuant to Section 5(a) of the Strategic Investor Agreement, dated as of</w:t>
            </w:r>
          </w:p>
        </w:tc>
      </w:tr>
      <w:tr>
        <w:trPr>
          <w:trHeight w:val="216"/>
        </w:trPr>
        <w:tc>
          <w:tcPr>
            <w:tcW w:w="94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6"/>
              </w:rPr>
              <w:t>November 28, 2008, by and among Comcast Wireless Investment I, Inc., Comcast Wireless Investment II, Inc., Comcast Wireless</w:t>
            </w:r>
          </w:p>
        </w:tc>
      </w:tr>
      <w:tr>
        <w:trPr>
          <w:trHeight w:val="216"/>
        </w:trPr>
        <w:tc>
          <w:tcPr>
            <w:tcW w:w="94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4"/>
              </w:rPr>
              <w:t>Investment III, Inc., Comcast Wireless Investment IV, Inc., Comcast Wireless Investment V, Inc., TWC Wireless Holdings I LLC, TWC</w:t>
            </w:r>
          </w:p>
        </w:tc>
      </w:tr>
      <w:tr>
        <w:trPr>
          <w:trHeight w:val="216"/>
        </w:trPr>
        <w:tc>
          <w:tcPr>
            <w:tcW w:w="94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3"/>
              </w:rPr>
              <w:t>Wireless Holdings II LLC, TWC Wireless Holdings III LLC, BHN Spectrum Investments, LLC, Google Inc., Comcast Corporation, Time</w:t>
            </w:r>
          </w:p>
        </w:tc>
      </w:tr>
      <w:tr>
        <w:trPr>
          <w:trHeight w:val="230"/>
        </w:trPr>
        <w:tc>
          <w:tcPr>
            <w:tcW w:w="940" w:type="dxa"/>
            <w:vAlign w:val="bottom"/>
          </w:tcPr>
          <w:p>
            <w:pPr>
              <w:spacing w:after="0"/>
              <w:rPr>
                <w:sz w:val="20"/>
                <w:szCs w:val="20"/>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Warner Cable Inc. and Bright House Networks, LLC (incorporated herein by reference to Exhibit 99.21 to Amendment No. 9)</w:t>
            </w:r>
          </w:p>
        </w:tc>
      </w:tr>
      <w:tr>
        <w:trPr>
          <w:trHeight w:val="418"/>
        </w:trPr>
        <w:tc>
          <w:tcPr>
            <w:tcW w:w="940" w:type="dxa"/>
            <w:vAlign w:val="bottom"/>
          </w:tcPr>
          <w:p>
            <w:pPr>
              <w:jc w:val="right"/>
              <w:ind w:right="430"/>
              <w:spacing w:after="0"/>
              <w:rPr>
                <w:sz w:val="20"/>
                <w:szCs w:val="20"/>
                <w:color w:val="auto"/>
              </w:rPr>
            </w:pPr>
            <w:r>
              <w:rPr>
                <w:rFonts w:ascii="Arial" w:cs="Arial" w:eastAsia="Arial" w:hAnsi="Arial"/>
                <w:sz w:val="18"/>
                <w:szCs w:val="18"/>
                <w:color w:val="auto"/>
                <w:w w:val="88"/>
              </w:rPr>
              <w:t>99.36</w:t>
            </w:r>
          </w:p>
        </w:tc>
        <w:tc>
          <w:tcPr>
            <w:tcW w:w="10480" w:type="dxa"/>
            <w:vAlign w:val="bottom"/>
          </w:tcPr>
          <w:p>
            <w:pPr>
              <w:ind w:left="480"/>
              <w:spacing w:after="0"/>
              <w:rPr>
                <w:sz w:val="20"/>
                <w:szCs w:val="20"/>
                <w:color w:val="auto"/>
              </w:rPr>
            </w:pPr>
            <w:r>
              <w:rPr>
                <w:rFonts w:ascii="Arial" w:cs="Arial" w:eastAsia="Arial" w:hAnsi="Arial"/>
                <w:sz w:val="18"/>
                <w:szCs w:val="18"/>
                <w:color w:val="auto"/>
                <w:w w:val="92"/>
              </w:rPr>
              <w:t>Letter to Sprint Nextel Corporation, Eagle River Holdings, LLC, Comcast Corporation, Time Warner Cable Inc., Bright House Networks,</w:t>
            </w:r>
          </w:p>
        </w:tc>
      </w:tr>
      <w:tr>
        <w:trPr>
          <w:trHeight w:val="216"/>
        </w:trPr>
        <w:tc>
          <w:tcPr>
            <w:tcW w:w="94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2"/>
              </w:rPr>
              <w:t>LLC, Advance/Newhouse Partnership and Intel Corporation from Google Inc., dated as of February 16, 2012, pursuant to Section 3.3 of</w:t>
            </w:r>
          </w:p>
        </w:tc>
      </w:tr>
      <w:tr>
        <w:trPr>
          <w:trHeight w:val="230"/>
        </w:trPr>
        <w:tc>
          <w:tcPr>
            <w:tcW w:w="940" w:type="dxa"/>
            <w:vAlign w:val="bottom"/>
          </w:tcPr>
          <w:p>
            <w:pPr>
              <w:spacing w:after="0"/>
              <w:rPr>
                <w:sz w:val="20"/>
                <w:szCs w:val="20"/>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the Equityholders’ Agreement (incorporated herein by reference to Exhibit 99.22 to Amendment No. 9)</w:t>
            </w:r>
          </w:p>
        </w:tc>
      </w:tr>
      <w:tr>
        <w:trPr>
          <w:trHeight w:val="418"/>
        </w:trPr>
        <w:tc>
          <w:tcPr>
            <w:tcW w:w="940" w:type="dxa"/>
            <w:vAlign w:val="bottom"/>
          </w:tcPr>
          <w:p>
            <w:pPr>
              <w:jc w:val="right"/>
              <w:ind w:right="430"/>
              <w:spacing w:after="0"/>
              <w:rPr>
                <w:sz w:val="20"/>
                <w:szCs w:val="20"/>
                <w:color w:val="auto"/>
              </w:rPr>
            </w:pPr>
            <w:r>
              <w:rPr>
                <w:rFonts w:ascii="Arial" w:cs="Arial" w:eastAsia="Arial" w:hAnsi="Arial"/>
                <w:sz w:val="18"/>
                <w:szCs w:val="18"/>
                <w:color w:val="auto"/>
                <w:w w:val="88"/>
              </w:rPr>
              <w:t>99.37</w:t>
            </w:r>
          </w:p>
        </w:tc>
        <w:tc>
          <w:tcPr>
            <w:tcW w:w="10480" w:type="dxa"/>
            <w:vAlign w:val="bottom"/>
          </w:tcPr>
          <w:p>
            <w:pPr>
              <w:ind w:left="480"/>
              <w:spacing w:after="0"/>
              <w:rPr>
                <w:sz w:val="20"/>
                <w:szCs w:val="20"/>
                <w:color w:val="auto"/>
              </w:rPr>
            </w:pPr>
            <w:r>
              <w:rPr>
                <w:rFonts w:ascii="Arial" w:cs="Arial" w:eastAsia="Arial" w:hAnsi="Arial"/>
                <w:sz w:val="18"/>
                <w:szCs w:val="18"/>
                <w:color w:val="auto"/>
              </w:rPr>
              <w:t>Letter to Clearwire Corporation from Sprint Nextel Corporation, dated as of June 8, 2012, pursuant to Section 2.13(j) of the</w:t>
            </w:r>
          </w:p>
        </w:tc>
      </w:tr>
      <w:tr>
        <w:trPr>
          <w:trHeight w:val="230"/>
        </w:trPr>
        <w:tc>
          <w:tcPr>
            <w:tcW w:w="940" w:type="dxa"/>
            <w:vAlign w:val="bottom"/>
          </w:tcPr>
          <w:p>
            <w:pPr>
              <w:spacing w:after="0"/>
              <w:rPr>
                <w:sz w:val="20"/>
                <w:szCs w:val="20"/>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Equityholders’ Agreement (incorporated herein by reference to Exhibit 99.23 to Amendment No. 11)</w:t>
            </w:r>
          </w:p>
        </w:tc>
      </w:tr>
      <w:tr>
        <w:trPr>
          <w:trHeight w:val="418"/>
        </w:trPr>
        <w:tc>
          <w:tcPr>
            <w:tcW w:w="940" w:type="dxa"/>
            <w:vAlign w:val="bottom"/>
          </w:tcPr>
          <w:p>
            <w:pPr>
              <w:jc w:val="right"/>
              <w:ind w:right="430"/>
              <w:spacing w:after="0"/>
              <w:rPr>
                <w:sz w:val="20"/>
                <w:szCs w:val="20"/>
                <w:color w:val="auto"/>
              </w:rPr>
            </w:pPr>
            <w:r>
              <w:rPr>
                <w:rFonts w:ascii="Arial" w:cs="Arial" w:eastAsia="Arial" w:hAnsi="Arial"/>
                <w:sz w:val="18"/>
                <w:szCs w:val="18"/>
                <w:color w:val="auto"/>
                <w:w w:val="88"/>
              </w:rPr>
              <w:t>99.38</w:t>
            </w:r>
          </w:p>
        </w:tc>
        <w:tc>
          <w:tcPr>
            <w:tcW w:w="10480" w:type="dxa"/>
            <w:vAlign w:val="bottom"/>
          </w:tcPr>
          <w:p>
            <w:pPr>
              <w:ind w:left="480"/>
              <w:spacing w:after="0"/>
              <w:rPr>
                <w:sz w:val="20"/>
                <w:szCs w:val="20"/>
                <w:color w:val="auto"/>
              </w:rPr>
            </w:pPr>
            <w:r>
              <w:rPr>
                <w:rFonts w:ascii="Arial" w:cs="Arial" w:eastAsia="Arial" w:hAnsi="Arial"/>
                <w:sz w:val="18"/>
                <w:szCs w:val="18"/>
                <w:color w:val="auto"/>
                <w:w w:val="95"/>
              </w:rPr>
              <w:t>Letter to Comcast Corporation and Bright House Networks, LLC from TWC Wireless Holdings I LLC, TWC Wireless Holdings II LLC</w:t>
            </w:r>
          </w:p>
        </w:tc>
      </w:tr>
      <w:tr>
        <w:trPr>
          <w:trHeight w:val="216"/>
        </w:trPr>
        <w:tc>
          <w:tcPr>
            <w:tcW w:w="940" w:type="dxa"/>
            <w:vAlign w:val="bottom"/>
          </w:tcPr>
          <w:p>
            <w:pPr>
              <w:spacing w:after="0"/>
              <w:rPr>
                <w:sz w:val="18"/>
                <w:szCs w:val="18"/>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w w:val="98"/>
              </w:rPr>
              <w:t>and TWC Wireless Holdings III LLC, dated as of August 29 , 2012, pursuant to Section 5(a) of the Strategic Investor Agreement</w:t>
            </w:r>
          </w:p>
        </w:tc>
      </w:tr>
      <w:tr>
        <w:trPr>
          <w:trHeight w:val="230"/>
        </w:trPr>
        <w:tc>
          <w:tcPr>
            <w:tcW w:w="940" w:type="dxa"/>
            <w:vAlign w:val="bottom"/>
          </w:tcPr>
          <w:p>
            <w:pPr>
              <w:spacing w:after="0"/>
              <w:rPr>
                <w:sz w:val="20"/>
                <w:szCs w:val="20"/>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(incorporated herein by reference to Exhibit 99.24 to Amendment No. 12)</w:t>
            </w:r>
          </w:p>
        </w:tc>
      </w:tr>
      <w:tr>
        <w:trPr>
          <w:trHeight w:val="418"/>
        </w:trPr>
        <w:tc>
          <w:tcPr>
            <w:tcW w:w="940" w:type="dxa"/>
            <w:vAlign w:val="bottom"/>
          </w:tcPr>
          <w:p>
            <w:pPr>
              <w:jc w:val="right"/>
              <w:ind w:right="430"/>
              <w:spacing w:after="0"/>
              <w:rPr>
                <w:sz w:val="20"/>
                <w:szCs w:val="20"/>
                <w:color w:val="auto"/>
              </w:rPr>
            </w:pPr>
            <w:r>
              <w:rPr>
                <w:rFonts w:ascii="Arial" w:cs="Arial" w:eastAsia="Arial" w:hAnsi="Arial"/>
                <w:sz w:val="18"/>
                <w:szCs w:val="18"/>
                <w:color w:val="auto"/>
                <w:w w:val="88"/>
              </w:rPr>
              <w:t>99.39</w:t>
            </w:r>
          </w:p>
        </w:tc>
        <w:tc>
          <w:tcPr>
            <w:tcW w:w="10480" w:type="dxa"/>
            <w:vAlign w:val="bottom"/>
          </w:tcPr>
          <w:p>
            <w:pPr>
              <w:ind w:left="480"/>
              <w:spacing w:after="0"/>
              <w:rPr>
                <w:sz w:val="20"/>
                <w:szCs w:val="20"/>
                <w:color w:val="auto"/>
              </w:rPr>
            </w:pPr>
            <w:r>
              <w:rPr>
                <w:rFonts w:ascii="Arial" w:cs="Arial" w:eastAsia="Arial" w:hAnsi="Arial"/>
                <w:sz w:val="18"/>
                <w:szCs w:val="18"/>
                <w:color w:val="auto"/>
                <w:w w:val="94"/>
              </w:rPr>
              <w:t>Request Notice to Clearwire from TWC Wireless Holdings I LLC, TWC Wireless Holdings II LLC and TWC Wireless Holdings III LLC,</w:t>
            </w:r>
          </w:p>
        </w:tc>
      </w:tr>
      <w:tr>
        <w:trPr>
          <w:trHeight w:val="230"/>
        </w:trPr>
        <w:tc>
          <w:tcPr>
            <w:tcW w:w="940" w:type="dxa"/>
            <w:vAlign w:val="bottom"/>
          </w:tcPr>
          <w:p>
            <w:pPr>
              <w:spacing w:after="0"/>
              <w:rPr>
                <w:sz w:val="20"/>
                <w:szCs w:val="20"/>
                <w:color w:val="auto"/>
              </w:rPr>
            </w:pPr>
          </w:p>
        </w:tc>
        <w:tc>
          <w:tcPr>
            <w:tcW w:w="10480" w:type="dxa"/>
            <w:vAlign w:val="bottom"/>
          </w:tcPr>
          <w:p>
            <w:pPr>
              <w:ind w:left="480"/>
              <w:spacing w:after="0"/>
              <w:rPr>
                <w:sz w:val="20"/>
                <w:szCs w:val="20"/>
                <w:color w:val="auto"/>
              </w:rPr>
            </w:pPr>
            <w:r>
              <w:rPr>
                <w:rFonts w:ascii="Arial" w:cs="Arial" w:eastAsia="Arial" w:hAnsi="Arial"/>
                <w:sz w:val="18"/>
                <w:szCs w:val="18"/>
                <w:color w:val="auto"/>
              </w:rPr>
              <w:t>dated as of August 29 , 2012, pursuant to Section 3(c)(ii) and (d) of the Registration Rights Agreement (incorporated herein</w:t>
            </w:r>
          </w:p>
        </w:tc>
      </w:tr>
      <w:tr>
        <w:trPr>
          <w:trHeight w:val="686"/>
        </w:trPr>
        <w:tc>
          <w:tcPr>
            <w:tcW w:w="940" w:type="dxa"/>
            <w:vAlign w:val="bottom"/>
            <w:tcBorders>
              <w:bottom w:val="single" w:sz="8" w:color="808080"/>
            </w:tcBorders>
          </w:tcPr>
          <w:p>
            <w:pPr>
              <w:spacing w:after="0"/>
              <w:rPr>
                <w:sz w:val="24"/>
                <w:szCs w:val="24"/>
                <w:color w:val="auto"/>
              </w:rPr>
            </w:pPr>
          </w:p>
        </w:tc>
        <w:tc>
          <w:tcPr>
            <w:tcW w:w="10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by reference to Exhibit 99.25 to Amendment No. 12)</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99.40</w:t>
            </w:r>
          </w:p>
        </w:tc>
        <w:tc>
          <w:tcPr>
            <w:tcW w:w="10480" w:type="dxa"/>
            <w:vAlign w:val="bottom"/>
          </w:tcPr>
          <w:p>
            <w:pPr>
              <w:ind w:left="500"/>
              <w:spacing w:after="0"/>
              <w:rPr>
                <w:sz w:val="20"/>
                <w:szCs w:val="20"/>
                <w:color w:val="auto"/>
              </w:rPr>
            </w:pPr>
            <w:r>
              <w:rPr>
                <w:rFonts w:ascii="Arial" w:cs="Arial" w:eastAsia="Arial" w:hAnsi="Arial"/>
                <w:sz w:val="18"/>
                <w:szCs w:val="18"/>
                <w:color w:val="auto"/>
                <w:w w:val="94"/>
              </w:rPr>
              <w:t>Exchange Notice to Clearwire Communications LLC and Clearwire Corporation, dated as of September 4, 2012, pursuant to Section</w:t>
            </w:r>
          </w:p>
        </w:tc>
      </w:tr>
      <w:tr>
        <w:trPr>
          <w:trHeight w:val="230"/>
        </w:trPr>
        <w:tc>
          <w:tcPr>
            <w:tcW w:w="92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7.9(c) of the Operating Agreement (incorporated herein by reference to Exhibit 99.26 to Amendment No. 12)</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99.41</w:t>
            </w:r>
          </w:p>
        </w:tc>
        <w:tc>
          <w:tcPr>
            <w:tcW w:w="10480" w:type="dxa"/>
            <w:vAlign w:val="bottom"/>
          </w:tcPr>
          <w:p>
            <w:pPr>
              <w:ind w:left="500"/>
              <w:spacing w:after="0"/>
              <w:rPr>
                <w:sz w:val="20"/>
                <w:szCs w:val="20"/>
                <w:color w:val="auto"/>
              </w:rPr>
            </w:pPr>
            <w:r>
              <w:rPr>
                <w:rFonts w:ascii="Arial" w:cs="Arial" w:eastAsia="Arial" w:hAnsi="Arial"/>
                <w:sz w:val="18"/>
                <w:szCs w:val="18"/>
                <w:color w:val="auto"/>
              </w:rPr>
              <w:t>Letter to Sprint Nextel Corporation, Eagle River Holdings, LLC, Comcast Corporation, Bright House Networks, LLC and Intel</w:t>
            </w:r>
          </w:p>
        </w:tc>
      </w:tr>
      <w:tr>
        <w:trPr>
          <w:trHeight w:val="216"/>
        </w:trPr>
        <w:tc>
          <w:tcPr>
            <w:tcW w:w="92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7"/>
              </w:rPr>
              <w:t>Corporation from TWC Wireless Holdings I LLC, TWC Wireless Holdings II LLC and TWC Wireless Holdings III LLC, dated as of</w:t>
            </w:r>
          </w:p>
        </w:tc>
      </w:tr>
      <w:tr>
        <w:trPr>
          <w:trHeight w:val="216"/>
        </w:trPr>
        <w:tc>
          <w:tcPr>
            <w:tcW w:w="92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6"/>
              </w:rPr>
              <w:t>September 7, 2012, pursuant to Section 3.3 of the Equityholders’ Agreement (incorporated herein by reference to Exhibit 99.27 to</w:t>
            </w:r>
          </w:p>
        </w:tc>
      </w:tr>
      <w:tr>
        <w:trPr>
          <w:trHeight w:val="230"/>
        </w:trPr>
        <w:tc>
          <w:tcPr>
            <w:tcW w:w="92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Amendment No. 12)</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99.42</w:t>
            </w:r>
          </w:p>
        </w:tc>
        <w:tc>
          <w:tcPr>
            <w:tcW w:w="10480" w:type="dxa"/>
            <w:vAlign w:val="bottom"/>
          </w:tcPr>
          <w:p>
            <w:pPr>
              <w:ind w:left="500"/>
              <w:spacing w:after="0"/>
              <w:rPr>
                <w:sz w:val="20"/>
                <w:szCs w:val="20"/>
                <w:color w:val="auto"/>
              </w:rPr>
            </w:pPr>
            <w:r>
              <w:rPr>
                <w:rFonts w:ascii="Arial" w:cs="Arial" w:eastAsia="Arial" w:hAnsi="Arial"/>
                <w:sz w:val="18"/>
                <w:szCs w:val="18"/>
                <w:color w:val="auto"/>
                <w:w w:val="94"/>
              </w:rPr>
              <w:t>Exchange Notice to Clearwire Communications LLC and Clearwire Corporation from Comcast Wireless Investment, LLC, dated as of</w:t>
            </w:r>
          </w:p>
        </w:tc>
      </w:tr>
      <w:tr>
        <w:trPr>
          <w:trHeight w:val="216"/>
        </w:trPr>
        <w:tc>
          <w:tcPr>
            <w:tcW w:w="92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7"/>
              </w:rPr>
              <w:t>September 18, 2012, pursuant to Section 7.9(c) of the Operating Agreement (incorporated herein by reference to Exhibit 99.28 to</w:t>
            </w:r>
          </w:p>
        </w:tc>
      </w:tr>
      <w:tr>
        <w:trPr>
          <w:trHeight w:val="230"/>
        </w:trPr>
        <w:tc>
          <w:tcPr>
            <w:tcW w:w="92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Amendment No. 13)</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99.43</w:t>
            </w:r>
          </w:p>
        </w:tc>
        <w:tc>
          <w:tcPr>
            <w:tcW w:w="10480" w:type="dxa"/>
            <w:vAlign w:val="bottom"/>
          </w:tcPr>
          <w:p>
            <w:pPr>
              <w:ind w:left="500"/>
              <w:spacing w:after="0"/>
              <w:rPr>
                <w:sz w:val="20"/>
                <w:szCs w:val="20"/>
                <w:color w:val="auto"/>
              </w:rPr>
            </w:pPr>
            <w:r>
              <w:rPr>
                <w:rFonts w:ascii="Arial" w:cs="Arial" w:eastAsia="Arial" w:hAnsi="Arial"/>
                <w:sz w:val="18"/>
                <w:szCs w:val="18"/>
                <w:color w:val="auto"/>
                <w:w w:val="93"/>
              </w:rPr>
              <w:t>Interest Notice pursuant to Section 3.3 of the Equityholders’ Agreement from Eagle River Holdings, LLC dated as of October 17, 2012</w:t>
            </w:r>
          </w:p>
        </w:tc>
      </w:tr>
      <w:tr>
        <w:trPr>
          <w:trHeight w:val="216"/>
        </w:trPr>
        <w:tc>
          <w:tcPr>
            <w:tcW w:w="92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2"/>
              </w:rPr>
              <w:t>(incorporated herein by reference to Exhibit 99.29 of Amendment No. 14 to Schedule 13D filed on October 18, 2012 by the Initial Sprint</w:t>
            </w:r>
          </w:p>
        </w:tc>
      </w:tr>
      <w:tr>
        <w:trPr>
          <w:trHeight w:val="230"/>
        </w:trPr>
        <w:tc>
          <w:tcPr>
            <w:tcW w:w="92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Entities and the ERH Entities)</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99.44</w:t>
            </w:r>
          </w:p>
        </w:tc>
        <w:tc>
          <w:tcPr>
            <w:tcW w:w="10480" w:type="dxa"/>
            <w:vAlign w:val="bottom"/>
          </w:tcPr>
          <w:p>
            <w:pPr>
              <w:ind w:left="500"/>
              <w:spacing w:after="0"/>
              <w:rPr>
                <w:sz w:val="20"/>
                <w:szCs w:val="20"/>
                <w:color w:val="auto"/>
              </w:rPr>
            </w:pPr>
            <w:r>
              <w:rPr>
                <w:rFonts w:ascii="Arial" w:cs="Arial" w:eastAsia="Arial" w:hAnsi="Arial"/>
                <w:sz w:val="18"/>
                <w:szCs w:val="18"/>
                <w:color w:val="auto"/>
                <w:w w:val="93"/>
              </w:rPr>
              <w:t>Response Letter pursuant to Section 3.3 of the Equityholders’ Agreement from Sprint HoldCo, LLC to Eagle River Holdings, LLC dated</w:t>
            </w:r>
          </w:p>
        </w:tc>
      </w:tr>
      <w:tr>
        <w:trPr>
          <w:trHeight w:val="216"/>
        </w:trPr>
        <w:tc>
          <w:tcPr>
            <w:tcW w:w="92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3"/>
              </w:rPr>
              <w:t>as of October 17, 2012 (incorporated herein by reference to Exhibit 99.30 of Amendment No. 14 to Schedule 13D filed on October 18,</w:t>
            </w:r>
          </w:p>
        </w:tc>
      </w:tr>
      <w:tr>
        <w:trPr>
          <w:trHeight w:val="230"/>
        </w:trPr>
        <w:tc>
          <w:tcPr>
            <w:tcW w:w="92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2012 by the Initial Sprint Entities and the ERH Entities)</w:t>
            </w:r>
          </w:p>
        </w:tc>
      </w:tr>
      <w:tr>
        <w:trPr>
          <w:trHeight w:val="432"/>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99.45</w:t>
            </w:r>
          </w:p>
        </w:tc>
        <w:tc>
          <w:tcPr>
            <w:tcW w:w="10480" w:type="dxa"/>
            <w:vAlign w:val="bottom"/>
          </w:tcPr>
          <w:p>
            <w:pPr>
              <w:ind w:left="500"/>
              <w:spacing w:after="0"/>
              <w:rPr>
                <w:sz w:val="20"/>
                <w:szCs w:val="20"/>
                <w:color w:val="auto"/>
              </w:rPr>
            </w:pPr>
            <w:r>
              <w:rPr>
                <w:rFonts w:ascii="Arial" w:cs="Arial" w:eastAsia="Arial" w:hAnsi="Arial"/>
                <w:sz w:val="18"/>
                <w:szCs w:val="18"/>
                <w:color w:val="auto"/>
                <w:w w:val="99"/>
              </w:rPr>
              <w:t>Joint Filing Agreement, dated as of October 22, 2012, between Comcast Corporation and Comcast Wireless Investment, LLC*</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99.46</w:t>
            </w:r>
          </w:p>
        </w:tc>
        <w:tc>
          <w:tcPr>
            <w:tcW w:w="10480" w:type="dxa"/>
            <w:vAlign w:val="bottom"/>
          </w:tcPr>
          <w:p>
            <w:pPr>
              <w:ind w:left="500"/>
              <w:spacing w:after="0"/>
              <w:rPr>
                <w:sz w:val="20"/>
                <w:szCs w:val="20"/>
                <w:color w:val="auto"/>
              </w:rPr>
            </w:pPr>
            <w:r>
              <w:rPr>
                <w:rFonts w:ascii="Arial" w:cs="Arial" w:eastAsia="Arial" w:hAnsi="Arial"/>
                <w:sz w:val="18"/>
                <w:szCs w:val="18"/>
                <w:color w:val="auto"/>
                <w:w w:val="93"/>
              </w:rPr>
              <w:t>Agreement and Plan of Merger, dated as of December 17, 2012, by and among Sprint Nextel Corporation, Collie Acquisition Corp. and</w:t>
            </w:r>
          </w:p>
        </w:tc>
      </w:tr>
      <w:tr>
        <w:trPr>
          <w:trHeight w:val="216"/>
        </w:trPr>
        <w:tc>
          <w:tcPr>
            <w:tcW w:w="92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6"/>
              </w:rPr>
              <w:t>Clearwire Corporation (incorporated herein by reference to Exhibit 2.1 of Clearwire Corporation’s Current Report on Form 8-K filed</w:t>
            </w:r>
          </w:p>
        </w:tc>
      </w:tr>
      <w:tr>
        <w:trPr>
          <w:trHeight w:val="230"/>
        </w:trPr>
        <w:tc>
          <w:tcPr>
            <w:tcW w:w="92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December 18, 2012)</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99.47</w:t>
            </w:r>
          </w:p>
        </w:tc>
        <w:tc>
          <w:tcPr>
            <w:tcW w:w="10480" w:type="dxa"/>
            <w:vAlign w:val="bottom"/>
          </w:tcPr>
          <w:p>
            <w:pPr>
              <w:ind w:left="500"/>
              <w:spacing w:after="0"/>
              <w:rPr>
                <w:sz w:val="20"/>
                <w:szCs w:val="20"/>
                <w:color w:val="auto"/>
              </w:rPr>
            </w:pPr>
            <w:r>
              <w:rPr>
                <w:rFonts w:ascii="Arial" w:cs="Arial" w:eastAsia="Arial" w:hAnsi="Arial"/>
                <w:sz w:val="18"/>
                <w:szCs w:val="18"/>
                <w:color w:val="auto"/>
                <w:w w:val="92"/>
              </w:rPr>
              <w:t>Irrevocable Exchange Agreement, dated as of December 17, 2012, by and among Clearwire Corporation, Sprint Nextel Corporation and</w:t>
            </w:r>
          </w:p>
        </w:tc>
      </w:tr>
      <w:tr>
        <w:trPr>
          <w:trHeight w:val="216"/>
        </w:trPr>
        <w:tc>
          <w:tcPr>
            <w:tcW w:w="92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7"/>
              </w:rPr>
              <w:t>Intel Capital Wireless Investment Corporation 2008A (incorporated herein by reference to Exhibit 10.6 of Clearwire Corporation’s</w:t>
            </w:r>
          </w:p>
        </w:tc>
      </w:tr>
      <w:tr>
        <w:trPr>
          <w:trHeight w:val="230"/>
        </w:trPr>
        <w:tc>
          <w:tcPr>
            <w:tcW w:w="92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Current Report on Form 8-K filed December 18, 2012)</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99.48</w:t>
            </w:r>
          </w:p>
        </w:tc>
        <w:tc>
          <w:tcPr>
            <w:tcW w:w="10480" w:type="dxa"/>
            <w:vAlign w:val="bottom"/>
          </w:tcPr>
          <w:p>
            <w:pPr>
              <w:ind w:left="500"/>
              <w:spacing w:after="0"/>
              <w:rPr>
                <w:sz w:val="20"/>
                <w:szCs w:val="20"/>
                <w:color w:val="auto"/>
              </w:rPr>
            </w:pPr>
            <w:r>
              <w:rPr>
                <w:rFonts w:ascii="Arial" w:cs="Arial" w:eastAsia="Arial" w:hAnsi="Arial"/>
                <w:sz w:val="18"/>
                <w:szCs w:val="18"/>
                <w:color w:val="auto"/>
                <w:w w:val="91"/>
              </w:rPr>
              <w:t>Consent and Agreement, dated as of December 17, 2012, by and among Softbank Corp., Starburst II, Inc. and Sprint Nextel Corporation</w:t>
            </w:r>
          </w:p>
        </w:tc>
      </w:tr>
      <w:tr>
        <w:trPr>
          <w:trHeight w:val="230"/>
        </w:trPr>
        <w:tc>
          <w:tcPr>
            <w:tcW w:w="92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(incorporated herein by reference to Exhibit 99.53 of the Sprint 13D Amendment)</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99.49</w:t>
            </w:r>
          </w:p>
        </w:tc>
        <w:tc>
          <w:tcPr>
            <w:tcW w:w="10480" w:type="dxa"/>
            <w:vAlign w:val="bottom"/>
          </w:tcPr>
          <w:p>
            <w:pPr>
              <w:ind w:left="500"/>
              <w:spacing w:after="0"/>
              <w:rPr>
                <w:sz w:val="20"/>
                <w:szCs w:val="20"/>
                <w:color w:val="auto"/>
              </w:rPr>
            </w:pPr>
            <w:r>
              <w:rPr>
                <w:rFonts w:ascii="Arial" w:cs="Arial" w:eastAsia="Arial" w:hAnsi="Arial"/>
                <w:sz w:val="18"/>
                <w:szCs w:val="18"/>
                <w:color w:val="auto"/>
                <w:w w:val="96"/>
              </w:rPr>
              <w:t>Voting and Support Agreement, dated as of December 17, 2012, among Clearwire Corporation and the persons named therein as</w:t>
            </w:r>
          </w:p>
        </w:tc>
      </w:tr>
      <w:tr>
        <w:trPr>
          <w:trHeight w:val="216"/>
        </w:trPr>
        <w:tc>
          <w:tcPr>
            <w:tcW w:w="92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6"/>
              </w:rPr>
              <w:t>stockholders of Clearwire Corporation and equityholders of Clearwire Communications LLC, as applicable (incorporated herein by</w:t>
            </w:r>
          </w:p>
        </w:tc>
      </w:tr>
      <w:tr>
        <w:trPr>
          <w:trHeight w:val="230"/>
        </w:trPr>
        <w:tc>
          <w:tcPr>
            <w:tcW w:w="92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reference to Exhibit 10.5 of Clearwire Corporation’s Current Report on Form 8-K filed December 18, 2012)</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99.50</w:t>
            </w:r>
          </w:p>
        </w:tc>
        <w:tc>
          <w:tcPr>
            <w:tcW w:w="10480" w:type="dxa"/>
            <w:vAlign w:val="bottom"/>
          </w:tcPr>
          <w:p>
            <w:pPr>
              <w:ind w:left="500"/>
              <w:spacing w:after="0"/>
              <w:rPr>
                <w:sz w:val="20"/>
                <w:szCs w:val="20"/>
                <w:color w:val="auto"/>
              </w:rPr>
            </w:pPr>
            <w:r>
              <w:rPr>
                <w:rFonts w:ascii="Arial" w:cs="Arial" w:eastAsia="Arial" w:hAnsi="Arial"/>
                <w:sz w:val="18"/>
                <w:szCs w:val="18"/>
                <w:color w:val="auto"/>
                <w:w w:val="93"/>
              </w:rPr>
              <w:t>Agreement Regarding Right of First Offer, dated as of December 17, 2012, among Sprint HoldCo, LLC, Sprint Nextel Corporation, and</w:t>
            </w:r>
          </w:p>
        </w:tc>
      </w:tr>
      <w:tr>
        <w:trPr>
          <w:trHeight w:val="216"/>
        </w:trPr>
        <w:tc>
          <w:tcPr>
            <w:tcW w:w="92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1"/>
              </w:rPr>
              <w:t>the persons named therein as stockholders of Clearwire Corporation and equityholders of Clearwire Communications LLC, as applicable</w:t>
            </w:r>
          </w:p>
        </w:tc>
      </w:tr>
      <w:tr>
        <w:trPr>
          <w:trHeight w:val="230"/>
        </w:trPr>
        <w:tc>
          <w:tcPr>
            <w:tcW w:w="92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(incorporated herein by reference to Exhibit 99.55 of the Sprint 13D Amendment)</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99.51</w:t>
            </w:r>
          </w:p>
        </w:tc>
        <w:tc>
          <w:tcPr>
            <w:tcW w:w="10480" w:type="dxa"/>
            <w:vAlign w:val="bottom"/>
          </w:tcPr>
          <w:p>
            <w:pPr>
              <w:ind w:left="500"/>
              <w:spacing w:after="0"/>
              <w:rPr>
                <w:sz w:val="20"/>
                <w:szCs w:val="20"/>
                <w:color w:val="auto"/>
              </w:rPr>
            </w:pPr>
            <w:r>
              <w:rPr>
                <w:rFonts w:ascii="Arial" w:cs="Arial" w:eastAsia="Arial" w:hAnsi="Arial"/>
                <w:sz w:val="18"/>
                <w:szCs w:val="18"/>
                <w:color w:val="auto"/>
                <w:w w:val="92"/>
              </w:rPr>
              <w:t>Note Purchase Agreement, dated as of December 17, 2012, by and among Clearwire Corporation, Clearwire Communications LLC and</w:t>
            </w:r>
          </w:p>
        </w:tc>
      </w:tr>
      <w:tr>
        <w:trPr>
          <w:trHeight w:val="216"/>
        </w:trPr>
        <w:tc>
          <w:tcPr>
            <w:tcW w:w="92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w w:val="90"/>
              </w:rPr>
              <w:t>Collie Finance, Inc., as issuers, and Sprint Nextel Corporation, as purchaser (incorporated herein by reference to Exhibit 10.1 of Clearwire</w:t>
            </w:r>
          </w:p>
        </w:tc>
      </w:tr>
      <w:tr>
        <w:trPr>
          <w:trHeight w:val="230"/>
        </w:trPr>
        <w:tc>
          <w:tcPr>
            <w:tcW w:w="92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Corporation’s Current Report on Form 8-K filed December 18, 2012)</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99.52</w:t>
            </w:r>
          </w:p>
        </w:tc>
        <w:tc>
          <w:tcPr>
            <w:tcW w:w="10480" w:type="dxa"/>
            <w:vAlign w:val="bottom"/>
          </w:tcPr>
          <w:p>
            <w:pPr>
              <w:ind w:left="500"/>
              <w:spacing w:after="0"/>
              <w:rPr>
                <w:sz w:val="20"/>
                <w:szCs w:val="20"/>
                <w:color w:val="auto"/>
              </w:rPr>
            </w:pPr>
            <w:r>
              <w:rPr>
                <w:rFonts w:ascii="Arial" w:cs="Arial" w:eastAsia="Arial" w:hAnsi="Arial"/>
                <w:sz w:val="18"/>
                <w:szCs w:val="18"/>
                <w:color w:val="auto"/>
                <w:w w:val="92"/>
              </w:rPr>
              <w:t>Form of Registration Rights Agreement by and among Clearwire Corporation, as parent, Clearwire Communications LLC and Clearwire</w:t>
            </w:r>
          </w:p>
        </w:tc>
      </w:tr>
      <w:tr>
        <w:trPr>
          <w:trHeight w:val="230"/>
        </w:trPr>
        <w:tc>
          <w:tcPr>
            <w:tcW w:w="92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Finance, Inc., as issuers, the guarantors party thereto and Sprint Nextel Corporation (included in Exhibit 99.51)</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99.53</w:t>
            </w:r>
          </w:p>
        </w:tc>
        <w:tc>
          <w:tcPr>
            <w:tcW w:w="10480" w:type="dxa"/>
            <w:vAlign w:val="bottom"/>
          </w:tcPr>
          <w:p>
            <w:pPr>
              <w:ind w:left="500"/>
              <w:spacing w:after="0"/>
              <w:rPr>
                <w:sz w:val="20"/>
                <w:szCs w:val="20"/>
                <w:color w:val="auto"/>
              </w:rPr>
            </w:pPr>
            <w:r>
              <w:rPr>
                <w:rFonts w:ascii="Arial" w:cs="Arial" w:eastAsia="Arial" w:hAnsi="Arial"/>
                <w:sz w:val="18"/>
                <w:szCs w:val="18"/>
                <w:color w:val="auto"/>
                <w:w w:val="90"/>
              </w:rPr>
              <w:t>Form of Indenture by and among the Clearwire Communications LLC and Clearwire Finance, Inc., as issuers, the guarantors party thereto</w:t>
            </w:r>
          </w:p>
        </w:tc>
      </w:tr>
      <w:tr>
        <w:trPr>
          <w:trHeight w:val="230"/>
        </w:trPr>
        <w:tc>
          <w:tcPr>
            <w:tcW w:w="92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and [Wilmington Trust, National Association], as trustee (included in Exhibit 99.51)</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99.54</w:t>
            </w:r>
          </w:p>
        </w:tc>
        <w:tc>
          <w:tcPr>
            <w:tcW w:w="10480" w:type="dxa"/>
            <w:vAlign w:val="bottom"/>
          </w:tcPr>
          <w:p>
            <w:pPr>
              <w:ind w:left="500"/>
              <w:spacing w:after="0"/>
              <w:rPr>
                <w:sz w:val="20"/>
                <w:szCs w:val="20"/>
                <w:color w:val="auto"/>
              </w:rPr>
            </w:pPr>
            <w:r>
              <w:rPr>
                <w:rFonts w:ascii="Arial" w:cs="Arial" w:eastAsia="Arial" w:hAnsi="Arial"/>
                <w:sz w:val="18"/>
                <w:szCs w:val="18"/>
                <w:color w:val="auto"/>
                <w:w w:val="91"/>
              </w:rPr>
              <w:t>Form of Stock Delivery Agreement by and among Clearwire Communications LLC and Clearwire Finance, Inc., as issuers, and Clearwire</w:t>
            </w:r>
          </w:p>
        </w:tc>
      </w:tr>
      <w:tr>
        <w:trPr>
          <w:trHeight w:val="230"/>
        </w:trPr>
        <w:tc>
          <w:tcPr>
            <w:tcW w:w="92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Arial" w:cs="Arial" w:eastAsia="Arial" w:hAnsi="Arial"/>
                <w:sz w:val="18"/>
                <w:szCs w:val="18"/>
                <w:color w:val="auto"/>
              </w:rPr>
              <w:t>Corporation (included in Exhibit 99.51)</w:t>
            </w:r>
          </w:p>
        </w:tc>
      </w:tr>
    </w:tbl>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99.55</w:t>
            </w:r>
          </w:p>
        </w:tc>
        <w:tc>
          <w:tcPr>
            <w:tcW w:w="10520" w:type="dxa"/>
            <w:vAlign w:val="bottom"/>
          </w:tcPr>
          <w:p>
            <w:pPr>
              <w:ind w:left="500"/>
              <w:spacing w:after="0"/>
              <w:rPr>
                <w:sz w:val="20"/>
                <w:szCs w:val="20"/>
                <w:color w:val="auto"/>
              </w:rPr>
            </w:pPr>
            <w:r>
              <w:rPr>
                <w:rFonts w:ascii="Arial" w:cs="Arial" w:eastAsia="Arial" w:hAnsi="Arial"/>
                <w:sz w:val="18"/>
                <w:szCs w:val="18"/>
                <w:color w:val="auto"/>
                <w:w w:val="91"/>
              </w:rPr>
              <w:t>Second Amendment to Equityholders’ Agreement, dated as of December 17, 2012, by and among, Clearwire Corporation, Sprint HoldCo,</w:t>
            </w:r>
          </w:p>
        </w:tc>
      </w:tr>
      <w:tr>
        <w:trPr>
          <w:trHeight w:val="216"/>
        </w:trPr>
        <w:tc>
          <w:tcPr>
            <w:tcW w:w="92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Arial" w:cs="Arial" w:eastAsia="Arial" w:hAnsi="Arial"/>
                <w:sz w:val="18"/>
                <w:szCs w:val="18"/>
                <w:color w:val="auto"/>
                <w:w w:val="94"/>
              </w:rPr>
              <w:t>LLC, SN UHC 1, Inc., Eagle River Holdings, LLC, Intel Capital Wireless Investment Corporation 2008A, Intel Capital Corporation, Intel</w:t>
            </w:r>
          </w:p>
        </w:tc>
      </w:tr>
      <w:tr>
        <w:trPr>
          <w:trHeight w:val="216"/>
        </w:trPr>
        <w:tc>
          <w:tcPr>
            <w:tcW w:w="92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Arial" w:cs="Arial" w:eastAsia="Arial" w:hAnsi="Arial"/>
                <w:sz w:val="18"/>
                <w:szCs w:val="18"/>
                <w:color w:val="auto"/>
                <w:w w:val="93"/>
              </w:rPr>
              <w:t>Capital (Cayman) Corporation, Middlefield Ventures, Inc. and Comcast Corporation, as Strategic Investor Representative (incorporated</w:t>
            </w:r>
          </w:p>
        </w:tc>
      </w:tr>
      <w:tr>
        <w:trPr>
          <w:trHeight w:val="230"/>
        </w:trPr>
        <w:tc>
          <w:tcPr>
            <w:tcW w:w="92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Arial" w:cs="Arial" w:eastAsia="Arial" w:hAnsi="Arial"/>
                <w:sz w:val="18"/>
                <w:szCs w:val="18"/>
                <w:color w:val="auto"/>
              </w:rPr>
              <w:t>herein by reference to Exhibit 10.7 of Clearwire Corporation’s Current Report on Form 8-K filed December 18, 2012)</w:t>
            </w:r>
          </w:p>
        </w:tc>
      </w:tr>
      <w:tr>
        <w:trPr>
          <w:trHeight w:val="418"/>
        </w:trPr>
        <w:tc>
          <w:tcPr>
            <w:tcW w:w="920" w:type="dxa"/>
            <w:vAlign w:val="bottom"/>
          </w:tcPr>
          <w:p>
            <w:pPr>
              <w:jc w:val="right"/>
              <w:ind w:right="410"/>
              <w:spacing w:after="0"/>
              <w:rPr>
                <w:sz w:val="20"/>
                <w:szCs w:val="20"/>
                <w:color w:val="auto"/>
              </w:rPr>
            </w:pPr>
            <w:r>
              <w:rPr>
                <w:rFonts w:ascii="Arial" w:cs="Arial" w:eastAsia="Arial" w:hAnsi="Arial"/>
                <w:sz w:val="18"/>
                <w:szCs w:val="18"/>
                <w:color w:val="auto"/>
                <w:w w:val="88"/>
              </w:rPr>
              <w:t>99.56</w:t>
            </w:r>
          </w:p>
        </w:tc>
        <w:tc>
          <w:tcPr>
            <w:tcW w:w="10520" w:type="dxa"/>
            <w:vAlign w:val="bottom"/>
          </w:tcPr>
          <w:p>
            <w:pPr>
              <w:ind w:left="500"/>
              <w:spacing w:after="0"/>
              <w:rPr>
                <w:sz w:val="20"/>
                <w:szCs w:val="20"/>
                <w:color w:val="auto"/>
              </w:rPr>
            </w:pPr>
            <w:r>
              <w:rPr>
                <w:rFonts w:ascii="Arial" w:cs="Arial" w:eastAsia="Arial" w:hAnsi="Arial"/>
                <w:sz w:val="18"/>
                <w:szCs w:val="18"/>
                <w:color w:val="auto"/>
                <w:w w:val="93"/>
              </w:rPr>
              <w:t>Third Amendment to Equityholders’ Agreement, dated as of December 17, 2012, by and among, Clearwire Corporation, Sprint HoldCo,</w:t>
            </w:r>
          </w:p>
        </w:tc>
      </w:tr>
      <w:tr>
        <w:trPr>
          <w:trHeight w:val="216"/>
        </w:trPr>
        <w:tc>
          <w:tcPr>
            <w:tcW w:w="92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Arial" w:cs="Arial" w:eastAsia="Arial" w:hAnsi="Arial"/>
                <w:sz w:val="18"/>
                <w:szCs w:val="18"/>
                <w:color w:val="auto"/>
              </w:rPr>
              <w:t>LLC, SN UHC 1, Inc., Intel Capital Wireless Investment Corporation 2008A, Intel Capital Corporation, Intel Capital (Cayman)</w:t>
            </w:r>
          </w:p>
        </w:tc>
      </w:tr>
      <w:tr>
        <w:trPr>
          <w:trHeight w:val="216"/>
        </w:trPr>
        <w:tc>
          <w:tcPr>
            <w:tcW w:w="92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Arial" w:cs="Arial" w:eastAsia="Arial" w:hAnsi="Arial"/>
                <w:sz w:val="18"/>
                <w:szCs w:val="18"/>
                <w:color w:val="auto"/>
                <w:w w:val="91"/>
              </w:rPr>
              <w:t>Corporation, Middlefield Ventures, Inc. and Comcast Corporation, as Strategic Investor Representative (incorporated herein by reference</w:t>
            </w:r>
          </w:p>
        </w:tc>
      </w:tr>
      <w:tr>
        <w:trPr>
          <w:trHeight w:val="230"/>
        </w:trPr>
        <w:tc>
          <w:tcPr>
            <w:tcW w:w="92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Arial" w:cs="Arial" w:eastAsia="Arial" w:hAnsi="Arial"/>
                <w:sz w:val="18"/>
                <w:szCs w:val="18"/>
                <w:color w:val="auto"/>
              </w:rPr>
              <w:t>to Exhibit 10.8 of Clearwire Corporation’s Current Report on Form 8-K filed December 18, 2012)</w:t>
            </w:r>
          </w:p>
        </w:tc>
      </w:tr>
      <w:tr>
        <w:trPr>
          <w:trHeight w:val="1091"/>
        </w:trPr>
        <w:tc>
          <w:tcPr>
            <w:tcW w:w="920" w:type="dxa"/>
            <w:vAlign w:val="bottom"/>
            <w:tcBorders>
              <w:bottom w:val="single" w:sz="8" w:color="808080"/>
            </w:tcBorders>
          </w:tcPr>
          <w:p>
            <w:pPr>
              <w:spacing w:after="0"/>
              <w:rPr>
                <w:sz w:val="24"/>
                <w:szCs w:val="24"/>
                <w:color w:val="auto"/>
              </w:rPr>
            </w:pPr>
          </w:p>
        </w:tc>
        <w:tc>
          <w:tcPr>
            <w:tcW w:w="10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4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lvl w:ilvl="1">
      <w:lvlJc w:val="left"/>
      <w:lvlText w:val="(%2)"/>
      <w:numFmt w:val="lowerLetter"/>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lvl w:ilvl="1">
      <w:lvlJc w:val="left"/>
      <w:lvlText w:val="(%2)"/>
      <w:numFmt w:val="lowerLetter"/>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decimal"/>
      <w:start w:val="3"/>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2019-12-16T11:25:05Z</dcterms:created>
  <dcterms:modified xsi:type="dcterms:W3CDTF">2019-12-16T11:25:05Z</dcterms:modified>
</cp:coreProperties>
</file>