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BUZZFEED,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(Title of Class of Securities)</w:t>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12430A102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(CUSIP Number)</w:t>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Thomas J. Reid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Philadelphia, Pennsylvania 19103-2838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(Name, Address and Telephone Number of Person Authorized to Receive Notices and Communications)</w:t>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1"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firstLine="332"/>
        <w:spacing w:after="0" w:line="282" w:lineRule="auto"/>
        <w:tabs>
          <w:tab w:leader="none" w:pos="4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color w:val="auto"/>
        </w:rPr>
        <w:t>CUSIP No.</w:t>
        <w:tab/>
        <w:t>12430A102</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8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7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Comcast Corporation</w:t>
            </w: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80" w:type="dxa"/>
            <w:vAlign w:val="bottom"/>
            <w:tcBorders>
              <w:right w:val="single" w:sz="8" w:color="auto"/>
            </w:tcBorders>
          </w:tcPr>
          <w:p>
            <w:pPr>
              <w:ind w:left="6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80" w:type="dxa"/>
            <w:vAlign w:val="bottom"/>
            <w:tcBorders>
              <w:right w:val="single" w:sz="8" w:color="auto"/>
            </w:tcBorders>
          </w:tcPr>
          <w:p>
            <w:pPr>
              <w:ind w:left="6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2"/>
                <w:szCs w:val="22"/>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6960" w:type="dxa"/>
            <w:vAlign w:val="bottom"/>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4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Pennsylvania</w:t>
            </w:r>
          </w:p>
        </w:tc>
        <w:tc>
          <w:tcPr>
            <w:tcW w:w="5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  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460" w:type="dxa"/>
            <w:vAlign w:val="bottom"/>
            <w:tcBorders>
              <w:left w:val="single" w:sz="8" w:color="auto"/>
            </w:tcBorders>
          </w:tcPr>
          <w:p>
            <w:pPr>
              <w:spacing w:after="0"/>
              <w:rPr>
                <w:sz w:val="7"/>
                <w:szCs w:val="7"/>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6960" w:type="dxa"/>
            <w:vAlign w:val="bottom"/>
            <w:tcBorders>
              <w:bottom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  19,507,693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6960" w:type="dxa"/>
            <w:vAlign w:val="bottom"/>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220" w:type="dxa"/>
            <w:vAlign w:val="bottom"/>
          </w:tcPr>
          <w:p>
            <w:pPr>
              <w:spacing w:after="0"/>
              <w:rPr>
                <w:sz w:val="18"/>
                <w:szCs w:val="18"/>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9.</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  0</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69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  19,507,693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6960" w:type="dxa"/>
            <w:vAlign w:val="bottom"/>
            <w:vMerge w:val="continue"/>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gridSpan w:val="2"/>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19,507,693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gridSpan w:val="4"/>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1"/>
                <w:szCs w:val="21"/>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6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90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8"/>
                <w:szCs w:val="18"/>
                <w:color w:val="auto"/>
              </w:rPr>
              <w:t>CERTAIN SHARES</w:t>
            </w:r>
          </w:p>
        </w:tc>
        <w:tc>
          <w:tcPr>
            <w:tcW w:w="69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860" w:type="dxa"/>
            <w:vAlign w:val="bottom"/>
            <w:tcBorders>
              <w:bottom w:val="single" w:sz="8" w:color="auto"/>
            </w:tcBorders>
            <w:gridSpan w:val="4"/>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15.48%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gridSpan w:val="4"/>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ind w:left="60"/>
        <w:spacing w:after="0"/>
        <w:tabs>
          <w:tab w:leader="none" w:pos="10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7"/>
          <w:szCs w:val="17"/>
          <w:color w:val="auto"/>
        </w:rPr>
        <w:t>12430A102</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8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7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NBCUniversal, LLC</w:t>
            </w: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80" w:type="dxa"/>
            <w:vAlign w:val="bottom"/>
            <w:tcBorders>
              <w:right w:val="single" w:sz="8" w:color="auto"/>
            </w:tcBorders>
          </w:tcPr>
          <w:p>
            <w:pPr>
              <w:ind w:left="6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80" w:type="dxa"/>
            <w:vAlign w:val="bottom"/>
            <w:tcBorders>
              <w:right w:val="single" w:sz="8" w:color="auto"/>
            </w:tcBorders>
          </w:tcPr>
          <w:p>
            <w:pPr>
              <w:ind w:left="6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2"/>
                <w:szCs w:val="22"/>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6960" w:type="dxa"/>
            <w:vAlign w:val="bottom"/>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4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  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460" w:type="dxa"/>
            <w:vAlign w:val="bottom"/>
            <w:tcBorders>
              <w:left w:val="single" w:sz="8" w:color="auto"/>
            </w:tcBorders>
          </w:tcPr>
          <w:p>
            <w:pPr>
              <w:spacing w:after="0"/>
              <w:rPr>
                <w:sz w:val="7"/>
                <w:szCs w:val="7"/>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6960" w:type="dxa"/>
            <w:vAlign w:val="bottom"/>
            <w:tcBorders>
              <w:bottom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  19,507,693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6960" w:type="dxa"/>
            <w:vAlign w:val="bottom"/>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220" w:type="dxa"/>
            <w:vAlign w:val="bottom"/>
          </w:tcPr>
          <w:p>
            <w:pPr>
              <w:spacing w:after="0"/>
              <w:rPr>
                <w:sz w:val="18"/>
                <w:szCs w:val="18"/>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9.</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  0</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69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  19,507,693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6960" w:type="dxa"/>
            <w:vAlign w:val="bottom"/>
            <w:vMerge w:val="continue"/>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gridSpan w:val="2"/>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19,507,693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gridSpan w:val="4"/>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1"/>
                <w:szCs w:val="21"/>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6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90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8"/>
                <w:szCs w:val="18"/>
                <w:color w:val="auto"/>
              </w:rPr>
              <w:t>CERTAIN SHARES</w:t>
            </w:r>
          </w:p>
        </w:tc>
        <w:tc>
          <w:tcPr>
            <w:tcW w:w="69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860" w:type="dxa"/>
            <w:vAlign w:val="bottom"/>
            <w:tcBorders>
              <w:bottom w:val="single" w:sz="8" w:color="auto"/>
            </w:tcBorders>
            <w:gridSpan w:val="4"/>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15.48%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gridSpan w:val="4"/>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34" w:right="339" w:bottom="1440" w:gutter="0" w:footer="0" w:header="0"/>
        </w:sectPr>
      </w:pPr>
    </w:p>
    <w:bookmarkStart w:id="3" w:name="page4"/>
    <w:bookmarkEnd w:id="3"/>
    <w:p>
      <w:pPr>
        <w:ind w:left="60"/>
        <w:spacing w:after="0"/>
        <w:tabs>
          <w:tab w:leader="none" w:pos="10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7"/>
          <w:szCs w:val="17"/>
          <w:color w:val="auto"/>
        </w:rPr>
        <w:t>12430A102</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8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7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NBCUniversal Media, LLC</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80" w:type="dxa"/>
            <w:vAlign w:val="bottom"/>
            <w:tcBorders>
              <w:right w:val="single" w:sz="8" w:color="auto"/>
            </w:tcBorders>
          </w:tcPr>
          <w:p>
            <w:pPr>
              <w:ind w:left="6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80" w:type="dxa"/>
            <w:vAlign w:val="bottom"/>
            <w:tcBorders>
              <w:right w:val="single" w:sz="8" w:color="auto"/>
            </w:tcBorders>
          </w:tcPr>
          <w:p>
            <w:pPr>
              <w:ind w:left="6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2"/>
                <w:szCs w:val="22"/>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6960" w:type="dxa"/>
            <w:vAlign w:val="bottom"/>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4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  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460" w:type="dxa"/>
            <w:vAlign w:val="bottom"/>
            <w:tcBorders>
              <w:left w:val="single" w:sz="8" w:color="auto"/>
            </w:tcBorders>
          </w:tcPr>
          <w:p>
            <w:pPr>
              <w:spacing w:after="0"/>
              <w:rPr>
                <w:sz w:val="7"/>
                <w:szCs w:val="7"/>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6960" w:type="dxa"/>
            <w:vAlign w:val="bottom"/>
            <w:tcBorders>
              <w:bottom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  19,507,693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6960" w:type="dxa"/>
            <w:vAlign w:val="bottom"/>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220" w:type="dxa"/>
            <w:vAlign w:val="bottom"/>
          </w:tcPr>
          <w:p>
            <w:pPr>
              <w:spacing w:after="0"/>
              <w:rPr>
                <w:sz w:val="18"/>
                <w:szCs w:val="18"/>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9.</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  0</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69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  19,507,693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6960" w:type="dxa"/>
            <w:vAlign w:val="bottom"/>
            <w:vMerge w:val="continue"/>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gridSpan w:val="2"/>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19,507,693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gridSpan w:val="4"/>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1"/>
                <w:szCs w:val="21"/>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6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90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8"/>
                <w:szCs w:val="18"/>
                <w:color w:val="auto"/>
              </w:rPr>
              <w:t>CERTAIN SHARES</w:t>
            </w:r>
          </w:p>
        </w:tc>
        <w:tc>
          <w:tcPr>
            <w:tcW w:w="69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860" w:type="dxa"/>
            <w:vAlign w:val="bottom"/>
            <w:tcBorders>
              <w:bottom w:val="single" w:sz="8" w:color="auto"/>
            </w:tcBorders>
            <w:gridSpan w:val="4"/>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15.48%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gridSpan w:val="4"/>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8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3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 to Schedule 13D</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following constitutes Amendment No. 3 (“Amendment No. 3”) to the Schedule 13D filed with the Securities and Exchange Commission (“SEC”) by Comcast Corporation, NBCUniversal, LLC and NBCUniversal Media, LLC (collectively, the “Reporting Persons”) on December 13, 2021, as amended by Amendment No. 1 filed with the SEC on February 1, 2023 and Amendment No. 2 filed with the SEC on February 6, 2023 (collectively, “Schedule 13D”). This Amendment No. 3 amends, supplements and restates the Schedule 13D as specifically set forth herein. This Amendment No. 3 does not restate disclosures in the Schedule 13D that are not being amended and should be read in conjunction with the Schedule 13D. All capitalized terms contained herein but not otherwise defined shall have the meanings ascribed to such terms in the Schedule 13D. Information given in response to each item shall be deemed incorporated by reference in all other items, as applicable.</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This Amendment No. 3 relates to the Class A Common Stock, par value $0.0001 per share (“Class A Common Stock”) of BuzzFeed, Inc., a Delaware corporation (the “Issuer”). On February 16, 2023 and February 21, 2023, the Reporting Persons sold 524,322 shares of Class A Common Stock in the open market. This Amendment is filed to reflect the reduction of the outstanding ownership held by the Reporting Persons.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5(a)-(b) is hereby amended and restated as follows:</w:t>
      </w:r>
    </w:p>
    <w:p>
      <w:pPr>
        <w:spacing w:after="0" w:line="225" w:lineRule="exact"/>
        <w:rPr>
          <w:sz w:val="20"/>
          <w:szCs w:val="20"/>
          <w:color w:val="auto"/>
        </w:rPr>
      </w:pPr>
    </w:p>
    <w:p>
      <w:pPr>
        <w:ind w:left="660" w:right="4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responses of the Reporting Persons to Rows (11) through (13) of the cover pages of this Schedule are incorporated herein by reference. As of February 21, 2023, the Reporting Persons shared beneficial ownership of an aggregate of 19,507,693 shares of Class A Common Stock of the Issuer, which is equal to approximately 15.48% of the outstanding shares of Class A Common Stock of the Issuer, based on 125,981,696 shares of Class A Common Stock of the Issuer that were outstanding as of November 10, 2022, as reported in the Issuer’s Quarterly Report on Form 10-Q for the quarterly period ended September 30, 2022 (the “Issuer’s Most Recent Quarterly Report”). However, the Reporting Persons’ 19,507,693 shares of Class A Common Stock represent less than 5% of the total voting power of all outstanding shares of the Issuer’s Class A Common Stock, Class B Common Stock and Class C Common Stock on a combined basis, as of November 10, 2022, based on information disclosed in the Issuer’s Most Recent Quarterly Report.</w:t>
      </w:r>
    </w:p>
    <w:p>
      <w:pPr>
        <w:spacing w:after="0" w:line="19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Item 5(a), none of the Reporting Persons nor, to the best of their knowledge, any of their directors or executive officers, beneficially owns any shares of Class A Common Stock of the Issuer.</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of the Reporting Persons to (i) Rows (7) through (10) of the cover pages of this Schedule and (ii) Item 5(a) hereof are incorporated herein by reference.</w:t>
      </w:r>
    </w:p>
    <w:p>
      <w:pPr>
        <w:spacing w:after="0" w:line="161" w:lineRule="exact"/>
        <w:rPr>
          <w:rFonts w:ascii="Times New Roman" w:cs="Times New Roman" w:eastAsia="Times New Roman" w:hAnsi="Times New Roman"/>
          <w:sz w:val="18"/>
          <w:szCs w:val="18"/>
          <w:color w:val="auto"/>
        </w:rPr>
      </w:pPr>
    </w:p>
    <w:p>
      <w:pPr>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Item 5(b), none of the Reporting Persons, nor to the best of their knowledge, any of their directors or executive officers, presently has the power to vote or direct the vote or to dispose or direct the disposition of any of the shares of Class A Common Stock of the Issuer which they may be deemed to beneficially own.</w:t>
      </w:r>
    </w:p>
    <w:p>
      <w:pPr>
        <w:spacing w:after="0" w:line="175"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3 of this Schedule, which is incorporated herein by reference, none of the Reporting Persons, nor, to the best of their knowledge, any of their directors or executive officers, has effected any transaction in the shares of Class A Common Stock of the Issuer during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2023</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322" w:lineRule="exact"/>
        <w:rPr>
          <w:sz w:val="20"/>
          <w:szCs w:val="20"/>
          <w:color w:val="auto"/>
        </w:rPr>
      </w:pPr>
    </w:p>
    <w:p>
      <w:pPr>
        <w:ind w:left="6740"/>
        <w:spacing w:after="0"/>
        <w:tabs>
          <w:tab w:leader="none" w:pos="7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Elizabeth Wideman</w:t>
      </w:r>
    </w:p>
    <w:p>
      <w:pPr>
        <w:spacing w:after="0" w:line="5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-127635</wp:posOffset>
            </wp:positionV>
            <wp:extent cx="25031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jc w:val="right"/>
        <w:spacing w:after="0"/>
        <w:tabs>
          <w:tab w:leader="none" w:pos="3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Senior Deputy General</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Counsel and Assistant Secretary</w:t>
      </w:r>
    </w:p>
    <w:p>
      <w:pPr>
        <w:spacing w:after="0" w:line="200" w:lineRule="exact"/>
        <w:rPr>
          <w:sz w:val="20"/>
          <w:szCs w:val="20"/>
          <w:color w:val="auto"/>
        </w:rPr>
      </w:pPr>
    </w:p>
    <w:p>
      <w:pPr>
        <w:spacing w:after="0" w:line="27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NBCUNIVERSAL, LLC</w:t>
      </w:r>
    </w:p>
    <w:p>
      <w:pPr>
        <w:spacing w:after="0" w:line="200" w:lineRule="exact"/>
        <w:rPr>
          <w:sz w:val="20"/>
          <w:szCs w:val="20"/>
          <w:color w:val="auto"/>
        </w:rPr>
      </w:pPr>
    </w:p>
    <w:p>
      <w:pPr>
        <w:spacing w:after="0" w:line="322" w:lineRule="exact"/>
        <w:rPr>
          <w:sz w:val="20"/>
          <w:szCs w:val="20"/>
          <w:color w:val="auto"/>
        </w:rPr>
      </w:pPr>
    </w:p>
    <w:p>
      <w:pPr>
        <w:ind w:left="6740"/>
        <w:spacing w:after="0"/>
        <w:tabs>
          <w:tab w:leader="none" w:pos="7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Elizabeth Wideman</w:t>
      </w:r>
    </w:p>
    <w:p>
      <w:pPr>
        <w:spacing w:after="0" w:line="5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-127635</wp:posOffset>
            </wp:positionV>
            <wp:extent cx="25031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730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Assistant Secretary</w:t>
      </w:r>
    </w:p>
    <w:p>
      <w:pPr>
        <w:spacing w:after="0" w:line="200" w:lineRule="exact"/>
        <w:rPr>
          <w:sz w:val="20"/>
          <w:szCs w:val="20"/>
          <w:color w:val="auto"/>
        </w:rPr>
      </w:pPr>
    </w:p>
    <w:p>
      <w:pPr>
        <w:spacing w:after="0" w:line="31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00" w:lineRule="exact"/>
        <w:rPr>
          <w:sz w:val="20"/>
          <w:szCs w:val="20"/>
          <w:color w:val="auto"/>
        </w:rPr>
      </w:pPr>
    </w:p>
    <w:p>
      <w:pPr>
        <w:spacing w:after="0" w:line="322" w:lineRule="exact"/>
        <w:rPr>
          <w:sz w:val="20"/>
          <w:szCs w:val="20"/>
          <w:color w:val="auto"/>
        </w:rPr>
      </w:pPr>
    </w:p>
    <w:p>
      <w:pPr>
        <w:ind w:left="6740"/>
        <w:spacing w:after="0"/>
        <w:tabs>
          <w:tab w:leader="none" w:pos="7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Elizabeth Wideman</w:t>
      </w:r>
    </w:p>
    <w:p>
      <w:pPr>
        <w:spacing w:after="0" w:line="5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-127635</wp:posOffset>
            </wp:positionV>
            <wp:extent cx="25031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730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57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2023-02-21T17:33:44Z</dcterms:created>
  <dcterms:modified xsi:type="dcterms:W3CDTF">2023-02-21T17:33:44Z</dcterms:modified>
</cp:coreProperties>
</file>